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9BE2993" w14:textId="77777777" w:rsidR="00B0239E" w:rsidRDefault="00000000">
      <w:pPr>
        <w:pStyle w:val="Heading1"/>
      </w:pPr>
      <w:bookmarkStart w:id="0" w:name="_otlh0bh017fm" w:colFirst="0" w:colLast="0"/>
      <w:bookmarkEnd w:id="0"/>
      <w:r>
        <w:t>Raise the Payroll Mobility Tax Top Rate and Increase the Threshold for Taxability</w:t>
      </w:r>
    </w:p>
    <w:p w14:paraId="1F4DB8AF" w14:textId="77777777" w:rsidR="00B0239E" w:rsidRDefault="00000000">
      <w:pPr>
        <w:pStyle w:val="Heading2"/>
      </w:pPr>
      <w:bookmarkStart w:id="1" w:name="_5c5shpi7id24" w:colFirst="0" w:colLast="0"/>
      <w:bookmarkEnd w:id="1"/>
      <w:r>
        <w:t>Description</w:t>
      </w:r>
    </w:p>
    <w:p w14:paraId="03B2C19B" w14:textId="77777777" w:rsidR="00B0239E" w:rsidRDefault="00000000">
      <w:r>
        <w:t xml:space="preserve">This option would raise the highest rate of the Payroll Mobility Tax (PMT) from 0.60% in New York City and 0.34% in suburban </w:t>
      </w:r>
      <w:proofErr w:type="gramStart"/>
      <w:r>
        <w:t>counties, and</w:t>
      </w:r>
      <w:proofErr w:type="gramEnd"/>
      <w:r>
        <w:t xml:space="preserve"> increase the threshold for taxability from $312,500 of quarterly payroll ($1.25 million annual). Raising the rate raises revenue. Raising the threshold excludes more small businesses and reduces revenue slightly, potentially reducing opposition to the tax and to the rate increase.</w:t>
      </w:r>
    </w:p>
    <w:p w14:paraId="7BBA1B57" w14:textId="77777777" w:rsidR="00B0239E" w:rsidRDefault="00B0239E"/>
    <w:p w14:paraId="2DB7D61D" w14:textId="3A1E5E84" w:rsidR="00B0239E" w:rsidRDefault="00000000">
      <w:r>
        <w:t>A $500 million revenue target could be achieved by raising the highest payroll tax rates to 0.73% in New York City and 0.413% in the suburban counties (raising each by 21.6%) and increasing the taxability threshold to $400,000 quarterly ($1.6 million annual equivalent). A 21.6% increase in the counterpart self-employment tax would raise an additional $1</w:t>
      </w:r>
      <w:r w:rsidR="00D00A5F">
        <w:t>2</w:t>
      </w:r>
      <w:r>
        <w:t xml:space="preserve"> million.</w:t>
      </w:r>
    </w:p>
    <w:p w14:paraId="009DD39B" w14:textId="77777777" w:rsidR="00B0239E" w:rsidRDefault="00000000">
      <w:pPr>
        <w:pStyle w:val="Heading2"/>
      </w:pPr>
      <w:bookmarkStart w:id="2" w:name="_jut170czgkko" w:colFirst="0" w:colLast="0"/>
      <w:bookmarkEnd w:id="2"/>
      <w:r>
        <w:t>Current law and practice</w:t>
      </w:r>
    </w:p>
    <w:p w14:paraId="41CB9635" w14:textId="77777777" w:rsidR="00B0239E" w:rsidRDefault="00000000">
      <w:r>
        <w:t>The payroll mobility tax is imposed on businesses operating in the MTA region. The tax is imposed quarterly and only applies to businesses with quarterly payroll above $312,500 ($1.25 million annual rate). If a taxpayer is above the threshold, the tax applies to all of its MTA region payroll -- it is a threshold, not an exclusion.</w:t>
      </w:r>
    </w:p>
    <w:p w14:paraId="3A4E523C" w14:textId="77777777" w:rsidR="00B0239E" w:rsidRDefault="00B0239E"/>
    <w:p w14:paraId="69B5AB13" w14:textId="77777777" w:rsidR="00B0239E" w:rsidRDefault="00000000">
      <w:r>
        <w:t xml:space="preserve">A business has a single tax rate for all of its payroll in New York City and a single tax rate for all of its payroll in the suburban counties (if it operates in both parts of the region). Payroll tax rates are higher for businesses with higher payroll than for those with lower payroll. The single rate in NYC or the suburbs applies to all payroll in the subarea -- the rates are not marginal rates as in a personal income tax. The highest payroll tax rate is 0.60% in New York City and 0.34% in the suburban counties. </w:t>
      </w:r>
    </w:p>
    <w:p w14:paraId="7970EB97" w14:textId="77777777" w:rsidR="00B0239E" w:rsidRDefault="00B0239E"/>
    <w:p w14:paraId="7C0AEB13" w14:textId="77777777" w:rsidR="00B0239E" w:rsidRDefault="00000000">
      <w:r>
        <w:t xml:space="preserve">The </w:t>
      </w:r>
      <w:hyperlink r:id="rId7">
        <w:r w:rsidR="00B0239E">
          <w:rPr>
            <w:color w:val="1155CC"/>
            <w:u w:val="single"/>
          </w:rPr>
          <w:t>payroll tax rate schedules</w:t>
        </w:r>
      </w:hyperlink>
      <w:r>
        <w:t xml:space="preserve"> based on quarterly payroll are shown below; Zone 1 refers to New York City and Zone 2 refers to the rest of the MTA. </w:t>
      </w:r>
    </w:p>
    <w:p w14:paraId="49E93568" w14:textId="77777777" w:rsidR="00B0239E" w:rsidRDefault="00B0239E"/>
    <w:p w14:paraId="12B2BA37" w14:textId="77777777" w:rsidR="00B0239E" w:rsidRDefault="00000000">
      <w:r>
        <w:rPr>
          <w:noProof/>
        </w:rPr>
        <w:drawing>
          <wp:inline distT="114300" distB="114300" distL="114300" distR="114300" wp14:anchorId="65F00CEA" wp14:editId="452C6618">
            <wp:extent cx="5943600" cy="1104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104900"/>
                    </a:xfrm>
                    <a:prstGeom prst="rect">
                      <a:avLst/>
                    </a:prstGeom>
                    <a:ln/>
                  </pic:spPr>
                </pic:pic>
              </a:graphicData>
            </a:graphic>
          </wp:inline>
        </w:drawing>
      </w:r>
    </w:p>
    <w:p w14:paraId="6D9E84E1" w14:textId="77777777" w:rsidR="00B0239E" w:rsidRDefault="00B0239E"/>
    <w:p w14:paraId="755C8EB7" w14:textId="77777777" w:rsidR="00B0239E" w:rsidRDefault="00000000">
      <w:r>
        <w:t xml:space="preserve">A complementary tax is imposed on self-employment earnings in the MTA region at flat rates of 0.60% and 0.34% for individuals with annual MTA-region self-employment income of more than </w:t>
      </w:r>
      <w:r>
        <w:lastRenderedPageBreak/>
        <w:t>$50,000. As with the payroll tax, once a taxpayer crosses the threshold of taxability, all of its MTA-region self-employment income is taxed -- it, too, is a threshold, not an exclusion.</w:t>
      </w:r>
    </w:p>
    <w:p w14:paraId="7ADC00BB" w14:textId="77777777" w:rsidR="00B0239E" w:rsidRDefault="00000000">
      <w:pPr>
        <w:pStyle w:val="Heading2"/>
      </w:pPr>
      <w:bookmarkStart w:id="3" w:name="_wnsdi7a49n3l" w:colFirst="0" w:colLast="0"/>
      <w:bookmarkEnd w:id="3"/>
      <w:r>
        <w:t>Details</w:t>
      </w:r>
    </w:p>
    <w:p w14:paraId="651508AE" w14:textId="77777777" w:rsidR="00B0239E" w:rsidRDefault="00000000">
      <w:r>
        <w:t xml:space="preserve">This option would raise the highest payroll tax rate from 0.60% to 0.73% for payroll in New York City, and from 0.34% to 0.413% in the suburban counties -- increases of 21.6%. It would also increase the threshold for taxability from $312,500 of quarterly payroll to $400,000 (from annual rates of $1.25 million to $1.6 million). </w:t>
      </w:r>
    </w:p>
    <w:p w14:paraId="72FAFA10" w14:textId="77777777" w:rsidR="00B0239E" w:rsidRDefault="00B0239E"/>
    <w:p w14:paraId="21582582" w14:textId="77777777" w:rsidR="00B0239E" w:rsidRDefault="00000000">
      <w:r>
        <w:t>The self-employment tax rate would be increased from 0.60% to 0.73% for self-employment income in New York City, and from 0.34% to 0.413% in the suburban counties. The $50,000 annual threshold for taxability would not be changed.</w:t>
      </w:r>
    </w:p>
    <w:p w14:paraId="4DA3C311" w14:textId="77777777" w:rsidR="00B0239E" w:rsidRDefault="00000000">
      <w:pPr>
        <w:pStyle w:val="Heading2"/>
      </w:pPr>
      <w:bookmarkStart w:id="4" w:name="_wsxde768nws" w:colFirst="0" w:colLast="0"/>
      <w:bookmarkEnd w:id="4"/>
      <w:r>
        <w:t>Impact</w:t>
      </w:r>
    </w:p>
    <w:p w14:paraId="1E7F5106" w14:textId="77777777" w:rsidR="00B0239E" w:rsidRDefault="00000000">
      <w:r>
        <w:t xml:space="preserve">The payroll tax changes would raise a net of about $500 million annually. </w:t>
      </w:r>
    </w:p>
    <w:p w14:paraId="15541199" w14:textId="77777777" w:rsidR="00B0239E" w:rsidRDefault="00B0239E"/>
    <w:p w14:paraId="5533D9D2" w14:textId="77777777" w:rsidR="00B0239E" w:rsidRDefault="00000000">
      <w:r>
        <w:t xml:space="preserve">The increase in the threshold for payroll-tax taxability would eliminate the tax for approximately 20,000 relatively small businesses with about 300,000 employees, for a tax revenue loss of approximately $40-45 million. </w:t>
      </w:r>
    </w:p>
    <w:p w14:paraId="413832D1" w14:textId="77777777" w:rsidR="00B0239E" w:rsidRDefault="00B0239E"/>
    <w:p w14:paraId="24025A7D" w14:textId="77777777" w:rsidR="00B0239E" w:rsidRDefault="00000000">
      <w:r>
        <w:t>The businesses newly excluded from tax are likely to be dominated by small firms in the following areas: (1) professional and technical services such as accounting, architectural, consulting, and legal services, (2) ambulatory health care such as family planning services, outpatient mental health care, home health care, dentists, physicians, and other health care providers, (3) restaurants and bars, (4) electricians, plumbers, and other specialty contractors, and (5) performing arts.</w:t>
      </w:r>
    </w:p>
    <w:p w14:paraId="095629BB" w14:textId="77777777" w:rsidR="00B0239E" w:rsidRDefault="00B0239E"/>
    <w:p w14:paraId="498BA6E0" w14:textId="77777777" w:rsidR="00B0239E" w:rsidRDefault="00000000">
      <w:r>
        <w:t xml:space="preserve">The increase in the highest rate will hit businesses with more than $437,500 quarterly payroll ($1.75 million annual). All would face the same 21.6% increase but the largest </w:t>
      </w:r>
      <w:proofErr w:type="gramStart"/>
      <w:r>
        <w:t>increases</w:t>
      </w:r>
      <w:proofErr w:type="gramEnd"/>
      <w:r>
        <w:t xml:space="preserve"> in dollars would come from the securities and investment industries, larger firms engaged in professional and technical services (e.g., lawyers, architects, management consultants), and for-profit hospitals and universities.</w:t>
      </w:r>
    </w:p>
    <w:p w14:paraId="0D8DC535" w14:textId="77777777" w:rsidR="00B0239E" w:rsidRDefault="00B0239E"/>
    <w:p w14:paraId="12D32FF7" w14:textId="77777777" w:rsidR="00B0239E" w:rsidRDefault="00000000">
      <w:r>
        <w:t>New York City businesses would pay more than 90% of the increase.</w:t>
      </w:r>
    </w:p>
    <w:p w14:paraId="4AE3C290" w14:textId="77777777" w:rsidR="00B0239E" w:rsidRDefault="00B0239E"/>
    <w:p w14:paraId="1EABF21F" w14:textId="77777777" w:rsidR="00B0239E" w:rsidRDefault="00000000">
      <w:r>
        <w:t xml:space="preserve">We have relatively little data on who would be affected by the self-employment tax </w:t>
      </w:r>
      <w:proofErr w:type="gramStart"/>
      <w:r>
        <w:t>increase</w:t>
      </w:r>
      <w:proofErr w:type="gramEnd"/>
      <w:r>
        <w:t xml:space="preserve"> but it is likely to be dominated by the self-employed in securities and investment management, and in professional and technical services.</w:t>
      </w:r>
    </w:p>
    <w:p w14:paraId="457440A4" w14:textId="77777777" w:rsidR="00B0239E" w:rsidRDefault="00000000">
      <w:pPr>
        <w:pStyle w:val="Heading2"/>
      </w:pPr>
      <w:bookmarkStart w:id="5" w:name="_58bn1ytvffso" w:colFirst="0" w:colLast="0"/>
      <w:bookmarkEnd w:id="5"/>
      <w:r>
        <w:lastRenderedPageBreak/>
        <w:t>Risks</w:t>
      </w:r>
    </w:p>
    <w:p w14:paraId="17E0A1F5" w14:textId="77777777" w:rsidR="00B0239E" w:rsidRDefault="00000000">
      <w:r>
        <w:t xml:space="preserve">Legal and implementation risks would be minimal given that this is a </w:t>
      </w:r>
      <w:proofErr w:type="gramStart"/>
      <w:r>
        <w:t>tried and true</w:t>
      </w:r>
      <w:proofErr w:type="gramEnd"/>
      <w:r>
        <w:t xml:space="preserve"> revenue source, and increasing rates and thresholds do not appear to raise any new legal issues. There are significant political risks to enacting an increase, and the increase is likely to be subject to continuing political attack after enactment as is the current tax.</w:t>
      </w:r>
    </w:p>
    <w:p w14:paraId="1FB1E755" w14:textId="77777777" w:rsidR="00B0239E" w:rsidRDefault="00B0239E"/>
    <w:p w14:paraId="07046B9E" w14:textId="190AB007" w:rsidR="00B0239E" w:rsidRDefault="00000000">
      <w:r>
        <w:t>The revenue estimates are subject to some risk largely because no publicly available data sources break businesses in the MTA region down by size of payroll and so the estimated impacts reply on estimates of the distribution of taxpayers.</w:t>
      </w:r>
    </w:p>
    <w:p w14:paraId="4FA147AB" w14:textId="77777777" w:rsidR="00B0239E" w:rsidRDefault="00000000">
      <w:pPr>
        <w:pStyle w:val="Heading2"/>
      </w:pPr>
      <w:bookmarkStart w:id="6" w:name="_mk2jw6u8ioyj" w:colFirst="0" w:colLast="0"/>
      <w:bookmarkEnd w:id="6"/>
      <w:r>
        <w:t>What other states do</w:t>
      </w:r>
    </w:p>
    <w:p w14:paraId="79473898" w14:textId="77777777" w:rsidR="00B0239E" w:rsidRDefault="00000000">
      <w:r>
        <w:t>States generally do not have payroll taxes (as opposed to income taxes), although a few have payroll taxes to support special purposes such as disability insurance or paid family leave. Several major cities have payroll taxes, most notably Philadelphia. Several transportation authorities have payroll taxes.</w:t>
      </w:r>
    </w:p>
    <w:p w14:paraId="3C531861" w14:textId="77777777" w:rsidR="00B0239E" w:rsidRDefault="00B0239E"/>
    <w:p w14:paraId="5ADB1023" w14:textId="77777777" w:rsidR="00B0239E" w:rsidRDefault="00B0239E">
      <w:hyperlink r:id="rId9">
        <w:proofErr w:type="spellStart"/>
        <w:r>
          <w:rPr>
            <w:color w:val="1155CC"/>
            <w:u w:val="single"/>
          </w:rPr>
          <w:t>Oregeon’s</w:t>
        </w:r>
        <w:proofErr w:type="spellEnd"/>
        <w:r>
          <w:rPr>
            <w:color w:val="1155CC"/>
            <w:u w:val="single"/>
          </w:rPr>
          <w:t xml:space="preserve"> Portland-area TriMet Transit District rate</w:t>
        </w:r>
      </w:hyperlink>
      <w:r w:rsidR="00000000">
        <w:t xml:space="preserve"> is 0.8237%. Oregon’s Lane Transit District in Eugene-Springfield has a payroll tax rate of 0.8%. Both transit districts had been increasing rates generally by 0.1% under state increase-authority that ends in 2025. For example, the Lane district increased the rate annually </w:t>
      </w:r>
      <w:hyperlink r:id="rId10">
        <w:r>
          <w:rPr>
            <w:color w:val="1155CC"/>
            <w:u w:val="single"/>
          </w:rPr>
          <w:t>from 0.71% in 2016 to 0.8% in 2025</w:t>
        </w:r>
      </w:hyperlink>
      <w:r w:rsidR="00000000">
        <w:t xml:space="preserve">. (Oregon also has a </w:t>
      </w:r>
      <w:hyperlink r:id="rId11">
        <w:r>
          <w:rPr>
            <w:color w:val="1155CC"/>
            <w:u w:val="single"/>
          </w:rPr>
          <w:t>statewide transit tax</w:t>
        </w:r>
      </w:hyperlink>
      <w:r w:rsidR="00000000">
        <w:t xml:space="preserve"> that supports transit around the state, imposed on wages of employees, not on employers.) The top Oregon income tax rate is 9.9%. The top New York State rate is 10.9% and the top New York City rate is 3.876% so increasing New York’s tax on wages would add to already-high combined tax rates. (However, New York’s top state income tax rate only kicks in for taxpayers with over $25 million of income so very few taxpayers face New York’s highest rates.)</w:t>
      </w:r>
    </w:p>
    <w:p w14:paraId="2106F2D2" w14:textId="77777777" w:rsidR="00B0239E" w:rsidRDefault="00000000">
      <w:pPr>
        <w:pStyle w:val="Heading2"/>
      </w:pPr>
      <w:bookmarkStart w:id="7" w:name="_xn9o1bebs9x7" w:colFirst="0" w:colLast="0"/>
      <w:bookmarkEnd w:id="7"/>
      <w:r>
        <w:t>Does it require state appropriation?</w:t>
      </w:r>
    </w:p>
    <w:p w14:paraId="229E2F8B" w14:textId="77777777" w:rsidR="00B0239E" w:rsidRDefault="00000000">
      <w:r>
        <w:t>No. It would be administered in the same way as the current PMT.</w:t>
      </w:r>
    </w:p>
    <w:p w14:paraId="2992A563" w14:textId="77777777" w:rsidR="00B0239E" w:rsidRDefault="00000000">
      <w:pPr>
        <w:pStyle w:val="Heading2"/>
      </w:pPr>
      <w:bookmarkStart w:id="8" w:name="_iq1jlhn3gyc" w:colFirst="0" w:colLast="0"/>
      <w:bookmarkEnd w:id="8"/>
      <w:r>
        <w:t>Implications for other governments</w:t>
      </w:r>
    </w:p>
    <w:p w14:paraId="79DFA226" w14:textId="77777777" w:rsidR="00B0239E" w:rsidRDefault="00000000">
      <w:r>
        <w:t>The tax applies to state government employers in the MTA region (including the MTA) and to local government employers other than school districts and libraries, so they would face increases. It does not apply to federal government employers.</w:t>
      </w:r>
    </w:p>
    <w:p w14:paraId="135C8E2F" w14:textId="77777777" w:rsidR="00B0239E" w:rsidRDefault="00000000">
      <w:pPr>
        <w:pStyle w:val="Heading2"/>
      </w:pPr>
      <w:bookmarkStart w:id="9" w:name="_9grtx9ywoj9" w:colFirst="0" w:colLast="0"/>
      <w:bookmarkEnd w:id="9"/>
      <w:r>
        <w:t>Potential revenue</w:t>
      </w:r>
    </w:p>
    <w:p w14:paraId="60C756A5" w14:textId="7C7B3F90" w:rsidR="00B0239E" w:rsidRDefault="00000000">
      <w:r>
        <w:t>The tax increase would raise approximately $500 million from the payroll tax and $1</w:t>
      </w:r>
      <w:r w:rsidR="002D1E77">
        <w:t>2</w:t>
      </w:r>
      <w:r>
        <w:t xml:space="preserve"> million from the self-employment tax. Detailed breakdowns are in the appendix. </w:t>
      </w:r>
    </w:p>
    <w:p w14:paraId="5A53F346" w14:textId="77777777" w:rsidR="00B0239E" w:rsidRDefault="00B0239E"/>
    <w:p w14:paraId="61A89D85" w14:textId="77777777" w:rsidR="00B0239E" w:rsidRDefault="00000000">
      <w:r>
        <w:lastRenderedPageBreak/>
        <w:t xml:space="preserve">As noted above, there is some risk to the estimate because there is no publicly available data on the breakdown of MTA-region employers by payroll size. Furthermore, available data are for establishments (workplaces) rather than employers (an employer may have several establishments in the MTA region). The estimates rely on several assumptions about the distribution of employers by payroll size that could be wrong. Several improvements in the estimating methodology are forthcoming but the estimate will still be subject to some risk. It would be reasonable to put a range of +/- 10% around the estimate. Government analysts might be able to prepare more accurate estimates using confidential data collected by the NY state Department of Labor that allows </w:t>
      </w:r>
      <w:proofErr w:type="gramStart"/>
      <w:r>
        <w:t>linking establishments</w:t>
      </w:r>
      <w:proofErr w:type="gramEnd"/>
      <w:r>
        <w:t xml:space="preserve"> to firms and allows calculation of firm-level payroll.</w:t>
      </w:r>
    </w:p>
    <w:p w14:paraId="1CAFD009" w14:textId="5D1FD869" w:rsidR="00B0239E" w:rsidRDefault="00B0239E" w:rsidP="007933D3">
      <w:bookmarkStart w:id="10" w:name="_exccumxftlva" w:colFirst="0" w:colLast="0"/>
      <w:bookmarkEnd w:id="10"/>
    </w:p>
    <w:p w14:paraId="39C04F71" w14:textId="12A3E685" w:rsidR="00927EAC" w:rsidRDefault="00927EAC" w:rsidP="00927EAC">
      <w:pPr>
        <w:pStyle w:val="Heading1"/>
      </w:pPr>
      <w:bookmarkStart w:id="11" w:name="_5wfc9yeop1to" w:colFirst="0" w:colLast="0"/>
      <w:bookmarkEnd w:id="11"/>
      <w:r>
        <w:lastRenderedPageBreak/>
        <w:t>Appendix Tables -- Payroll mobility tax</w:t>
      </w:r>
    </w:p>
    <w:p w14:paraId="21B46FFA" w14:textId="77777777" w:rsidR="00927EAC" w:rsidRDefault="00927EAC" w:rsidP="00927EAC">
      <w:pPr>
        <w:pStyle w:val="Heading2"/>
      </w:pPr>
      <w:bookmarkStart w:id="12" w:name="_jx475bxsfbxa" w:colFirst="0" w:colLast="0"/>
      <w:bookmarkEnd w:id="12"/>
      <w:r>
        <w:t>Estimated distribution of the current tax, 2024</w:t>
      </w:r>
    </w:p>
    <w:p w14:paraId="2238A011" w14:textId="77777777" w:rsidR="00927EAC" w:rsidRDefault="00927EAC" w:rsidP="00927EAC">
      <w:r>
        <w:rPr>
          <w:noProof/>
        </w:rPr>
        <w:drawing>
          <wp:inline distT="114300" distB="114300" distL="114300" distR="114300" wp14:anchorId="32EC970A" wp14:editId="58C4332F">
            <wp:extent cx="4593946" cy="6942125"/>
            <wp:effectExtent l="0" t="0" r="0" b="0"/>
            <wp:docPr id="9" name="image7.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7.png" descr="A screenshot of a computer&#10;&#10;AI-generated content may be incorrect."/>
                    <pic:cNvPicPr preferRelativeResize="0"/>
                  </pic:nvPicPr>
                  <pic:blipFill>
                    <a:blip r:embed="rId12"/>
                    <a:srcRect/>
                    <a:stretch>
                      <a:fillRect/>
                    </a:stretch>
                  </pic:blipFill>
                  <pic:spPr>
                    <a:xfrm>
                      <a:off x="0" y="0"/>
                      <a:ext cx="4596279" cy="6945651"/>
                    </a:xfrm>
                    <a:prstGeom prst="rect">
                      <a:avLst/>
                    </a:prstGeom>
                    <a:ln/>
                  </pic:spPr>
                </pic:pic>
              </a:graphicData>
            </a:graphic>
          </wp:inline>
        </w:drawing>
      </w:r>
    </w:p>
    <w:p w14:paraId="71616245" w14:textId="77777777" w:rsidR="00927EAC" w:rsidRDefault="00927EAC" w:rsidP="00927EAC"/>
    <w:p w14:paraId="4003F6D0" w14:textId="77777777" w:rsidR="00927EAC" w:rsidRDefault="00927EAC" w:rsidP="00927EAC">
      <w:pPr>
        <w:pStyle w:val="Heading2"/>
      </w:pPr>
      <w:bookmarkStart w:id="13" w:name="_h5isslt5ibon" w:colFirst="0" w:colLast="0"/>
      <w:bookmarkEnd w:id="13"/>
      <w:r>
        <w:lastRenderedPageBreak/>
        <w:t>Estimated NYC-suburbs distribution of the current tax, 2024</w:t>
      </w:r>
    </w:p>
    <w:p w14:paraId="73206C3E" w14:textId="77777777" w:rsidR="00927EAC" w:rsidRDefault="00927EAC" w:rsidP="00927EAC">
      <w:r>
        <w:rPr>
          <w:noProof/>
        </w:rPr>
        <w:drawing>
          <wp:inline distT="114300" distB="114300" distL="114300" distR="114300" wp14:anchorId="5E36953E" wp14:editId="79EC8563">
            <wp:extent cx="5943600" cy="4838700"/>
            <wp:effectExtent l="0" t="0" r="0" b="0"/>
            <wp:docPr id="6" name="image5.png" descr="A screenshot of a document&#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5.png" descr="A screenshot of a document&#10;&#10;AI-generated content may be incorrect."/>
                    <pic:cNvPicPr preferRelativeResize="0"/>
                  </pic:nvPicPr>
                  <pic:blipFill>
                    <a:blip r:embed="rId13"/>
                    <a:srcRect/>
                    <a:stretch>
                      <a:fillRect/>
                    </a:stretch>
                  </pic:blipFill>
                  <pic:spPr>
                    <a:xfrm>
                      <a:off x="0" y="0"/>
                      <a:ext cx="5943600" cy="4838700"/>
                    </a:xfrm>
                    <a:prstGeom prst="rect">
                      <a:avLst/>
                    </a:prstGeom>
                    <a:ln/>
                  </pic:spPr>
                </pic:pic>
              </a:graphicData>
            </a:graphic>
          </wp:inline>
        </w:drawing>
      </w:r>
    </w:p>
    <w:p w14:paraId="3DE568D4" w14:textId="77777777" w:rsidR="00927EAC" w:rsidRDefault="00927EAC" w:rsidP="00927EAC"/>
    <w:p w14:paraId="2A899C8A" w14:textId="77777777" w:rsidR="00927EAC" w:rsidRDefault="00927EAC" w:rsidP="00927EAC">
      <w:r>
        <w:br w:type="page"/>
      </w:r>
    </w:p>
    <w:p w14:paraId="7C472C53" w14:textId="77777777" w:rsidR="00927EAC" w:rsidRDefault="00927EAC" w:rsidP="00927EAC">
      <w:pPr>
        <w:pStyle w:val="Heading2"/>
      </w:pPr>
      <w:bookmarkStart w:id="14" w:name="_7hfl42qwmvyd" w:colFirst="0" w:colLast="0"/>
      <w:bookmarkEnd w:id="14"/>
      <w:r>
        <w:lastRenderedPageBreak/>
        <w:t>Raise exclusion from $1.2m to $1.6m and raise top rate proportionately in NYC &amp; suburbs to maintain revenue-neutrality, 2024</w:t>
      </w:r>
    </w:p>
    <w:p w14:paraId="517C7652" w14:textId="77777777" w:rsidR="00927EAC" w:rsidRDefault="00927EAC" w:rsidP="00927EAC">
      <w:pPr>
        <w:pStyle w:val="Heading3"/>
      </w:pPr>
      <w:bookmarkStart w:id="15" w:name="_is8qhx5fwfo1" w:colFirst="0" w:colLast="0"/>
      <w:bookmarkEnd w:id="15"/>
      <w:r>
        <w:t>Rates</w:t>
      </w:r>
    </w:p>
    <w:p w14:paraId="2ED3FF88" w14:textId="77777777" w:rsidR="00927EAC" w:rsidRDefault="00927EAC" w:rsidP="00927EAC">
      <w:r>
        <w:rPr>
          <w:noProof/>
        </w:rPr>
        <w:drawing>
          <wp:inline distT="114300" distB="114300" distL="114300" distR="114300" wp14:anchorId="2EBB0B88" wp14:editId="01C615B7">
            <wp:extent cx="2119313" cy="1642651"/>
            <wp:effectExtent l="0" t="0" r="0" b="0"/>
            <wp:docPr id="5" name="image2.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png" descr="A screenshot of a graph&#10;&#10;AI-generated content may be incorrect."/>
                    <pic:cNvPicPr preferRelativeResize="0"/>
                  </pic:nvPicPr>
                  <pic:blipFill>
                    <a:blip r:embed="rId14"/>
                    <a:srcRect/>
                    <a:stretch>
                      <a:fillRect/>
                    </a:stretch>
                  </pic:blipFill>
                  <pic:spPr>
                    <a:xfrm>
                      <a:off x="0" y="0"/>
                      <a:ext cx="2119313" cy="1642651"/>
                    </a:xfrm>
                    <a:prstGeom prst="rect">
                      <a:avLst/>
                    </a:prstGeom>
                    <a:ln/>
                  </pic:spPr>
                </pic:pic>
              </a:graphicData>
            </a:graphic>
          </wp:inline>
        </w:drawing>
      </w:r>
      <w:r>
        <w:rPr>
          <w:noProof/>
        </w:rPr>
        <w:drawing>
          <wp:inline distT="114300" distB="114300" distL="114300" distR="114300" wp14:anchorId="5FEB6B51" wp14:editId="6FF694B5">
            <wp:extent cx="3452700" cy="1327164"/>
            <wp:effectExtent l="0" t="0" r="0" b="0"/>
            <wp:docPr id="8" name="image8.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8.png" descr="A screenshot of a graph&#10;&#10;AI-generated content may be incorrect."/>
                    <pic:cNvPicPr preferRelativeResize="0"/>
                  </pic:nvPicPr>
                  <pic:blipFill>
                    <a:blip r:embed="rId15"/>
                    <a:srcRect/>
                    <a:stretch>
                      <a:fillRect/>
                    </a:stretch>
                  </pic:blipFill>
                  <pic:spPr>
                    <a:xfrm>
                      <a:off x="0" y="0"/>
                      <a:ext cx="3452700" cy="1327164"/>
                    </a:xfrm>
                    <a:prstGeom prst="rect">
                      <a:avLst/>
                    </a:prstGeom>
                    <a:ln/>
                  </pic:spPr>
                </pic:pic>
              </a:graphicData>
            </a:graphic>
          </wp:inline>
        </w:drawing>
      </w:r>
    </w:p>
    <w:p w14:paraId="15FED2C9" w14:textId="77777777" w:rsidR="00927EAC" w:rsidRDefault="00927EAC" w:rsidP="00927EAC"/>
    <w:p w14:paraId="6BE91C58" w14:textId="77777777" w:rsidR="00927EAC" w:rsidRDefault="00927EAC" w:rsidP="00927EAC">
      <w:pPr>
        <w:pStyle w:val="Heading3"/>
      </w:pPr>
      <w:bookmarkStart w:id="16" w:name="_sp3dg76vpels" w:colFirst="0" w:colLast="0"/>
      <w:bookmarkEnd w:id="16"/>
      <w:r>
        <w:t>Estimated impact of revenue-neutral rate changes</w:t>
      </w:r>
    </w:p>
    <w:p w14:paraId="68F14611" w14:textId="77777777" w:rsidR="00927EAC" w:rsidRDefault="00927EAC" w:rsidP="00927EAC">
      <w:r>
        <w:rPr>
          <w:noProof/>
        </w:rPr>
        <w:drawing>
          <wp:inline distT="114300" distB="114300" distL="114300" distR="114300" wp14:anchorId="20B37325" wp14:editId="61B3DE7C">
            <wp:extent cx="5501030" cy="4710989"/>
            <wp:effectExtent l="0" t="0" r="4445" b="0"/>
            <wp:docPr id="3" name="image1.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png" descr="A screenshot of a graph&#10;&#10;AI-generated content may be incorrect."/>
                    <pic:cNvPicPr preferRelativeResize="0"/>
                  </pic:nvPicPr>
                  <pic:blipFill>
                    <a:blip r:embed="rId16"/>
                    <a:srcRect/>
                    <a:stretch>
                      <a:fillRect/>
                    </a:stretch>
                  </pic:blipFill>
                  <pic:spPr>
                    <a:xfrm>
                      <a:off x="0" y="0"/>
                      <a:ext cx="5502929" cy="4712615"/>
                    </a:xfrm>
                    <a:prstGeom prst="rect">
                      <a:avLst/>
                    </a:prstGeom>
                    <a:ln/>
                  </pic:spPr>
                </pic:pic>
              </a:graphicData>
            </a:graphic>
          </wp:inline>
        </w:drawing>
      </w:r>
    </w:p>
    <w:p w14:paraId="0B19DBD0" w14:textId="77777777" w:rsidR="00927EAC" w:rsidRDefault="00927EAC" w:rsidP="00927EAC"/>
    <w:p w14:paraId="7A1261AC" w14:textId="77777777" w:rsidR="00927EAC" w:rsidRDefault="00927EAC" w:rsidP="00927EAC">
      <w:pPr>
        <w:pStyle w:val="Heading2"/>
      </w:pPr>
      <w:bookmarkStart w:id="17" w:name="_yvh8d6ybdvg8" w:colFirst="0" w:colLast="0"/>
      <w:bookmarkEnd w:id="17"/>
      <w:r>
        <w:lastRenderedPageBreak/>
        <w:t>Raise exclusion from $1.2m to $1.6m and raise top rate proportionately in NYC &amp; suburbs to raise $500m, 2024</w:t>
      </w:r>
    </w:p>
    <w:p w14:paraId="2E39FCA5" w14:textId="77777777" w:rsidR="00927EAC" w:rsidRDefault="00927EAC" w:rsidP="00927EAC">
      <w:pPr>
        <w:pStyle w:val="Heading3"/>
      </w:pPr>
      <w:bookmarkStart w:id="18" w:name="_wlzdteltv9f4" w:colFirst="0" w:colLast="0"/>
      <w:bookmarkEnd w:id="18"/>
      <w:r>
        <w:t>Rates</w:t>
      </w:r>
    </w:p>
    <w:p w14:paraId="019E14D8" w14:textId="77777777" w:rsidR="00927EAC" w:rsidRDefault="00927EAC" w:rsidP="00927EAC">
      <w:r>
        <w:rPr>
          <w:noProof/>
        </w:rPr>
        <w:drawing>
          <wp:inline distT="114300" distB="114300" distL="114300" distR="114300" wp14:anchorId="205A25CC" wp14:editId="4C6B2944">
            <wp:extent cx="2119313" cy="1642651"/>
            <wp:effectExtent l="0" t="0" r="0" b="0"/>
            <wp:docPr id="7" name="image2.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2.png" descr="A screenshot of a graph&#10;&#10;AI-generated content may be incorrect."/>
                    <pic:cNvPicPr preferRelativeResize="0"/>
                  </pic:nvPicPr>
                  <pic:blipFill>
                    <a:blip r:embed="rId14"/>
                    <a:srcRect/>
                    <a:stretch>
                      <a:fillRect/>
                    </a:stretch>
                  </pic:blipFill>
                  <pic:spPr>
                    <a:xfrm>
                      <a:off x="0" y="0"/>
                      <a:ext cx="2119313" cy="1642651"/>
                    </a:xfrm>
                    <a:prstGeom prst="rect">
                      <a:avLst/>
                    </a:prstGeom>
                    <a:ln/>
                  </pic:spPr>
                </pic:pic>
              </a:graphicData>
            </a:graphic>
          </wp:inline>
        </w:drawing>
      </w:r>
      <w:r>
        <w:rPr>
          <w:noProof/>
        </w:rPr>
        <w:drawing>
          <wp:inline distT="114300" distB="114300" distL="114300" distR="114300" wp14:anchorId="7895831B" wp14:editId="461AF6F6">
            <wp:extent cx="3700463" cy="1059841"/>
            <wp:effectExtent l="0" t="0" r="0" b="0"/>
            <wp:docPr id="1" name="image3.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screenshot of a computer&#10;&#10;AI-generated content may be incorrect."/>
                    <pic:cNvPicPr preferRelativeResize="0"/>
                  </pic:nvPicPr>
                  <pic:blipFill>
                    <a:blip r:embed="rId17"/>
                    <a:srcRect/>
                    <a:stretch>
                      <a:fillRect/>
                    </a:stretch>
                  </pic:blipFill>
                  <pic:spPr>
                    <a:xfrm>
                      <a:off x="0" y="0"/>
                      <a:ext cx="3700463" cy="1059841"/>
                    </a:xfrm>
                    <a:prstGeom prst="rect">
                      <a:avLst/>
                    </a:prstGeom>
                    <a:ln/>
                  </pic:spPr>
                </pic:pic>
              </a:graphicData>
            </a:graphic>
          </wp:inline>
        </w:drawing>
      </w:r>
    </w:p>
    <w:p w14:paraId="28926036" w14:textId="77777777" w:rsidR="00927EAC" w:rsidRDefault="00927EAC" w:rsidP="00927EAC"/>
    <w:p w14:paraId="1281C4DF" w14:textId="77777777" w:rsidR="00927EAC" w:rsidRDefault="00927EAC" w:rsidP="00927EAC">
      <w:pPr>
        <w:pStyle w:val="Heading3"/>
      </w:pPr>
      <w:bookmarkStart w:id="19" w:name="_64in1hjojqz2" w:colFirst="0" w:colLast="0"/>
      <w:bookmarkEnd w:id="19"/>
      <w:r>
        <w:lastRenderedPageBreak/>
        <w:t>Estimated impact of raising $500 million while also raising threshold of taxability</w:t>
      </w:r>
    </w:p>
    <w:p w14:paraId="176A6868" w14:textId="77777777" w:rsidR="00927EAC" w:rsidRDefault="00927EAC" w:rsidP="00927EAC">
      <w:r>
        <w:rPr>
          <w:noProof/>
        </w:rPr>
        <w:drawing>
          <wp:inline distT="114300" distB="114300" distL="114300" distR="114300" wp14:anchorId="418699D7" wp14:editId="13810C5E">
            <wp:extent cx="5943600" cy="5029200"/>
            <wp:effectExtent l="0" t="0" r="0" b="0"/>
            <wp:docPr id="2020807957" name="image4.png" descr="A table with numbers and a number of people&#10;&#10;AI-generated content may be incorrect."/>
            <wp:cNvGraphicFramePr/>
            <a:graphic xmlns:a="http://schemas.openxmlformats.org/drawingml/2006/main">
              <a:graphicData uri="http://schemas.openxmlformats.org/drawingml/2006/picture">
                <pic:pic xmlns:pic="http://schemas.openxmlformats.org/drawingml/2006/picture">
                  <pic:nvPicPr>
                    <pic:cNvPr id="2020807957" name="image4.png" descr="A table with numbers and a number of people&#10;&#10;AI-generated content may be incorrect."/>
                    <pic:cNvPicPr preferRelativeResize="0"/>
                  </pic:nvPicPr>
                  <pic:blipFill>
                    <a:blip r:embed="rId18"/>
                    <a:srcRect/>
                    <a:stretch>
                      <a:fillRect/>
                    </a:stretch>
                  </pic:blipFill>
                  <pic:spPr>
                    <a:xfrm>
                      <a:off x="0" y="0"/>
                      <a:ext cx="5943600" cy="5029200"/>
                    </a:xfrm>
                    <a:prstGeom prst="rect">
                      <a:avLst/>
                    </a:prstGeom>
                    <a:ln/>
                  </pic:spPr>
                </pic:pic>
              </a:graphicData>
            </a:graphic>
          </wp:inline>
        </w:drawing>
      </w:r>
    </w:p>
    <w:p w14:paraId="68342141" w14:textId="77777777" w:rsidR="00927EAC" w:rsidRDefault="00927EAC" w:rsidP="00927EAC"/>
    <w:p w14:paraId="7F3BDF66" w14:textId="77777777" w:rsidR="007933D3" w:rsidRDefault="007933D3" w:rsidP="007933D3"/>
    <w:sectPr w:rsidR="007933D3">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895C0" w14:textId="77777777" w:rsidR="0089519D" w:rsidRDefault="0089519D">
      <w:pPr>
        <w:spacing w:line="240" w:lineRule="auto"/>
      </w:pPr>
      <w:r>
        <w:separator/>
      </w:r>
    </w:p>
  </w:endnote>
  <w:endnote w:type="continuationSeparator" w:id="0">
    <w:p w14:paraId="5620494A" w14:textId="77777777" w:rsidR="0089519D" w:rsidRDefault="00895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85067" w14:textId="77777777" w:rsidR="00B0239E" w:rsidRDefault="00000000">
    <w:pPr>
      <w:jc w:val="center"/>
    </w:pPr>
    <w:r>
      <w:fldChar w:fldCharType="begin"/>
    </w:r>
    <w:r>
      <w:instrText>PAGE</w:instrText>
    </w:r>
    <w:r>
      <w:fldChar w:fldCharType="separate"/>
    </w:r>
    <w:r w:rsidR="00694B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8456A" w14:textId="77777777" w:rsidR="0089519D" w:rsidRDefault="0089519D">
      <w:pPr>
        <w:spacing w:line="240" w:lineRule="auto"/>
      </w:pPr>
      <w:r>
        <w:separator/>
      </w:r>
    </w:p>
  </w:footnote>
  <w:footnote w:type="continuationSeparator" w:id="0">
    <w:p w14:paraId="62DC172C" w14:textId="77777777" w:rsidR="0089519D" w:rsidRDefault="008951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7ACE"/>
    <w:multiLevelType w:val="multilevel"/>
    <w:tmpl w:val="F32EC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35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9E"/>
    <w:rsid w:val="000966DC"/>
    <w:rsid w:val="002D1E77"/>
    <w:rsid w:val="00540CD1"/>
    <w:rsid w:val="00694BA0"/>
    <w:rsid w:val="0075606A"/>
    <w:rsid w:val="007933D3"/>
    <w:rsid w:val="0089519D"/>
    <w:rsid w:val="00927EAC"/>
    <w:rsid w:val="00B0239E"/>
    <w:rsid w:val="00D00A5F"/>
    <w:rsid w:val="00F6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83605"/>
  <w15:docId w15:val="{7CA5CA57-8470-4D0D-A90E-73ED11DA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sz w:val="28"/>
      <w:szCs w:val="28"/>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27EAC"/>
    <w:rPr>
      <w:sz w:val="32"/>
      <w:szCs w:val="32"/>
    </w:rPr>
  </w:style>
  <w:style w:type="character" w:customStyle="1" w:styleId="Heading2Char">
    <w:name w:val="Heading 2 Char"/>
    <w:basedOn w:val="DefaultParagraphFont"/>
    <w:link w:val="Heading2"/>
    <w:uiPriority w:val="9"/>
    <w:rsid w:val="00927EAC"/>
    <w:rPr>
      <w:sz w:val="28"/>
      <w:szCs w:val="28"/>
    </w:rPr>
  </w:style>
  <w:style w:type="character" w:customStyle="1" w:styleId="Heading3Char">
    <w:name w:val="Heading 3 Char"/>
    <w:basedOn w:val="DefaultParagraphFont"/>
    <w:link w:val="Heading3"/>
    <w:uiPriority w:val="9"/>
    <w:rsid w:val="00927EAC"/>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x.ny.gov/bus/mctmt/emp.ht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egon.gov/dor/programs/businesses/pages/statewide-transit-tax.aspx"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ltd.org/payroll-self-employment-tax-inform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rimetbonds.com/tri-county-metropolitan-transportation-district-of-oregon-or/additional-info/i6761?i=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1352</Words>
  <Characters>7117</Characters>
  <Application>Microsoft Office Word</Application>
  <DocSecurity>0</DocSecurity>
  <Lines>148</Lines>
  <Paragraphs>51</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 Boyd</dc:creator>
  <cp:lastModifiedBy>Don Boyd</cp:lastModifiedBy>
  <cp:revision>4</cp:revision>
  <dcterms:created xsi:type="dcterms:W3CDTF">2025-02-17T20:31:00Z</dcterms:created>
  <dcterms:modified xsi:type="dcterms:W3CDTF">2025-02-17T20:45:00Z</dcterms:modified>
</cp:coreProperties>
</file>