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9E76" w14:textId="77777777" w:rsidR="004C0EF7" w:rsidRDefault="00000000">
      <w:pPr>
        <w:pStyle w:val="Heading3"/>
      </w:pPr>
      <w:r>
        <w:rPr>
          <w:b/>
        </w:rPr>
        <w:t>Summary</w:t>
      </w:r>
      <w:r>
        <w:br/>
      </w:r>
    </w:p>
    <w:p w14:paraId="6C4ACD23" w14:textId="77777777" w:rsidR="004C0EF7" w:rsidRDefault="00000000">
      <w:pPr>
        <w:pStyle w:val="Report-Body"/>
      </w:pPr>
      <w:r>
        <w:rPr>
          <w:rFonts w:eastAsia="Arial"/>
        </w:rPr>
        <w:t xml:space="preserve">Make-whole premiums are generally </w:t>
      </w:r>
      <w:r>
        <w:rPr>
          <w:rFonts w:eastAsia="Arial"/>
          <w:b/>
        </w:rPr>
        <w:t>not enforceable</w:t>
      </w:r>
      <w:r>
        <w:rPr>
          <w:rFonts w:eastAsia="Arial"/>
        </w:rPr>
        <w:t xml:space="preserve"> when debt is paid in bankruptcy in the Southern District of New York, even under New York-governed indentures. The Second Circuit and SDNY bankruptcy courts have established that automatic acceleration triggered by bankruptcy filings typically precludes make-whole premium recovery because: (1) acceleration changes the maturity date from the original date to the petition date, making any subsequent payment post-maturity rather than prepayment, and (2) payments following automatic acceleration are not made "at the debtor's option" as typically required by optional redemption clauses. However, make-whole premiums may be enforceable if the indenture contains clear and unambiguous language explicitly providing that the premium is due even after acceleration or default.</w:t>
      </w:r>
      <w:r>
        <w:br/>
      </w:r>
    </w:p>
    <w:p w14:paraId="0CACA15E" w14:textId="77777777" w:rsidR="004C0EF7" w:rsidRDefault="00000000">
      <w:pPr>
        <w:pStyle w:val="Heading3"/>
      </w:pPr>
      <w:r>
        <w:rPr>
          <w:b/>
        </w:rPr>
        <w:t>Federal Bankruptcy Law Framework</w:t>
      </w:r>
      <w:r>
        <w:br/>
      </w:r>
    </w:p>
    <w:p w14:paraId="55B74AF8" w14:textId="77777777" w:rsidR="004C0EF7" w:rsidRDefault="00000000">
      <w:pPr>
        <w:pStyle w:val="Heading4"/>
        <w:rPr>
          <w:i w:val="0"/>
        </w:rPr>
      </w:pPr>
      <w:r>
        <w:rPr>
          <w:b/>
        </w:rPr>
        <w:t>Section 502(b)(2) and Unmatured Interest</w:t>
      </w:r>
      <w:r>
        <w:br/>
      </w:r>
    </w:p>
    <w:p w14:paraId="73C3F24B" w14:textId="77777777" w:rsidR="004C0EF7" w:rsidRDefault="00000000">
      <w:pPr>
        <w:pStyle w:val="Report-Body"/>
      </w:pPr>
      <w:r>
        <w:rPr>
          <w:rFonts w:eastAsia="Arial"/>
        </w:rPr>
        <w:t xml:space="preserve">The Bankruptcy Code provides that courts "shall disallow" claims for "unmatured interest" under 11 U.S.C. § 502(b)(2). </w:t>
      </w:r>
      <w:hyperlink r:id="rId7" w:history="1">
        <w:hyperlink r:id="rId8" w:history="1">
          <w:r w:rsidR="00A84510" w:rsidRPr="00A84510">
            <w:rPr>
              <w:noProof/>
              <w14:ligatures w14:val="standardContextual"/>
            </w:rPr>
            <w:pict w14:anchorId="61580D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KeyCite Yellow Flag" style="width:15.5pt;height:15.5pt;mso-width-percent:0;mso-height-percent:0;mso-width-percent:0;mso-height-percent:0">
                <v:imagedata r:id="rId9" o:title=""/>
              </v:shape>
            </w:pict>
          </w:r>
        </w:hyperlink>
      </w:hyperlink>
      <w:r>
        <w:rPr>
          <w:rFonts w:eastAsia="Arial"/>
        </w:rPr>
        <w:t xml:space="preserve"> </w:t>
      </w:r>
      <w:hyperlink r:id="rId10" w:history="1">
        <w:r>
          <w:rPr>
            <w:rStyle w:val="Hyperlink"/>
            <w:rFonts w:eastAsia="Arial"/>
            <w:color w:val="467886"/>
            <w:u w:val="none"/>
          </w:rPr>
          <w:t>11 USCA § 502</w:t>
        </w:r>
      </w:hyperlink>
      <w:r>
        <w:rPr>
          <w:rFonts w:eastAsia="Arial"/>
        </w:rPr>
        <w:t xml:space="preserve"> This provision creates a fundamental limitation on creditors' ability to recover interest that has not accrued as of the bankruptcy petition date. However, courts have distinguished make-whole premiums from unmatured interest when the premiums constitute liquidated damages rather than compensation for the use or forbearance of money.</w:t>
      </w:r>
      <w:r>
        <w:br/>
      </w:r>
    </w:p>
    <w:p w14:paraId="3F331E28" w14:textId="77777777" w:rsidR="004C0EF7" w:rsidRDefault="00000000">
      <w:pPr>
        <w:pStyle w:val="Report-Body"/>
      </w:pPr>
      <w:r>
        <w:rPr>
          <w:rFonts w:eastAsia="Arial"/>
        </w:rPr>
        <w:t xml:space="preserve">In </w:t>
      </w:r>
      <w:r>
        <w:rPr>
          <w:rFonts w:eastAsia="Arial"/>
          <w:i/>
        </w:rPr>
        <w:t>In re Ultra Petroleum Corp.</w:t>
      </w:r>
      <w:r>
        <w:rPr>
          <w:rFonts w:eastAsia="Arial"/>
        </w:rPr>
        <w:t xml:space="preserve">, the bankruptcy court established a three-part framework for analyzing whether make-whole amounts constitute unmatured interest: (1) defining interest as "consideration for the use or forbearance of another's money accruing over time," (2) defining unmatured interest as interest that has not accrued as of the petition date, and (3) identifying characteristics that make a debt the economic equivalent of unmatured interest. </w:t>
      </w:r>
      <w:hyperlink r:id="rId11" w:history="1">
        <w:hyperlink r:id="rId12" w:history="1">
          <w:r w:rsidR="00A84510" w:rsidRPr="00A84510">
            <w:rPr>
              <w:noProof/>
              <w14:ligatures w14:val="standardContextual"/>
            </w:rPr>
            <w:pict w14:anchorId="68FD44EC">
              <v:shape id="_x0000_i1037" type="#_x0000_t75" alt="KeyCite Yellow Flag" style="width:15.5pt;height:15.5pt;mso-width-percent:0;mso-height-percent:0;mso-width-percent:0;mso-height-percent:0">
                <v:imagedata r:id="rId9" o:title=""/>
              </v:shape>
            </w:pict>
          </w:r>
        </w:hyperlink>
      </w:hyperlink>
      <w:r>
        <w:rPr>
          <w:rFonts w:eastAsia="Arial"/>
        </w:rPr>
        <w:t xml:space="preserve"> </w:t>
      </w:r>
      <w:hyperlink r:id="rId13" w:history="1">
        <w:r>
          <w:rPr>
            <w:rStyle w:val="Hyperlink"/>
            <w:rFonts w:eastAsia="Arial"/>
            <w:color w:val="467886"/>
            <w:u w:val="none"/>
          </w:rPr>
          <w:t>In re Ultra Petroleum Corp., 624 B.R. 178 (2020)</w:t>
        </w:r>
      </w:hyperlink>
      <w:r>
        <w:rPr>
          <w:rFonts w:eastAsia="Arial"/>
        </w:rPr>
        <w:t xml:space="preserve"> The court held that make-whole amounts are liquidated damages that compensate for prepayment losses rather than for the use of money, do not accrue over time, and therefore are not unmatured interest subject to disallowance under Section 502(b)(2). </w:t>
      </w:r>
      <w:hyperlink r:id="rId14" w:history="1">
        <w:hyperlink r:id="rId15" w:history="1">
          <w:r w:rsidR="00A84510" w:rsidRPr="00A84510">
            <w:rPr>
              <w:noProof/>
              <w14:ligatures w14:val="standardContextual"/>
            </w:rPr>
            <w:pict w14:anchorId="7BFD5EDA">
              <v:shape id="_x0000_i1036" type="#_x0000_t75" alt="KeyCite Yellow Flag" style="width:15.5pt;height:15.5pt;mso-width-percent:0;mso-height-percent:0;mso-width-percent:0;mso-height-percent:0">
                <v:imagedata r:id="rId9" o:title=""/>
              </v:shape>
            </w:pict>
          </w:r>
        </w:hyperlink>
      </w:hyperlink>
      <w:r>
        <w:rPr>
          <w:rFonts w:eastAsia="Arial"/>
        </w:rPr>
        <w:t xml:space="preserve"> </w:t>
      </w:r>
      <w:hyperlink r:id="rId16" w:history="1">
        <w:r>
          <w:rPr>
            <w:rStyle w:val="Hyperlink"/>
            <w:rFonts w:eastAsia="Arial"/>
            <w:color w:val="467886"/>
            <w:u w:val="none"/>
          </w:rPr>
          <w:t>In re Ultra Petroleum Corp., 624 B.R. 178 (2020)</w:t>
        </w:r>
      </w:hyperlink>
      <w:r>
        <w:br/>
      </w:r>
    </w:p>
    <w:p w14:paraId="2718C890" w14:textId="77777777" w:rsidR="004C0EF7" w:rsidRDefault="00000000">
      <w:pPr>
        <w:pStyle w:val="Heading4"/>
        <w:rPr>
          <w:i w:val="0"/>
        </w:rPr>
      </w:pPr>
      <w:r>
        <w:rPr>
          <w:b/>
        </w:rPr>
        <w:t>Distinguishing Liquidated Damages from Unmatured Interest</w:t>
      </w:r>
      <w:r>
        <w:br/>
      </w:r>
    </w:p>
    <w:p w14:paraId="7CD30298" w14:textId="77777777" w:rsidR="004C0EF7" w:rsidRDefault="00000000">
      <w:pPr>
        <w:pStyle w:val="Report-Body"/>
      </w:pPr>
      <w:r>
        <w:rPr>
          <w:rFonts w:eastAsia="Arial"/>
        </w:rPr>
        <w:t xml:space="preserve">Courts analyze whether make-whole premiums compensate for actual pecuniary loss from prepayment rather than serving as a proxy for future interest payments. The </w:t>
      </w:r>
      <w:r>
        <w:rPr>
          <w:rFonts w:eastAsia="Arial"/>
          <w:i/>
        </w:rPr>
        <w:t>Ultra Petroleum</w:t>
      </w:r>
      <w:r>
        <w:rPr>
          <w:rFonts w:eastAsia="Arial"/>
        </w:rPr>
        <w:t xml:space="preserve"> court emphasized that "economic substance, rather than party labels, </w:t>
      </w:r>
      <w:r>
        <w:rPr>
          <w:rFonts w:eastAsia="Arial"/>
        </w:rPr>
        <w:lastRenderedPageBreak/>
        <w:t xml:space="preserve">determines whether an amount is unmatured interest." </w:t>
      </w:r>
      <w:hyperlink r:id="rId17" w:history="1">
        <w:hyperlink r:id="rId18" w:history="1">
          <w:r w:rsidR="00A84510" w:rsidRPr="00A84510">
            <w:rPr>
              <w:noProof/>
              <w14:ligatures w14:val="standardContextual"/>
            </w:rPr>
            <w:pict w14:anchorId="243C05FD">
              <v:shape id="_x0000_i1035" type="#_x0000_t75" alt="KeyCite Yellow Flag" style="width:15.5pt;height:15.5pt;mso-width-percent:0;mso-height-percent:0;mso-width-percent:0;mso-height-percent:0">
                <v:imagedata r:id="rId9" o:title=""/>
              </v:shape>
            </w:pict>
          </w:r>
        </w:hyperlink>
      </w:hyperlink>
      <w:r>
        <w:rPr>
          <w:rFonts w:eastAsia="Arial"/>
        </w:rPr>
        <w:t xml:space="preserve"> </w:t>
      </w:r>
      <w:hyperlink r:id="rId19" w:history="1">
        <w:r>
          <w:rPr>
            <w:rStyle w:val="Hyperlink"/>
            <w:rFonts w:eastAsia="Arial"/>
            <w:color w:val="467886"/>
            <w:u w:val="none"/>
          </w:rPr>
          <w:t>In re Ultra Petroleum Corp., 624 B.R. 178 (2020)</w:t>
        </w:r>
      </w:hyperlink>
      <w:r>
        <w:rPr>
          <w:rFonts w:eastAsia="Arial"/>
        </w:rPr>
        <w:t xml:space="preserve"> Make-whole amounts that compensate creditors "for the cost of reinvesting in a less favorable market" rather than "for the use or forbearance of their money" are not considered unmatured interest. </w:t>
      </w:r>
      <w:hyperlink r:id="rId20" w:history="1">
        <w:hyperlink r:id="rId21" w:history="1">
          <w:r w:rsidR="00A84510" w:rsidRPr="00A84510">
            <w:rPr>
              <w:noProof/>
              <w14:ligatures w14:val="standardContextual"/>
            </w:rPr>
            <w:pict w14:anchorId="78D04EC4">
              <v:shape id="_x0000_i1034" type="#_x0000_t75" alt="KeyCite Yellow Flag" style="width:15.5pt;height:15.5pt;mso-width-percent:0;mso-height-percent:0;mso-width-percent:0;mso-height-percent:0">
                <v:imagedata r:id="rId9" o:title=""/>
              </v:shape>
            </w:pict>
          </w:r>
        </w:hyperlink>
      </w:hyperlink>
      <w:r>
        <w:rPr>
          <w:rFonts w:eastAsia="Arial"/>
        </w:rPr>
        <w:t xml:space="preserve"> </w:t>
      </w:r>
      <w:hyperlink r:id="rId22" w:history="1">
        <w:r>
          <w:rPr>
            <w:rStyle w:val="Hyperlink"/>
            <w:rFonts w:eastAsia="Arial"/>
            <w:color w:val="467886"/>
            <w:u w:val="none"/>
          </w:rPr>
          <w:t>In re Ultra Petroleum Corp., 624 B.R. 178 (2020)</w:t>
        </w:r>
      </w:hyperlink>
      <w:r>
        <w:br/>
      </w:r>
    </w:p>
    <w:p w14:paraId="46176998" w14:textId="77777777" w:rsidR="004C0EF7" w:rsidRDefault="00000000">
      <w:pPr>
        <w:pStyle w:val="Heading3"/>
      </w:pPr>
      <w:r>
        <w:rPr>
          <w:b/>
        </w:rPr>
        <w:t>Second Circuit and SDNY Precedent on Acceleration</w:t>
      </w:r>
      <w:r>
        <w:br/>
      </w:r>
    </w:p>
    <w:p w14:paraId="0B3AC71C" w14:textId="77777777" w:rsidR="004C0EF7" w:rsidRDefault="00000000">
      <w:pPr>
        <w:pStyle w:val="Heading4"/>
        <w:rPr>
          <w:i w:val="0"/>
        </w:rPr>
      </w:pPr>
      <w:r>
        <w:rPr>
          <w:b/>
        </w:rPr>
        <w:t>The AMR Framework</w:t>
      </w:r>
      <w:r>
        <w:br/>
      </w:r>
    </w:p>
    <w:p w14:paraId="68F53D4F" w14:textId="77777777" w:rsidR="004C0EF7" w:rsidRDefault="00000000">
      <w:pPr>
        <w:pStyle w:val="Report-Body"/>
      </w:pPr>
      <w:r>
        <w:rPr>
          <w:rFonts w:eastAsia="Arial"/>
        </w:rPr>
        <w:t xml:space="preserve">The Second Circuit established controlling precedent in </w:t>
      </w:r>
      <w:r>
        <w:rPr>
          <w:rFonts w:eastAsia="Arial"/>
          <w:i/>
        </w:rPr>
        <w:t>U.S. Bank Trust National Ass'n v. American Airlines, Inc. (In re AMR Corp.)</w:t>
      </w:r>
      <w:r>
        <w:rPr>
          <w:rFonts w:eastAsia="Arial"/>
        </w:rPr>
        <w:t xml:space="preserve">, holding that automatic acceleration triggered by bankruptcy filings changes the maturity date from the original stated date to the petition date, precluding make-whole premium claims. </w:t>
      </w:r>
      <w:hyperlink r:id="rId23" w:history="1">
        <w:hyperlink r:id="rId24" w:history="1">
          <w:r w:rsidR="00A84510" w:rsidRPr="00A84510">
            <w:rPr>
              <w:noProof/>
              <w14:ligatures w14:val="standardContextual"/>
            </w:rPr>
            <w:pict w14:anchorId="3FD6F883">
              <v:shape id="_x0000_i1033" type="#_x0000_t75" alt="KeyCite Yellow Flag" style="width:15.5pt;height:15.5pt;mso-width-percent:0;mso-height-percent:0;mso-width-percent:0;mso-height-percent:0">
                <v:imagedata r:id="rId9" o:title=""/>
              </v:shape>
            </w:pict>
          </w:r>
        </w:hyperlink>
      </w:hyperlink>
      <w:r>
        <w:rPr>
          <w:rFonts w:eastAsia="Arial"/>
        </w:rPr>
        <w:t xml:space="preserve"> </w:t>
      </w:r>
      <w:hyperlink r:id="rId25" w:history="1">
        <w:r>
          <w:rPr>
            <w:rStyle w:val="Hyperlink"/>
            <w:rFonts w:eastAsia="Arial"/>
            <w:color w:val="467886"/>
            <w:u w:val="none"/>
          </w:rPr>
          <w:t>In re AMR Corp., 730 F.3d 88 (2013)</w:t>
        </w:r>
      </w:hyperlink>
      <w:r>
        <w:rPr>
          <w:rFonts w:eastAsia="Arial"/>
        </w:rPr>
        <w:t xml:space="preserve"> The court adopted the reasoning from </w:t>
      </w:r>
      <w:r>
        <w:rPr>
          <w:rFonts w:eastAsia="Arial"/>
          <w:i/>
        </w:rPr>
        <w:t>In re Solutia</w:t>
      </w:r>
      <w:r>
        <w:rPr>
          <w:rFonts w:eastAsia="Arial"/>
        </w:rPr>
        <w:t xml:space="preserve"> that "[p]repayment can only occur prior to the maturity date," and concluded that when debt accelerates upon bankruptcy filing, "the new maturity date for the debt was November 29, 2011." </w:t>
      </w:r>
      <w:hyperlink r:id="rId26" w:history="1">
        <w:hyperlink r:id="rId27" w:history="1">
          <w:r w:rsidR="00A84510" w:rsidRPr="00A84510">
            <w:rPr>
              <w:noProof/>
              <w14:ligatures w14:val="standardContextual"/>
            </w:rPr>
            <w:pict w14:anchorId="0FF74687">
              <v:shape id="_x0000_i1032" type="#_x0000_t75" alt="KeyCite Yellow Flag" style="width:15.5pt;height:15.5pt;mso-width-percent:0;mso-height-percent:0;mso-width-percent:0;mso-height-percent:0">
                <v:imagedata r:id="rId9" o:title=""/>
              </v:shape>
            </w:pict>
          </w:r>
        </w:hyperlink>
      </w:hyperlink>
      <w:r>
        <w:rPr>
          <w:rFonts w:eastAsia="Arial"/>
        </w:rPr>
        <w:t xml:space="preserve"> </w:t>
      </w:r>
      <w:hyperlink r:id="rId28" w:history="1">
        <w:r>
          <w:rPr>
            <w:rStyle w:val="Hyperlink"/>
            <w:rFonts w:eastAsia="Arial"/>
            <w:color w:val="467886"/>
            <w:u w:val="none"/>
          </w:rPr>
          <w:t>In re AMR Corp., 730 F.3d 88 (2013)</w:t>
        </w:r>
      </w:hyperlink>
      <w:r>
        <w:rPr>
          <w:rFonts w:eastAsia="Arial"/>
        </w:rPr>
        <w:t xml:space="preserve"> Consequently, any subsequent payment is not a voluntary prepayment but rather a post-maturity payment.</w:t>
      </w:r>
      <w:r>
        <w:br/>
      </w:r>
    </w:p>
    <w:p w14:paraId="233DEC1F" w14:textId="77777777" w:rsidR="004C0EF7" w:rsidRDefault="00000000">
      <w:pPr>
        <w:pStyle w:val="Report-Body"/>
      </w:pPr>
      <w:r>
        <w:rPr>
          <w:rFonts w:eastAsia="Arial"/>
        </w:rPr>
        <w:t xml:space="preserve">The Second Circuit reinforced this principle in </w:t>
      </w:r>
      <w:r>
        <w:rPr>
          <w:rFonts w:eastAsia="Arial"/>
          <w:i/>
        </w:rPr>
        <w:t>Matter of MPM Silicones, L.L.C.</w:t>
      </w:r>
      <w:r>
        <w:rPr>
          <w:rFonts w:eastAsia="Arial"/>
        </w:rPr>
        <w:t xml:space="preserve">, rejecting noteholders' arguments that issuing replacement notes under a Chapter 11 plan constituted an "optional redemption" triggering make-whole premiums. </w:t>
      </w:r>
      <w:hyperlink r:id="rId29" w:history="1">
        <w:hyperlink r:id="rId30" w:history="1">
          <w:r w:rsidR="00A84510" w:rsidRPr="00A84510">
            <w:rPr>
              <w:noProof/>
              <w14:ligatures w14:val="standardContextual"/>
            </w:rPr>
            <w:pict w14:anchorId="3CB1635E">
              <v:shape id="_x0000_i1031" type="#_x0000_t75" alt="KeyCite Yellow Flag" style="width:15.5pt;height:15.5pt;mso-width-percent:0;mso-height-percent:0;mso-width-percent:0;mso-height-percent:0">
                <v:imagedata r:id="rId9" o:title=""/>
              </v:shape>
            </w:pict>
          </w:r>
        </w:hyperlink>
      </w:hyperlink>
      <w:r>
        <w:rPr>
          <w:rFonts w:eastAsia="Arial"/>
        </w:rPr>
        <w:t xml:space="preserve"> </w:t>
      </w:r>
      <w:hyperlink r:id="rId31" w:history="1">
        <w:r>
          <w:rPr>
            <w:rStyle w:val="Hyperlink"/>
            <w:rFonts w:eastAsia="Arial"/>
            <w:color w:val="467886"/>
            <w:u w:val="none"/>
          </w:rPr>
          <w:t>Matter of MPM Silicones, L.L.C., 874 F.3d 787 (2017)</w:t>
        </w:r>
      </w:hyperlink>
      <w:r>
        <w:rPr>
          <w:rFonts w:eastAsia="Arial"/>
        </w:rPr>
        <w:t xml:space="preserve"> The court held that payments following automatic acceleration are not made "at [MPM's] option" because "the obligation to issue the replacement notes came about automatically by operation of separate indenture provisions, the Automatic Acceleration Clauses." </w:t>
      </w:r>
      <w:hyperlink r:id="rId32" w:history="1">
        <w:hyperlink r:id="rId33" w:history="1">
          <w:r w:rsidR="00A84510" w:rsidRPr="00A84510">
            <w:rPr>
              <w:noProof/>
              <w14:ligatures w14:val="standardContextual"/>
            </w:rPr>
            <w:pict w14:anchorId="728B410A">
              <v:shape id="_x0000_i1030" type="#_x0000_t75" alt="KeyCite Yellow Flag" style="width:15.5pt;height:15.5pt;mso-width-percent:0;mso-height-percent:0;mso-width-percent:0;mso-height-percent:0">
                <v:imagedata r:id="rId9" o:title=""/>
              </v:shape>
            </w:pict>
          </w:r>
        </w:hyperlink>
      </w:hyperlink>
      <w:r>
        <w:rPr>
          <w:rFonts w:eastAsia="Arial"/>
        </w:rPr>
        <w:t xml:space="preserve"> </w:t>
      </w:r>
      <w:hyperlink r:id="rId34" w:history="1">
        <w:r>
          <w:rPr>
            <w:rStyle w:val="Hyperlink"/>
            <w:rFonts w:eastAsia="Arial"/>
            <w:color w:val="467886"/>
            <w:u w:val="none"/>
          </w:rPr>
          <w:t>Matter of MPM Silicones, L.L.C., 874 F.3d 787 (2017)</w:t>
        </w:r>
      </w:hyperlink>
      <w:r>
        <w:br/>
      </w:r>
    </w:p>
    <w:p w14:paraId="199834BC" w14:textId="77777777" w:rsidR="004C0EF7" w:rsidRDefault="00000000">
      <w:pPr>
        <w:pStyle w:val="Heading4"/>
        <w:rPr>
          <w:i w:val="0"/>
        </w:rPr>
      </w:pPr>
      <w:r>
        <w:rPr>
          <w:b/>
        </w:rPr>
        <w:t>SDNY Application in Corporate Reorganizations</w:t>
      </w:r>
      <w:r>
        <w:br/>
      </w:r>
    </w:p>
    <w:p w14:paraId="7F2BD11B" w14:textId="77777777" w:rsidR="004C0EF7" w:rsidRDefault="00000000">
      <w:pPr>
        <w:pStyle w:val="Report-Body"/>
      </w:pPr>
      <w:r>
        <w:rPr>
          <w:rFonts w:eastAsia="Arial"/>
        </w:rPr>
        <w:t xml:space="preserve">SDNY bankruptcy courts have consistently applied the AMR framework while recognizing that contractual interpretation under New York law remains the primary analytical layer. In </w:t>
      </w:r>
      <w:r>
        <w:rPr>
          <w:rFonts w:eastAsia="Arial"/>
          <w:i/>
        </w:rPr>
        <w:t>In re Chemtura Corp.</w:t>
      </w:r>
      <w:r>
        <w:rPr>
          <w:rFonts w:eastAsia="Arial"/>
        </w:rPr>
        <w:t xml:space="preserve">, the court conducted a detailed analysis distinguishing between state law contractual rights and bankruptcy law limitations, noting that make-whole provisions "protect lenders' right to the yield that was expected at the time that they made their loans." </w:t>
      </w:r>
      <w:hyperlink r:id="rId35" w:history="1">
        <w:hyperlink r:id="rId36" w:history="1">
          <w:r w:rsidR="00A84510" w:rsidRPr="00A84510">
            <w:rPr>
              <w:noProof/>
              <w14:ligatures w14:val="standardContextual"/>
            </w:rPr>
            <w:pict w14:anchorId="03861400">
              <v:shape id="_x0000_i1029" type="#_x0000_t75" alt="KeyCite Yellow Flag" style="width:15.5pt;height:15.5pt;mso-width-percent:0;mso-height-percent:0;mso-width-percent:0;mso-height-percent:0">
                <v:imagedata r:id="rId9" o:title=""/>
              </v:shape>
            </w:pict>
          </w:r>
        </w:hyperlink>
      </w:hyperlink>
      <w:r>
        <w:rPr>
          <w:rFonts w:eastAsia="Arial"/>
        </w:rPr>
        <w:t xml:space="preserve"> </w:t>
      </w:r>
      <w:hyperlink r:id="rId37" w:history="1">
        <w:r>
          <w:rPr>
            <w:rStyle w:val="Hyperlink"/>
            <w:rFonts w:eastAsia="Arial"/>
            <w:color w:val="467886"/>
            <w:u w:val="none"/>
          </w:rPr>
          <w:t>In re Chemtura Corp., 439 B.R. 561 (2010)</w:t>
        </w:r>
      </w:hyperlink>
      <w:r>
        <w:rPr>
          <w:rFonts w:eastAsia="Arial"/>
        </w:rPr>
        <w:t xml:space="preserve"> However, the court emphasized that enforceability requires "at least two layers of analysis"—first, state law interpretation of whether payment or damages become due, and second, bankruptcy law considerations including Section 502(b)(2). </w:t>
      </w:r>
      <w:hyperlink r:id="rId38" w:history="1">
        <w:hyperlink r:id="rId39" w:history="1">
          <w:r w:rsidR="00A84510" w:rsidRPr="00A84510">
            <w:rPr>
              <w:noProof/>
              <w14:ligatures w14:val="standardContextual"/>
            </w:rPr>
            <w:pict w14:anchorId="216C9DFA">
              <v:shape id="_x0000_i1028" type="#_x0000_t75" alt="KeyCite Yellow Flag" style="width:15.5pt;height:15.5pt;mso-width-percent:0;mso-height-percent:0;mso-width-percent:0;mso-height-percent:0">
                <v:imagedata r:id="rId9" o:title=""/>
              </v:shape>
            </w:pict>
          </w:r>
        </w:hyperlink>
      </w:hyperlink>
      <w:r>
        <w:rPr>
          <w:rFonts w:eastAsia="Arial"/>
        </w:rPr>
        <w:t xml:space="preserve"> </w:t>
      </w:r>
      <w:hyperlink r:id="rId40" w:history="1">
        <w:r>
          <w:rPr>
            <w:rStyle w:val="Hyperlink"/>
            <w:rFonts w:eastAsia="Arial"/>
            <w:color w:val="467886"/>
            <w:u w:val="none"/>
          </w:rPr>
          <w:t xml:space="preserve">In re </w:t>
        </w:r>
        <w:r>
          <w:rPr>
            <w:rStyle w:val="Hyperlink"/>
            <w:rFonts w:eastAsia="Arial"/>
            <w:color w:val="467886"/>
            <w:u w:val="none"/>
          </w:rPr>
          <w:lastRenderedPageBreak/>
          <w:t>Chemtura Corp., 439 B.R. 561 (2010)</w:t>
        </w:r>
      </w:hyperlink>
      <w:r>
        <w:br/>
      </w:r>
    </w:p>
    <w:p w14:paraId="4F01FD95" w14:textId="77777777" w:rsidR="004C0EF7" w:rsidRDefault="00000000">
      <w:pPr>
        <w:pStyle w:val="Report-Body"/>
      </w:pPr>
      <w:r>
        <w:rPr>
          <w:rFonts w:eastAsia="Arial"/>
        </w:rPr>
        <w:t xml:space="preserve">The Chemtura court found that sophisticated parties' settlement allocating approximately 42% of asserted make-whole claims was within the "range of reasonableness," particularly in the context of a solvent debtor where "issues as to fairness amongst creditors, in sharing a limited pie, no longer apply." </w:t>
      </w:r>
      <w:hyperlink r:id="rId41" w:history="1">
        <w:hyperlink r:id="rId42" w:history="1">
          <w:r w:rsidR="00A84510" w:rsidRPr="00A84510">
            <w:rPr>
              <w:noProof/>
              <w14:ligatures w14:val="standardContextual"/>
            </w:rPr>
            <w:pict w14:anchorId="61BB3627">
              <v:shape id="_x0000_i1027" type="#_x0000_t75" alt="KeyCite Yellow Flag" style="width:15.5pt;height:15.5pt;mso-width-percent:0;mso-height-percent:0;mso-width-percent:0;mso-height-percent:0">
                <v:imagedata r:id="rId9" o:title=""/>
              </v:shape>
            </w:pict>
          </w:r>
        </w:hyperlink>
      </w:hyperlink>
      <w:r>
        <w:rPr>
          <w:rFonts w:eastAsia="Arial"/>
        </w:rPr>
        <w:t xml:space="preserve"> </w:t>
      </w:r>
      <w:hyperlink r:id="rId43" w:history="1">
        <w:r>
          <w:rPr>
            <w:rStyle w:val="Hyperlink"/>
            <w:rFonts w:eastAsia="Arial"/>
            <w:color w:val="467886"/>
            <w:u w:val="none"/>
          </w:rPr>
          <w:t>In re Chemtura Corp., 439 B.R. 561 (2010)</w:t>
        </w:r>
      </w:hyperlink>
      <w:r>
        <w:rPr>
          <w:rFonts w:eastAsia="Arial"/>
        </w:rPr>
        <w:t xml:space="preserve"> This decision highlights the distinction between solvent and insolvent debtors, with courts showing greater willingness to enforce contractual rights when creditor recoveries do not come at other creditors' expense.</w:t>
      </w:r>
      <w:r>
        <w:br/>
      </w:r>
    </w:p>
    <w:p w14:paraId="1A6A11E0" w14:textId="77777777" w:rsidR="004C0EF7" w:rsidRDefault="00000000">
      <w:pPr>
        <w:pStyle w:val="Heading3"/>
      </w:pPr>
      <w:r>
        <w:rPr>
          <w:b/>
        </w:rPr>
        <w:t>New York State Law Governing Make-Whole Provisions</w:t>
      </w:r>
      <w:r>
        <w:br/>
      </w:r>
    </w:p>
    <w:p w14:paraId="723C828F" w14:textId="77777777" w:rsidR="004C0EF7" w:rsidRDefault="00000000">
      <w:pPr>
        <w:pStyle w:val="Heading4"/>
        <w:rPr>
          <w:i w:val="0"/>
        </w:rPr>
      </w:pPr>
      <w:r>
        <w:rPr>
          <w:b/>
        </w:rPr>
        <w:t>Liquidated Damages Analysis</w:t>
      </w:r>
      <w:r>
        <w:br/>
      </w:r>
    </w:p>
    <w:p w14:paraId="16698D08" w14:textId="77777777" w:rsidR="004C0EF7" w:rsidRDefault="00000000">
      <w:pPr>
        <w:pStyle w:val="Report-Body"/>
      </w:pPr>
      <w:r>
        <w:rPr>
          <w:rFonts w:eastAsia="Arial"/>
        </w:rPr>
        <w:t xml:space="preserve">Under New York law, prepayment premiums are enforceable as liquidated damages if: (1) actual damages are difficult to determine, and (2) the sum is not "plainly disproportionate" to the possible loss, determined as of the time parties entered the agreement. </w:t>
      </w:r>
      <w:hyperlink r:id="rId44" w:history="1">
        <w:r>
          <w:rPr>
            <w:rStyle w:val="Hyperlink"/>
            <w:rFonts w:eastAsia="Arial"/>
            <w:color w:val="467886"/>
            <w:u w:val="none"/>
          </w:rPr>
          <w:t>In re 1141 Realty Owner LLC, 598 B.R. 534 (2019)</w:t>
        </w:r>
      </w:hyperlink>
      <w:r>
        <w:rPr>
          <w:rFonts w:eastAsia="Arial"/>
        </w:rPr>
        <w:t xml:space="preserve"> Courts emphasize that "the historical distinction between liquidated damages and penalties has become increasingly difficult to justify, and courts should not interfere with the parties' agreement regarding liquidated damages absent some persuasive justification." </w:t>
      </w:r>
      <w:hyperlink r:id="rId45" w:history="1">
        <w:r>
          <w:rPr>
            <w:rStyle w:val="Hyperlink"/>
            <w:rFonts w:eastAsia="Arial"/>
            <w:color w:val="467886"/>
            <w:u w:val="none"/>
          </w:rPr>
          <w:t>In re 1141 Realty Owner LLC, 598 B.R. 534 (2019)</w:t>
        </w:r>
      </w:hyperlink>
      <w:r>
        <w:br/>
      </w:r>
    </w:p>
    <w:p w14:paraId="6A5420BA" w14:textId="77777777" w:rsidR="004C0EF7" w:rsidRDefault="00000000">
      <w:pPr>
        <w:pStyle w:val="Report-Body"/>
      </w:pPr>
      <w:r>
        <w:rPr>
          <w:rFonts w:eastAsia="Arial"/>
        </w:rPr>
        <w:t xml:space="preserve">The burden falls on the party seeking to avoid the liquidated damages clause to prove it constitutes an unenforceable penalty by demonstrating either that damages were readily ascertainable at contract formation or that the premium is "conspicuously disproportionate" to the lender's foreseeable losses. </w:t>
      </w:r>
      <w:hyperlink r:id="rId46" w:history="1">
        <w:r>
          <w:rPr>
            <w:rStyle w:val="Hyperlink"/>
            <w:rFonts w:eastAsia="Arial"/>
            <w:color w:val="467886"/>
            <w:u w:val="none"/>
          </w:rPr>
          <w:t>In re 1141 Realty Owner LLC, 598 B.R. 534 (2019)</w:t>
        </w:r>
      </w:hyperlink>
      <w:r>
        <w:br/>
      </w:r>
    </w:p>
    <w:p w14:paraId="387881F2" w14:textId="77777777" w:rsidR="004C0EF7" w:rsidRDefault="00000000">
      <w:pPr>
        <w:pStyle w:val="Heading4"/>
        <w:rPr>
          <w:i w:val="0"/>
        </w:rPr>
      </w:pPr>
      <w:r>
        <w:rPr>
          <w:b/>
        </w:rPr>
        <w:t>Acceleration and Forfeiture Rules</w:t>
      </w:r>
      <w:r>
        <w:br/>
      </w:r>
    </w:p>
    <w:p w14:paraId="021DFCDB" w14:textId="77777777" w:rsidR="004C0EF7" w:rsidRDefault="00000000">
      <w:pPr>
        <w:pStyle w:val="Report-Body"/>
      </w:pPr>
      <w:r>
        <w:rPr>
          <w:rFonts w:eastAsia="Arial"/>
        </w:rPr>
        <w:t xml:space="preserve">New York law generally provides that lenders forfeit the right to prepayment premiums by accelerating loans following default because acceleration advances the maturity date, eliminating the possibility of prepayment. </w:t>
      </w:r>
      <w:hyperlink r:id="rId47" w:history="1">
        <w:r>
          <w:rPr>
            <w:rStyle w:val="Hyperlink"/>
            <w:rFonts w:eastAsia="Arial"/>
            <w:color w:val="467886"/>
            <w:u w:val="none"/>
          </w:rPr>
          <w:t>In re 1141 Realty Owner LLC, 598 B.R. 534 (2019)</w:t>
        </w:r>
      </w:hyperlink>
      <w:r>
        <w:rPr>
          <w:rFonts w:eastAsia="Arial"/>
        </w:rPr>
        <w:t xml:space="preserve"> However, courts recognize two exceptions: (1) when borrowers intentionally default to trigger acceleration and evade premium payment, and (2) when contracts contain "clear and unambiguous" clauses requiring premium payment even after default and acceleration. </w:t>
      </w:r>
      <w:hyperlink r:id="rId48" w:history="1">
        <w:r>
          <w:rPr>
            <w:rStyle w:val="Hyperlink"/>
            <w:rFonts w:eastAsia="Arial"/>
            <w:color w:val="467886"/>
            <w:u w:val="none"/>
          </w:rPr>
          <w:t>In re 1141 Realty Owner LLC, 598 B.R. 534 (2019)</w:t>
        </w:r>
      </w:hyperlink>
      <w:r>
        <w:br/>
      </w:r>
    </w:p>
    <w:p w14:paraId="537A0C2A" w14:textId="77777777" w:rsidR="004C0EF7" w:rsidRDefault="00000000">
      <w:pPr>
        <w:pStyle w:val="Report-Body"/>
      </w:pPr>
      <w:r>
        <w:rPr>
          <w:rFonts w:eastAsia="Arial"/>
        </w:rPr>
        <w:t xml:space="preserve">In </w:t>
      </w:r>
      <w:r>
        <w:rPr>
          <w:rFonts w:eastAsia="Arial"/>
          <w:i/>
        </w:rPr>
        <w:t>In re 1141 Realty Owner LLC</w:t>
      </w:r>
      <w:r>
        <w:rPr>
          <w:rFonts w:eastAsia="Arial"/>
        </w:rPr>
        <w:t xml:space="preserve">, the SDNY bankruptcy court enforced a carefully drafted provision that deemed any post-default payment a "voluntary prepayment" for yield maintenance purposes, finding this language sufficiently clear to survive acceleration. </w:t>
      </w:r>
      <w:hyperlink r:id="rId49" w:history="1">
        <w:r>
          <w:rPr>
            <w:rStyle w:val="Hyperlink"/>
            <w:rFonts w:eastAsia="Arial"/>
            <w:color w:val="467886"/>
            <w:u w:val="none"/>
          </w:rPr>
          <w:t>In re 1141 Realty Owner LLC, 598 B.R. 534 (2019)</w:t>
        </w:r>
      </w:hyperlink>
      <w:r>
        <w:rPr>
          <w:rFonts w:eastAsia="Arial"/>
        </w:rPr>
        <w:t xml:space="preserve"> The court noted that </w:t>
      </w:r>
      <w:r>
        <w:rPr>
          <w:rFonts w:eastAsia="Arial"/>
        </w:rPr>
        <w:lastRenderedPageBreak/>
        <w:t xml:space="preserve">"parties can provide for their rights with any language that plainly conveys their intent" and that "deeming the post-default payment to be a 'voluntary prepayment' does not forfeit the Yield Maintenance Default Premium; it confirms the parties' intent that it must be paid even if it is not an actual prepayment." </w:t>
      </w:r>
      <w:hyperlink r:id="rId50" w:history="1">
        <w:r>
          <w:rPr>
            <w:rStyle w:val="Hyperlink"/>
            <w:rFonts w:eastAsia="Arial"/>
            <w:color w:val="467886"/>
            <w:u w:val="none"/>
          </w:rPr>
          <w:t>In re 1141 Realty Owner LLC, 598 B.R. 534 (2019)</w:t>
        </w:r>
      </w:hyperlink>
      <w:r>
        <w:br/>
      </w:r>
    </w:p>
    <w:p w14:paraId="0C31805A" w14:textId="77777777" w:rsidR="004C0EF7" w:rsidRDefault="00000000">
      <w:pPr>
        <w:pStyle w:val="Heading3"/>
      </w:pPr>
      <w:r>
        <w:rPr>
          <w:b/>
        </w:rPr>
        <w:t>Contractual Drafting Requirements</w:t>
      </w:r>
      <w:r>
        <w:br/>
      </w:r>
    </w:p>
    <w:p w14:paraId="6215C60C" w14:textId="77777777" w:rsidR="004C0EF7" w:rsidRDefault="00000000">
      <w:pPr>
        <w:pStyle w:val="Heading4"/>
        <w:rPr>
          <w:i w:val="0"/>
        </w:rPr>
      </w:pPr>
      <w:r>
        <w:rPr>
          <w:b/>
        </w:rPr>
        <w:t>Explicit Survival Language</w:t>
      </w:r>
      <w:r>
        <w:br/>
      </w:r>
    </w:p>
    <w:p w14:paraId="785BB3E4" w14:textId="77777777" w:rsidR="004C0EF7" w:rsidRDefault="00000000">
      <w:pPr>
        <w:pStyle w:val="Report-Body"/>
      </w:pPr>
      <w:r>
        <w:rPr>
          <w:rFonts w:eastAsia="Arial"/>
        </w:rPr>
        <w:t xml:space="preserve">SDNY courts have consistently held that indentures must contain express language providing for payment of prepayment premiums upon acceleration; otherwise, such premiums are not owed. </w:t>
      </w:r>
      <w:hyperlink r:id="rId51" w:history="1">
        <w:r>
          <w:rPr>
            <w:rStyle w:val="Hyperlink"/>
            <w:rFonts w:eastAsia="Arial"/>
            <w:color w:val="467886"/>
            <w:u w:val="none"/>
          </w:rPr>
          <w:t>Practice notes, Treatment of Make-Whole and No-Call Provisions in Bankruptcy</w:t>
        </w:r>
      </w:hyperlink>
      <w:r>
        <w:rPr>
          <w:rFonts w:eastAsia="Arial"/>
        </w:rPr>
        <w:t xml:space="preserve"> Courts have disagreed on whether vague provisions such as "premium, if any" create an unambiguous right to make-whole payments following acceleration, with the Second Circuit finding such language insufficient while the Third Circuit found it adequate. </w:t>
      </w:r>
      <w:hyperlink r:id="rId52" w:history="1">
        <w:r>
          <w:rPr>
            <w:rStyle w:val="Hyperlink"/>
            <w:rFonts w:eastAsia="Arial"/>
            <w:color w:val="467886"/>
            <w:u w:val="none"/>
          </w:rPr>
          <w:t>Practice notes, Treatment of Make-Whole and No-Call Provisions in Bankruptcy</w:t>
        </w:r>
      </w:hyperlink>
      <w:r>
        <w:rPr>
          <w:rFonts w:eastAsia="Arial"/>
        </w:rPr>
        <w:t xml:space="preserve"> Courts have rejected make-whole claims when indentures lack explicit provisions stating that the make-whole is payable after or regardless of acceleration. </w:t>
      </w:r>
      <w:hyperlink r:id="rId53" w:history="1">
        <w:r>
          <w:rPr>
            <w:rStyle w:val="Hyperlink"/>
            <w:rFonts w:eastAsia="Arial"/>
            <w:color w:val="467886"/>
            <w:u w:val="none"/>
          </w:rPr>
          <w:t>Practice notes, Treatment of Make-Whole and No-Call Provisions in Bankruptcy</w:t>
        </w:r>
      </w:hyperlink>
      <w:r>
        <w:br/>
      </w:r>
    </w:p>
    <w:p w14:paraId="7111237E" w14:textId="77777777" w:rsidR="004C0EF7" w:rsidRDefault="00000000">
      <w:pPr>
        <w:pStyle w:val="Report-Body"/>
      </w:pPr>
      <w:r>
        <w:rPr>
          <w:rFonts w:eastAsia="Arial"/>
        </w:rPr>
        <w:t xml:space="preserve">Effective drafting should include provisions that: (1) explicitly state the make-whole premium is due following acceleration, (2) define "maturity date" clearly as the original stated maturity rather than any accelerated date, and (3) specify that premiums are owed regardless of the circumstances causing early payment, including bankruptcy filings. </w:t>
      </w:r>
      <w:hyperlink r:id="rId54" w:history="1">
        <w:r>
          <w:rPr>
            <w:rStyle w:val="Hyperlink"/>
            <w:rFonts w:eastAsia="Arial"/>
            <w:color w:val="467886"/>
            <w:u w:val="none"/>
          </w:rPr>
          <w:t>Legal update: archive, In re AMR: Second Circuit Affirms Rejection of Make-whole Claim for Repayment of Accelerated Debt</w:t>
        </w:r>
      </w:hyperlink>
      <w:r>
        <w:br/>
      </w:r>
    </w:p>
    <w:p w14:paraId="398B87BE" w14:textId="77777777" w:rsidR="004C0EF7" w:rsidRDefault="00000000">
      <w:pPr>
        <w:pStyle w:val="Heading4"/>
        <w:rPr>
          <w:i w:val="0"/>
        </w:rPr>
      </w:pPr>
      <w:r>
        <w:rPr>
          <w:b/>
        </w:rPr>
        <w:t>Distinguishing Optional from Automatic Actions</w:t>
      </w:r>
      <w:r>
        <w:br/>
      </w:r>
    </w:p>
    <w:p w14:paraId="38E35E50" w14:textId="77777777" w:rsidR="004C0EF7" w:rsidRDefault="00000000">
      <w:pPr>
        <w:pStyle w:val="Report-Body"/>
      </w:pPr>
      <w:r>
        <w:rPr>
          <w:rFonts w:eastAsia="Arial"/>
        </w:rPr>
        <w:t xml:space="preserve">Courts analyze whether payments result from debtors' voluntary choices or automatic operation of contract provisions. Even when debtors refinance at favorable rates, courts focus on whether the contractual mechanism requires payment rather than the debtor's underlying motivations. In </w:t>
      </w:r>
      <w:r>
        <w:rPr>
          <w:rFonts w:eastAsia="Arial"/>
          <w:i/>
        </w:rPr>
        <w:t>AMR</w:t>
      </w:r>
      <w:r>
        <w:rPr>
          <w:rFonts w:eastAsia="Arial"/>
        </w:rPr>
        <w:t xml:space="preserve">, the Second Circuit rejected arguments that refinancing to access better rates constituted voluntary redemption when the indenture's acceleration provisions had already operated automatically. </w:t>
      </w:r>
      <w:hyperlink r:id="rId55" w:history="1">
        <w:hyperlink r:id="rId56" w:history="1">
          <w:r w:rsidR="00A84510" w:rsidRPr="00A84510">
            <w:rPr>
              <w:noProof/>
              <w14:ligatures w14:val="standardContextual"/>
            </w:rPr>
            <w:pict w14:anchorId="10C62940">
              <v:shape id="_x0000_i1026" type="#_x0000_t75" alt="KeyCite Yellow Flag" style="width:15.5pt;height:15.5pt;mso-width-percent:0;mso-height-percent:0;mso-width-percent:0;mso-height-percent:0">
                <v:imagedata r:id="rId9" o:title=""/>
              </v:shape>
            </w:pict>
          </w:r>
        </w:hyperlink>
      </w:hyperlink>
      <w:r>
        <w:rPr>
          <w:rFonts w:eastAsia="Arial"/>
        </w:rPr>
        <w:t xml:space="preserve"> </w:t>
      </w:r>
      <w:hyperlink r:id="rId57" w:history="1">
        <w:r>
          <w:rPr>
            <w:rStyle w:val="Hyperlink"/>
            <w:rFonts w:eastAsia="Arial"/>
            <w:color w:val="467886"/>
            <w:u w:val="none"/>
          </w:rPr>
          <w:t>In re AMR Corp., 730 F.3d 88 (2013)</w:t>
        </w:r>
      </w:hyperlink>
      <w:r>
        <w:br/>
      </w:r>
    </w:p>
    <w:p w14:paraId="05A5F82F" w14:textId="77777777" w:rsidR="004C0EF7" w:rsidRDefault="00000000">
      <w:pPr>
        <w:pStyle w:val="Heading3"/>
      </w:pPr>
      <w:r>
        <w:rPr>
          <w:b/>
        </w:rPr>
        <w:lastRenderedPageBreak/>
        <w:t>Practical Implications for SDNY Cases</w:t>
      </w:r>
      <w:r>
        <w:br/>
      </w:r>
    </w:p>
    <w:p w14:paraId="4B2EE3BD" w14:textId="77777777" w:rsidR="004C0EF7" w:rsidRDefault="00000000">
      <w:pPr>
        <w:pStyle w:val="Report-Body"/>
      </w:pPr>
      <w:r>
        <w:rPr>
          <w:rFonts w:eastAsia="Arial"/>
        </w:rPr>
        <w:t xml:space="preserve">Recent SDNY decisions continue following established precedent requiring clear contractual language for make-whole enforcement post-acceleration. The practical effect is that most standard indenture provisions fail to preserve make-whole rights following bankruptcy-triggered acceleration unless they explicitly address this scenario. </w:t>
      </w:r>
      <w:hyperlink r:id="rId58" w:history="1">
        <w:r>
          <w:rPr>
            <w:rStyle w:val="Hyperlink"/>
            <w:rFonts w:eastAsia="Arial"/>
            <w:color w:val="467886"/>
            <w:u w:val="none"/>
          </w:rPr>
          <w:t>Practice notes, Treatment of Make-Whole and No-Call Provisions in Bankruptcy</w:t>
        </w:r>
      </w:hyperlink>
      <w:r>
        <w:rPr>
          <w:rFonts w:eastAsia="Arial"/>
        </w:rPr>
        <w:t xml:space="preserve"> </w:t>
      </w:r>
      <w:hyperlink r:id="rId59" w:history="1">
        <w:r>
          <w:rPr>
            <w:rStyle w:val="Hyperlink"/>
            <w:rFonts w:eastAsia="Arial"/>
            <w:color w:val="467886"/>
            <w:u w:val="none"/>
          </w:rPr>
          <w:t>Legal update: archive, In re AMR: Second Circuit Affirms Rejection of Make-whole Claim for Repayment of Accelerated Debt</w:t>
        </w:r>
      </w:hyperlink>
      <w:r>
        <w:br/>
      </w:r>
    </w:p>
    <w:p w14:paraId="60E39A22" w14:textId="77777777" w:rsidR="004C0EF7" w:rsidRDefault="00000000">
      <w:pPr>
        <w:pStyle w:val="Report-Body"/>
      </w:pPr>
      <w:r>
        <w:rPr>
          <w:rFonts w:eastAsia="Arial"/>
        </w:rPr>
        <w:t xml:space="preserve">The distinction between solvent and insolvent debtors may influence courts' willingness to enforce carefully drafted provisions, with the Chemtura decision suggesting greater deference to contractual rights when enforcement does not disadvantage other creditors. </w:t>
      </w:r>
      <w:hyperlink r:id="rId60" w:history="1">
        <w:hyperlink r:id="rId61" w:history="1">
          <w:r w:rsidR="00A84510" w:rsidRPr="00A84510">
            <w:rPr>
              <w:noProof/>
              <w14:ligatures w14:val="standardContextual"/>
            </w:rPr>
            <w:pict w14:anchorId="5FEB0346">
              <v:shape id="_x0000_i1025" type="#_x0000_t75" alt="KeyCite Yellow Flag" style="width:15.5pt;height:15.5pt;mso-width-percent:0;mso-height-percent:0;mso-width-percent:0;mso-height-percent:0">
                <v:imagedata r:id="rId9" o:title=""/>
              </v:shape>
            </w:pict>
          </w:r>
        </w:hyperlink>
      </w:hyperlink>
      <w:r>
        <w:rPr>
          <w:rFonts w:eastAsia="Arial"/>
        </w:rPr>
        <w:t xml:space="preserve"> </w:t>
      </w:r>
      <w:hyperlink r:id="rId62" w:history="1">
        <w:r>
          <w:rPr>
            <w:rStyle w:val="Hyperlink"/>
            <w:rFonts w:eastAsia="Arial"/>
            <w:color w:val="467886"/>
            <w:u w:val="none"/>
          </w:rPr>
          <w:t>In re Chemtura Corp., 439 B.R. 561 (2010)</w:t>
        </w:r>
      </w:hyperlink>
      <w:r>
        <w:rPr>
          <w:rFonts w:eastAsia="Arial"/>
        </w:rPr>
        <w:t xml:space="preserve"> However, even in solvent cases, the fundamental requirement for clear contractual language permitting post-acceleration premiums remains unchanged.</w:t>
      </w:r>
    </w:p>
    <w:p w14:paraId="169CE757" w14:textId="77777777" w:rsidR="000911FB" w:rsidRPr="00E5063B" w:rsidRDefault="000911FB" w:rsidP="000911FB">
      <w:pPr>
        <w:pStyle w:val="Report-Body"/>
      </w:pPr>
    </w:p>
    <w:p w14:paraId="6AB499F0" w14:textId="57FA813B" w:rsidR="004C0EF7" w:rsidRDefault="00000000" w:rsidP="00BF4E89">
      <w:r>
        <w:br/>
      </w:r>
      <w:r>
        <w:br/>
      </w:r>
    </w:p>
    <w:p w14:paraId="2D8271A4" w14:textId="77777777" w:rsidR="00266DD2" w:rsidRDefault="00000000" w:rsidP="00266DD2">
      <w:pPr>
        <w:pStyle w:val="Report-Body"/>
        <w:rPr>
          <w:rFonts w:eastAsiaTheme="minorHAnsi"/>
        </w:rPr>
      </w:pPr>
      <w:r w:rsidRPr="007A4513">
        <w:rPr>
          <w:rFonts w:eastAsia="Arial"/>
        </w:rPr>
        <w:t xml:space="preserve"> </w:t>
      </w:r>
    </w:p>
    <w:p w14:paraId="004E782C" w14:textId="77777777" w:rsidR="00F3378D" w:rsidRPr="000E6B43" w:rsidRDefault="00F3378D" w:rsidP="00CD7BBC">
      <w:pPr>
        <w:pStyle w:val="Report-Body"/>
      </w:pPr>
    </w:p>
    <w:p w14:paraId="5D64F06C" w14:textId="77777777" w:rsidR="007E5AC0" w:rsidRPr="00A610D3" w:rsidRDefault="007E5AC0" w:rsidP="00A610D3"/>
    <w:sectPr w:rsidR="007E5AC0" w:rsidRPr="00A610D3" w:rsidSect="00B62FF8">
      <w:footerReference w:type="even" r:id="rId63"/>
      <w:footerReference w:type="default" r:id="rId64"/>
      <w:pgSz w:w="12240" w:h="15840"/>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5571A" w14:textId="77777777" w:rsidR="00A84510" w:rsidRDefault="00A84510">
      <w:pPr>
        <w:spacing w:after="0" w:line="240" w:lineRule="auto"/>
      </w:pPr>
      <w:r>
        <w:separator/>
      </w:r>
    </w:p>
  </w:endnote>
  <w:endnote w:type="continuationSeparator" w:id="0">
    <w:p w14:paraId="52889C99" w14:textId="77777777" w:rsidR="00A84510" w:rsidRDefault="00A84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CC66" w14:textId="77777777" w:rsidR="00FB3768" w:rsidRDefault="00FB3768" w:rsidP="007177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D5A7" w14:textId="77777777" w:rsidR="0071770E" w:rsidRPr="00CA3A86" w:rsidRDefault="0071770E" w:rsidP="00266D65">
    <w:pPr>
      <w:pStyle w:val="Footer"/>
      <w:rPr>
        <w:rStyle w:val="PageNumber"/>
        <w:rFonts w:ascii="Arial" w:hAnsi="Arial" w:cs="Arial"/>
        <w:sz w:val="18"/>
        <w:szCs w:val="18"/>
      </w:rPr>
    </w:pPr>
  </w:p>
  <w:p w14:paraId="7E3D4121" w14:textId="69CD38F4" w:rsidR="00266D65" w:rsidRPr="00CA3A86" w:rsidRDefault="00000000" w:rsidP="004A573A">
    <w:pPr>
      <w:pStyle w:val="Footer"/>
      <w:rPr>
        <w:rStyle w:val="PageNumber"/>
        <w:rFonts w:ascii="Arial" w:hAnsi="Arial" w:cs="Arial"/>
        <w:sz w:val="18"/>
        <w:szCs w:val="18"/>
      </w:rPr>
    </w:pPr>
    <w:r w:rsidRPr="00CA3A86">
      <w:rPr>
        <w:noProof/>
      </w:rPr>
      <w:drawing>
        <wp:anchor distT="0" distB="0" distL="114300" distR="114300" simplePos="0" relativeHeight="251658240" behindDoc="0" locked="0" layoutInCell="1" allowOverlap="1" wp14:anchorId="44144CE0" wp14:editId="59D61407">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w:r>
    <w:r w:rsidR="004A573A">
      <w:tab/>
    </w:r>
    <w:r>
      <w:fldChar w:fldCharType="begin"/>
    </w:r>
    <w:r>
      <w:instrText xml:space="preserve"> PAGE</w:instrText>
    </w:r>
    <w:r>
      <w:fldChar w:fldCharType="separate"/>
    </w:r>
    <w:r w:rsidR="00BF4E89">
      <w:rPr>
        <w:noProof/>
      </w:rPr>
      <w:t>1</w:t>
    </w:r>
    <w:r>
      <w:fldChar w:fldCharType="end"/>
    </w:r>
  </w:p>
  <w:p w14:paraId="0EF88A8C" w14:textId="77777777" w:rsidR="00FB3768" w:rsidRPr="00CA3A86" w:rsidRDefault="00FB3768" w:rsidP="00266D65">
    <w:pPr>
      <w:pStyle w:val="Foo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CF9BE" w14:textId="77777777" w:rsidR="00A84510" w:rsidRDefault="00A84510">
      <w:pPr>
        <w:spacing w:after="0" w:line="240" w:lineRule="auto"/>
      </w:pPr>
      <w:r>
        <w:separator/>
      </w:r>
    </w:p>
  </w:footnote>
  <w:footnote w:type="continuationSeparator" w:id="0">
    <w:p w14:paraId="05B0C8FC" w14:textId="77777777" w:rsidR="00A84510" w:rsidRDefault="00A84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 w15:restartNumberingAfterBreak="0">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7C5654BC"/>
    <w:multiLevelType w:val="hybridMultilevel"/>
    <w:tmpl w:val="7C5654BC"/>
    <w:lvl w:ilvl="0" w:tplc="4DF63F92">
      <w:start w:val="1"/>
      <w:numFmt w:val="bullet"/>
      <w:lvlText w:val="✓"/>
      <w:lvlJc w:val="left"/>
      <w:pPr>
        <w:tabs>
          <w:tab w:val="num" w:pos="720"/>
        </w:tabs>
        <w:ind w:left="720" w:hanging="360"/>
      </w:pPr>
      <w:rPr>
        <w:rFonts w:ascii="Segoe UI Symbol" w:eastAsia="Segoe UI Symbol" w:hAnsi="Segoe UI Symbol" w:cs="Segoe UI Symbol"/>
      </w:rPr>
    </w:lvl>
    <w:lvl w:ilvl="1" w:tplc="16FE4C50">
      <w:start w:val="1"/>
      <w:numFmt w:val="bullet"/>
      <w:lvlText w:val="o"/>
      <w:lvlJc w:val="left"/>
      <w:pPr>
        <w:tabs>
          <w:tab w:val="num" w:pos="1440"/>
        </w:tabs>
        <w:ind w:left="1440" w:hanging="360"/>
      </w:pPr>
      <w:rPr>
        <w:rFonts w:ascii="Symbol" w:eastAsia="Symbol" w:hAnsi="Symbol" w:cs="Symbol"/>
      </w:rPr>
    </w:lvl>
    <w:lvl w:ilvl="2" w:tplc="E8C0947A">
      <w:start w:val="1"/>
      <w:numFmt w:val="bullet"/>
      <w:lvlText w:val=""/>
      <w:lvlJc w:val="left"/>
      <w:pPr>
        <w:tabs>
          <w:tab w:val="num" w:pos="2160"/>
        </w:tabs>
        <w:ind w:left="2160" w:hanging="360"/>
      </w:pPr>
      <w:rPr>
        <w:rFonts w:ascii="Wingdings" w:hAnsi="Wingdings"/>
      </w:rPr>
    </w:lvl>
    <w:lvl w:ilvl="3" w:tplc="8892D672">
      <w:start w:val="1"/>
      <w:numFmt w:val="bullet"/>
      <w:lvlText w:val=""/>
      <w:lvlJc w:val="left"/>
      <w:pPr>
        <w:tabs>
          <w:tab w:val="num" w:pos="2880"/>
        </w:tabs>
        <w:ind w:left="2880" w:hanging="360"/>
      </w:pPr>
      <w:rPr>
        <w:rFonts w:ascii="Symbol" w:hAnsi="Symbol"/>
      </w:rPr>
    </w:lvl>
    <w:lvl w:ilvl="4" w:tplc="77BE4AD4">
      <w:start w:val="1"/>
      <w:numFmt w:val="bullet"/>
      <w:lvlText w:val="o"/>
      <w:lvlJc w:val="left"/>
      <w:pPr>
        <w:tabs>
          <w:tab w:val="num" w:pos="3600"/>
        </w:tabs>
        <w:ind w:left="3600" w:hanging="360"/>
      </w:pPr>
      <w:rPr>
        <w:rFonts w:ascii="Courier New" w:hAnsi="Courier New"/>
      </w:rPr>
    </w:lvl>
    <w:lvl w:ilvl="5" w:tplc="0CAA52AE">
      <w:start w:val="1"/>
      <w:numFmt w:val="bullet"/>
      <w:lvlText w:val=""/>
      <w:lvlJc w:val="left"/>
      <w:pPr>
        <w:tabs>
          <w:tab w:val="num" w:pos="4320"/>
        </w:tabs>
        <w:ind w:left="4320" w:hanging="360"/>
      </w:pPr>
      <w:rPr>
        <w:rFonts w:ascii="Wingdings" w:hAnsi="Wingdings"/>
      </w:rPr>
    </w:lvl>
    <w:lvl w:ilvl="6" w:tplc="5F0A9986">
      <w:start w:val="1"/>
      <w:numFmt w:val="bullet"/>
      <w:lvlText w:val=""/>
      <w:lvlJc w:val="left"/>
      <w:pPr>
        <w:tabs>
          <w:tab w:val="num" w:pos="5040"/>
        </w:tabs>
        <w:ind w:left="5040" w:hanging="360"/>
      </w:pPr>
      <w:rPr>
        <w:rFonts w:ascii="Symbol" w:hAnsi="Symbol"/>
      </w:rPr>
    </w:lvl>
    <w:lvl w:ilvl="7" w:tplc="51EC48E2">
      <w:start w:val="1"/>
      <w:numFmt w:val="bullet"/>
      <w:lvlText w:val="o"/>
      <w:lvlJc w:val="left"/>
      <w:pPr>
        <w:tabs>
          <w:tab w:val="num" w:pos="5760"/>
        </w:tabs>
        <w:ind w:left="5760" w:hanging="360"/>
      </w:pPr>
      <w:rPr>
        <w:rFonts w:ascii="Courier New" w:hAnsi="Courier New"/>
      </w:rPr>
    </w:lvl>
    <w:lvl w:ilvl="8" w:tplc="8EB64264">
      <w:start w:val="1"/>
      <w:numFmt w:val="bullet"/>
      <w:lvlText w:val=""/>
      <w:lvlJc w:val="left"/>
      <w:pPr>
        <w:tabs>
          <w:tab w:val="num" w:pos="6480"/>
        </w:tabs>
        <w:ind w:left="6480" w:hanging="360"/>
      </w:pPr>
      <w:rPr>
        <w:rFonts w:ascii="Wingdings" w:hAnsi="Wingdings"/>
      </w:rPr>
    </w:lvl>
  </w:abstractNum>
  <w:num w:numId="1" w16cid:durableId="875699361">
    <w:abstractNumId w:val="0"/>
  </w:num>
  <w:num w:numId="2" w16cid:durableId="1687054270">
    <w:abstractNumId w:val="1"/>
  </w:num>
  <w:num w:numId="3" w16cid:durableId="128473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0434"/>
    <w:rsid w:val="00011EB0"/>
    <w:rsid w:val="00020FD1"/>
    <w:rsid w:val="00027A36"/>
    <w:rsid w:val="0003200D"/>
    <w:rsid w:val="00032904"/>
    <w:rsid w:val="000513CE"/>
    <w:rsid w:val="00054AE9"/>
    <w:rsid w:val="00075FC5"/>
    <w:rsid w:val="000815E7"/>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77C2A"/>
    <w:rsid w:val="001947AC"/>
    <w:rsid w:val="00194FAC"/>
    <w:rsid w:val="0019606A"/>
    <w:rsid w:val="001B15B9"/>
    <w:rsid w:val="001B47B6"/>
    <w:rsid w:val="001B4E7F"/>
    <w:rsid w:val="001B6E29"/>
    <w:rsid w:val="001C2E92"/>
    <w:rsid w:val="001C78E3"/>
    <w:rsid w:val="001D4275"/>
    <w:rsid w:val="001E1C60"/>
    <w:rsid w:val="001E54C9"/>
    <w:rsid w:val="001F4EF1"/>
    <w:rsid w:val="001F75F3"/>
    <w:rsid w:val="00201287"/>
    <w:rsid w:val="0021105E"/>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2F1427"/>
    <w:rsid w:val="00301D69"/>
    <w:rsid w:val="00317081"/>
    <w:rsid w:val="00320DBE"/>
    <w:rsid w:val="00321BFC"/>
    <w:rsid w:val="003359E4"/>
    <w:rsid w:val="003436F8"/>
    <w:rsid w:val="00354317"/>
    <w:rsid w:val="00371915"/>
    <w:rsid w:val="00371BA2"/>
    <w:rsid w:val="00372153"/>
    <w:rsid w:val="00385BB0"/>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0EF7"/>
    <w:rsid w:val="004C3FCB"/>
    <w:rsid w:val="004C4F25"/>
    <w:rsid w:val="004C766E"/>
    <w:rsid w:val="004D7C28"/>
    <w:rsid w:val="004F1C3B"/>
    <w:rsid w:val="00505C4B"/>
    <w:rsid w:val="00510591"/>
    <w:rsid w:val="00516B3F"/>
    <w:rsid w:val="00520D11"/>
    <w:rsid w:val="005218D7"/>
    <w:rsid w:val="00522045"/>
    <w:rsid w:val="00522D43"/>
    <w:rsid w:val="005305F0"/>
    <w:rsid w:val="0053299B"/>
    <w:rsid w:val="00550EC5"/>
    <w:rsid w:val="0056376F"/>
    <w:rsid w:val="00566A4A"/>
    <w:rsid w:val="00566AEF"/>
    <w:rsid w:val="005A2527"/>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092C"/>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2345"/>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6631"/>
    <w:rsid w:val="0081707F"/>
    <w:rsid w:val="008221C5"/>
    <w:rsid w:val="00833D34"/>
    <w:rsid w:val="00833D9C"/>
    <w:rsid w:val="00853C21"/>
    <w:rsid w:val="0086311F"/>
    <w:rsid w:val="00873ADA"/>
    <w:rsid w:val="008775B8"/>
    <w:rsid w:val="00877D32"/>
    <w:rsid w:val="008809CB"/>
    <w:rsid w:val="00884130"/>
    <w:rsid w:val="00893714"/>
    <w:rsid w:val="00897859"/>
    <w:rsid w:val="008B293F"/>
    <w:rsid w:val="008C1635"/>
    <w:rsid w:val="008C3F22"/>
    <w:rsid w:val="008C41E4"/>
    <w:rsid w:val="008C6DA9"/>
    <w:rsid w:val="008C6E74"/>
    <w:rsid w:val="008D3D75"/>
    <w:rsid w:val="008D748A"/>
    <w:rsid w:val="008E22EC"/>
    <w:rsid w:val="008F6E98"/>
    <w:rsid w:val="008F71E0"/>
    <w:rsid w:val="00904C94"/>
    <w:rsid w:val="0091518F"/>
    <w:rsid w:val="00917C10"/>
    <w:rsid w:val="00922C5F"/>
    <w:rsid w:val="00926860"/>
    <w:rsid w:val="0092755C"/>
    <w:rsid w:val="009337AC"/>
    <w:rsid w:val="0093562A"/>
    <w:rsid w:val="0094051C"/>
    <w:rsid w:val="00945A08"/>
    <w:rsid w:val="009569F1"/>
    <w:rsid w:val="00956E15"/>
    <w:rsid w:val="00957A33"/>
    <w:rsid w:val="00971AF2"/>
    <w:rsid w:val="00974121"/>
    <w:rsid w:val="009842AD"/>
    <w:rsid w:val="0098739B"/>
    <w:rsid w:val="0099335B"/>
    <w:rsid w:val="009972E9"/>
    <w:rsid w:val="009A128A"/>
    <w:rsid w:val="009A323E"/>
    <w:rsid w:val="009A6103"/>
    <w:rsid w:val="009B42E6"/>
    <w:rsid w:val="009B789C"/>
    <w:rsid w:val="009D7141"/>
    <w:rsid w:val="009F44D9"/>
    <w:rsid w:val="00A024E9"/>
    <w:rsid w:val="00A14DA2"/>
    <w:rsid w:val="00A20A87"/>
    <w:rsid w:val="00A25B5B"/>
    <w:rsid w:val="00A25E2F"/>
    <w:rsid w:val="00A31E55"/>
    <w:rsid w:val="00A3231B"/>
    <w:rsid w:val="00A33C94"/>
    <w:rsid w:val="00A37A26"/>
    <w:rsid w:val="00A46556"/>
    <w:rsid w:val="00A5211C"/>
    <w:rsid w:val="00A61076"/>
    <w:rsid w:val="00A610D3"/>
    <w:rsid w:val="00A703EB"/>
    <w:rsid w:val="00A71489"/>
    <w:rsid w:val="00A72C3C"/>
    <w:rsid w:val="00A7738C"/>
    <w:rsid w:val="00A84510"/>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A4A8E"/>
    <w:rsid w:val="00BB0456"/>
    <w:rsid w:val="00BB349F"/>
    <w:rsid w:val="00BB4918"/>
    <w:rsid w:val="00BB52EA"/>
    <w:rsid w:val="00BB5985"/>
    <w:rsid w:val="00BC5CE9"/>
    <w:rsid w:val="00BC6C3E"/>
    <w:rsid w:val="00BD37A5"/>
    <w:rsid w:val="00BD536C"/>
    <w:rsid w:val="00BE22E2"/>
    <w:rsid w:val="00BE72CC"/>
    <w:rsid w:val="00BF1983"/>
    <w:rsid w:val="00BF4E89"/>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96ABC"/>
    <w:rsid w:val="00CA2401"/>
    <w:rsid w:val="00CA2EC3"/>
    <w:rsid w:val="00CA3A86"/>
    <w:rsid w:val="00CA43C5"/>
    <w:rsid w:val="00CB4C02"/>
    <w:rsid w:val="00CB5520"/>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11F"/>
    <w:rsid w:val="00EB0702"/>
    <w:rsid w:val="00EB28B9"/>
    <w:rsid w:val="00EC008D"/>
    <w:rsid w:val="00EC1049"/>
    <w:rsid w:val="00EC22E0"/>
    <w:rsid w:val="00EC3CEA"/>
    <w:rsid w:val="00EC6328"/>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 w:val="00FF70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8D5D"/>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pPr>
      <w:outlineLvl w:val="0"/>
    </w:pPr>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pPr>
      <w:outlineLvl w:val="1"/>
    </w:pPr>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pPr>
      <w:outlineLvl w:val="2"/>
    </w:pPr>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outlineLvl w:val="3"/>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rsid w:val="007E5AC0"/>
    <w:tblPr>
      <w:tblInd w:w="0" w:type="dxa"/>
    </w:tblPr>
  </w:style>
  <w:style w:type="numbering" w:customStyle="1" w:styleId="ResearchSteps">
    <w:name w:val="ResearchSteps"/>
    <w:uiPriority w:val="99"/>
    <w:semiHidden/>
    <w:rsid w:val="000A62DD"/>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1.next.westlaw.com/Link/RelatedInformation/Flag?docGuid=Ieff4fb0a1bbf11e3a7c1fc1dd70692ec&amp;ppcid=i0a89c6e90000019dabcd9fde5d487f77&amp;transitionType=AIGuidedResearch&amp;contextData=%28sc.Default%29&amp;conversationId=8bbd0a86-0db7-467a-abe2-127ad73acfb7" TargetMode="External"/><Relationship Id="rId21" Type="http://schemas.openxmlformats.org/officeDocument/2006/relationships/hyperlink" Target="https://1.next.westlaw.com/Link/RelatedInformation/Flag?docGuid=I473c6700186011eba034d891cc25f3cc&amp;ppcid=i0a89c6e90000019dabcd9fde5d487f77&amp;transitionType=AIGuidedResearch&amp;contextData=%28sc.Default%29&amp;conversationId=8bbd0a86-0db7-467a-abe2-127ad73acfb7" TargetMode="External"/><Relationship Id="rId34" Type="http://schemas.openxmlformats.org/officeDocument/2006/relationships/hyperlink" Target="https://1.next.westlaw.com/Document/I3b31b840b5e211e7bf23e096364180a5/View/FullText.html?transitionType=AIGuidedResearch&amp;contextData=%28sc.Default%29&amp;list=All&amp;listSource=WebsiteInternal&amp;conversationId=8bbd0a86-0db7-467a-abe2-127ad73acfb7" TargetMode="External"/><Relationship Id="rId42" Type="http://schemas.openxmlformats.org/officeDocument/2006/relationships/hyperlink" Target="https://1.next.westlaw.com/Link/RelatedInformation/Flag?docGuid=I63cc1621e5a811df9d9cae30585baa87&amp;ppcid=i0a89c6e90000019dabcd9fde5d487f77&amp;transitionType=AIGuidedResearch&amp;contextData=%28sc.Default%29&amp;conversationId=8bbd0a86-0db7-467a-abe2-127ad73acfb7" TargetMode="External"/><Relationship Id="rId47" Type="http://schemas.openxmlformats.org/officeDocument/2006/relationships/hyperlink" Target="https://1.next.westlaw.com/Document/Ib0aa6bf04b2611e9bc469b767245e66a/View/FullText.html?transitionType=AIGuidedResearch&amp;contextData=%28sc.Default%29&amp;list=All&amp;listSource=WebsiteInternal&amp;conversationId=8bbd0a86-0db7-467a-abe2-127ad73acfb7" TargetMode="External"/><Relationship Id="rId50" Type="http://schemas.openxmlformats.org/officeDocument/2006/relationships/hyperlink" Target="https://1.next.westlaw.com/Document/Ib0aa6bf04b2611e9bc469b767245e66a/View/FullText.html?transitionType=AIGuidedResearch&amp;contextData=%28sc.Default%29&amp;list=All&amp;listSource=WebsiteInternal&amp;conversationId=8bbd0a86-0db7-467a-abe2-127ad73acfb7" TargetMode="External"/><Relationship Id="rId55" Type="http://schemas.openxmlformats.org/officeDocument/2006/relationships/hyperlink" Target="https://1.next.westlaw.com/Link/RelatedInformation/Flag?docGuid=Ieff4fb0a1bbf11e3a7c1fc1dd70692ec&amp;ppcid=i0a89c6e90000019dabcd9fde5d487f77&amp;transitionType=AIGuidedResearch&amp;contextData=%28sc.Default%29&amp;conversationId=8bbd0a86-0db7-467a-abe2-127ad73acfb7" TargetMode="External"/><Relationship Id="rId63" Type="http://schemas.openxmlformats.org/officeDocument/2006/relationships/footer" Target="footer1.xml"/><Relationship Id="rId7" Type="http://schemas.openxmlformats.org/officeDocument/2006/relationships/hyperlink" Target="https://1.next.westlaw.com/Link/RelatedInformation/Flag?docGuid=NACF173F16DA111EC8E9293785CC6CC98&amp;ppcid=i0a89c6e90000019dabcd9fde5d487f77&amp;transitionType=AIGuidedResearch&amp;contextData=%28sc.Default%29&amp;conversationId=8bbd0a86-0db7-467a-abe2-127ad73acfb7" TargetMode="External"/><Relationship Id="rId2" Type="http://schemas.openxmlformats.org/officeDocument/2006/relationships/styles" Target="styles.xml"/><Relationship Id="rId16" Type="http://schemas.openxmlformats.org/officeDocument/2006/relationships/hyperlink" Target="https://1.next.westlaw.com/Document/I473c6700186011eba034d891cc25f3cc/View/FullText.html?transitionType=AIGuidedResearch&amp;contextData=%28sc.Default%29&amp;list=All&amp;listSource=WebsiteInternal&amp;conversationId=8bbd0a86-0db7-467a-abe2-127ad73acfb7" TargetMode="External"/><Relationship Id="rId29" Type="http://schemas.openxmlformats.org/officeDocument/2006/relationships/hyperlink" Target="https://1.next.westlaw.com/Link/RelatedInformation/Flag?docGuid=I3b31b840b5e211e7bf23e096364180a5&amp;ppcid=i0a89c6e90000019dabcd9fde5d487f77&amp;transitionType=AIGuidedResearch&amp;contextData=%28sc.Default%29&amp;conversationId=8bbd0a86-0db7-467a-abe2-127ad73acfb7" TargetMode="External"/><Relationship Id="rId11" Type="http://schemas.openxmlformats.org/officeDocument/2006/relationships/hyperlink" Target="https://1.next.westlaw.com/Link/RelatedInformation/Flag?docGuid=I473c6700186011eba034d891cc25f3cc&amp;ppcid=i0a89c6e90000019dabcd9fde5d487f77&amp;transitionType=AIGuidedResearch&amp;contextData=%28sc.Default%29&amp;conversationId=8bbd0a86-0db7-467a-abe2-127ad73acfb7" TargetMode="External"/><Relationship Id="rId24" Type="http://schemas.openxmlformats.org/officeDocument/2006/relationships/hyperlink" Target="https://1.next.westlaw.com/Link/RelatedInformation/Flag?docGuid=Ieff4fb0a1bbf11e3a7c1fc1dd70692ec&amp;ppcid=i0a89c6e90000019dabcd9fde5d487f77&amp;transitionType=AIGuidedResearch&amp;contextData=%28sc.Default%29&amp;conversationId=8bbd0a86-0db7-467a-abe2-127ad73acfb7" TargetMode="External"/><Relationship Id="rId32" Type="http://schemas.openxmlformats.org/officeDocument/2006/relationships/hyperlink" Target="https://1.next.westlaw.com/Link/RelatedInformation/Flag?docGuid=I3b31b840b5e211e7bf23e096364180a5&amp;ppcid=i0a89c6e90000019dabcd9fde5d487f77&amp;transitionType=AIGuidedResearch&amp;contextData=%28sc.Default%29&amp;conversationId=8bbd0a86-0db7-467a-abe2-127ad73acfb7" TargetMode="External"/><Relationship Id="rId37" Type="http://schemas.openxmlformats.org/officeDocument/2006/relationships/hyperlink" Target="https://1.next.westlaw.com/Document/I63cc1621e5a811df9d9cae30585baa87/View/FullText.html?transitionType=AIGuidedResearch&amp;contextData=%28sc.Default%29&amp;list=All&amp;listSource=WebsiteInternal&amp;conversationId=8bbd0a86-0db7-467a-abe2-127ad73acfb7" TargetMode="External"/><Relationship Id="rId40" Type="http://schemas.openxmlformats.org/officeDocument/2006/relationships/hyperlink" Target="https://1.next.westlaw.com/Document/I63cc1621e5a811df9d9cae30585baa87/View/FullText.html?transitionType=AIGuidedResearch&amp;contextData=%28sc.Default%29&amp;list=All&amp;listSource=WebsiteInternal&amp;conversationId=8bbd0a86-0db7-467a-abe2-127ad73acfb7" TargetMode="External"/><Relationship Id="rId45" Type="http://schemas.openxmlformats.org/officeDocument/2006/relationships/hyperlink" Target="https://1.next.westlaw.com/Document/Ib0aa6bf04b2611e9bc469b767245e66a/View/FullText.html?transitionType=AIGuidedResearch&amp;contextData=%28sc.Default%29&amp;list=All&amp;listSource=WebsiteInternal&amp;conversationId=8bbd0a86-0db7-467a-abe2-127ad73acfb7" TargetMode="External"/><Relationship Id="rId53" Type="http://schemas.openxmlformats.org/officeDocument/2006/relationships/hyperlink" Target="https://1.next.westlaw.com/Document/I0f9fe86bef0811e28578f7ccc38dcbee/View/FullText.html?transitionType=AIGuidedResearch&amp;contextData=%28sc.Default%29&amp;list=All&amp;listSource=WebsiteInternal&amp;conversationId=8bbd0a86-0db7-467a-abe2-127ad73acfb7" TargetMode="External"/><Relationship Id="rId58" Type="http://schemas.openxmlformats.org/officeDocument/2006/relationships/hyperlink" Target="https://1.next.westlaw.com/Document/I0f9fe86bef0811e28578f7ccc38dcbee/View/FullText.html?transitionType=AIGuidedResearch&amp;contextData=%28sc.Default%29&amp;list=All&amp;listSource=WebsiteInternal&amp;conversationId=8bbd0a86-0db7-467a-abe2-127ad73acfb7"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1.next.westlaw.com/Link/RelatedInformation/Flag?docGuid=I63cc1621e5a811df9d9cae30585baa87&amp;ppcid=i0a89c6e90000019dabcd9fde5d487f77&amp;transitionType=AIGuidedResearch&amp;contextData=%28sc.Default%29&amp;conversationId=8bbd0a86-0db7-467a-abe2-127ad73acfb7" TargetMode="External"/><Relationship Id="rId19" Type="http://schemas.openxmlformats.org/officeDocument/2006/relationships/hyperlink" Target="https://1.next.westlaw.com/Document/I473c6700186011eba034d891cc25f3cc/View/FullText.html?transitionType=AIGuidedResearch&amp;contextData=%28sc.Default%29&amp;list=All&amp;listSource=WebsiteInternal&amp;conversationId=8bbd0a86-0db7-467a-abe2-127ad73acfb7" TargetMode="External"/><Relationship Id="rId14" Type="http://schemas.openxmlformats.org/officeDocument/2006/relationships/hyperlink" Target="https://1.next.westlaw.com/Link/RelatedInformation/Flag?docGuid=I473c6700186011eba034d891cc25f3cc&amp;ppcid=i0a89c6e90000019dabcd9fde5d487f77&amp;transitionType=AIGuidedResearch&amp;contextData=%28sc.Default%29&amp;conversationId=8bbd0a86-0db7-467a-abe2-127ad73acfb7" TargetMode="External"/><Relationship Id="rId22" Type="http://schemas.openxmlformats.org/officeDocument/2006/relationships/hyperlink" Target="https://1.next.westlaw.com/Document/I473c6700186011eba034d891cc25f3cc/View/FullText.html?transitionType=AIGuidedResearch&amp;contextData=%28sc.Default%29&amp;list=All&amp;listSource=WebsiteInternal&amp;conversationId=8bbd0a86-0db7-467a-abe2-127ad73acfb7" TargetMode="External"/><Relationship Id="rId27" Type="http://schemas.openxmlformats.org/officeDocument/2006/relationships/hyperlink" Target="https://1.next.westlaw.com/Link/RelatedInformation/Flag?docGuid=Ieff4fb0a1bbf11e3a7c1fc1dd70692ec&amp;ppcid=i0a89c6e90000019dabcd9fde5d487f77&amp;transitionType=AIGuidedResearch&amp;contextData=%28sc.Default%29&amp;conversationId=8bbd0a86-0db7-467a-abe2-127ad73acfb7" TargetMode="External"/><Relationship Id="rId30" Type="http://schemas.openxmlformats.org/officeDocument/2006/relationships/hyperlink" Target="https://1.next.westlaw.com/Link/RelatedInformation/Flag?docGuid=I3b31b840b5e211e7bf23e096364180a5&amp;ppcid=i0a89c6e90000019dabcd9fde5d487f77&amp;transitionType=AIGuidedResearch&amp;contextData=%28sc.Default%29&amp;conversationId=8bbd0a86-0db7-467a-abe2-127ad73acfb7" TargetMode="External"/><Relationship Id="rId35" Type="http://schemas.openxmlformats.org/officeDocument/2006/relationships/hyperlink" Target="https://1.next.westlaw.com/Link/RelatedInformation/Flag?docGuid=I63cc1621e5a811df9d9cae30585baa87&amp;ppcid=i0a89c6e90000019dabcd9fde5d487f77&amp;transitionType=AIGuidedResearch&amp;contextData=%28sc.Default%29&amp;conversationId=8bbd0a86-0db7-467a-abe2-127ad73acfb7" TargetMode="External"/><Relationship Id="rId43" Type="http://schemas.openxmlformats.org/officeDocument/2006/relationships/hyperlink" Target="https://1.next.westlaw.com/Document/I63cc1621e5a811df9d9cae30585baa87/View/FullText.html?transitionType=AIGuidedResearch&amp;contextData=%28sc.Default%29&amp;list=All&amp;listSource=WebsiteInternal&amp;conversationId=8bbd0a86-0db7-467a-abe2-127ad73acfb7" TargetMode="External"/><Relationship Id="rId48" Type="http://schemas.openxmlformats.org/officeDocument/2006/relationships/hyperlink" Target="https://1.next.westlaw.com/Document/Ib0aa6bf04b2611e9bc469b767245e66a/View/FullText.html?transitionType=AIGuidedResearch&amp;contextData=%28sc.Default%29&amp;list=All&amp;listSource=WebsiteInternal&amp;conversationId=8bbd0a86-0db7-467a-abe2-127ad73acfb7" TargetMode="External"/><Relationship Id="rId56" Type="http://schemas.openxmlformats.org/officeDocument/2006/relationships/hyperlink" Target="https://1.next.westlaw.com/Link/RelatedInformation/Flag?docGuid=Ieff4fb0a1bbf11e3a7c1fc1dd70692ec&amp;ppcid=i0a89c6e90000019dabcd9fde5d487f77&amp;transitionType=AIGuidedResearch&amp;contextData=%28sc.Default%29&amp;conversationId=8bbd0a86-0db7-467a-abe2-127ad73acfb7" TargetMode="External"/><Relationship Id="rId64" Type="http://schemas.openxmlformats.org/officeDocument/2006/relationships/footer" Target="footer2.xml"/><Relationship Id="rId8" Type="http://schemas.openxmlformats.org/officeDocument/2006/relationships/hyperlink" Target="https://1.next.westlaw.com/Link/RelatedInformation/Flag?docGuid=NACF173F16DA111EC8E9293785CC6CC98&amp;ppcid=i0a89c6e90000019dabcd9fde5d487f77&amp;transitionType=AIGuidedResearch&amp;contextData=%28sc.Default%29&amp;conversationId=8bbd0a86-0db7-467a-abe2-127ad73acfb7" TargetMode="External"/><Relationship Id="rId51" Type="http://schemas.openxmlformats.org/officeDocument/2006/relationships/hyperlink" Target="https://1.next.westlaw.com/Document/I0f9fe86bef0811e28578f7ccc38dcbee/View/FullText.html?transitionType=AIGuidedResearch&amp;contextData=%28sc.Default%29&amp;list=All&amp;listSource=WebsiteInternal&amp;conversationId=8bbd0a86-0db7-467a-abe2-127ad73acfb7" TargetMode="External"/><Relationship Id="rId3" Type="http://schemas.openxmlformats.org/officeDocument/2006/relationships/settings" Target="settings.xml"/><Relationship Id="rId12" Type="http://schemas.openxmlformats.org/officeDocument/2006/relationships/hyperlink" Target="https://1.next.westlaw.com/Link/RelatedInformation/Flag?docGuid=I473c6700186011eba034d891cc25f3cc&amp;ppcid=i0a89c6e90000019dabcd9fde5d487f77&amp;transitionType=AIGuidedResearch&amp;contextData=%28sc.Default%29&amp;conversationId=8bbd0a86-0db7-467a-abe2-127ad73acfb7" TargetMode="External"/><Relationship Id="rId17" Type="http://schemas.openxmlformats.org/officeDocument/2006/relationships/hyperlink" Target="https://1.next.westlaw.com/Link/RelatedInformation/Flag?docGuid=I473c6700186011eba034d891cc25f3cc&amp;ppcid=i0a89c6e90000019dabcd9fde5d487f77&amp;transitionType=AIGuidedResearch&amp;contextData=%28sc.Default%29&amp;conversationId=8bbd0a86-0db7-467a-abe2-127ad73acfb7" TargetMode="External"/><Relationship Id="rId25" Type="http://schemas.openxmlformats.org/officeDocument/2006/relationships/hyperlink" Target="https://1.next.westlaw.com/Document/Ieff4fb0a1bbf11e3a7c1fc1dd70692ec/View/FullText.html?transitionType=AIGuidedResearch&amp;contextData=%28sc.Default%29&amp;list=All&amp;listSource=WebsiteInternal&amp;conversationId=8bbd0a86-0db7-467a-abe2-127ad73acfb7" TargetMode="External"/><Relationship Id="rId33" Type="http://schemas.openxmlformats.org/officeDocument/2006/relationships/hyperlink" Target="https://1.next.westlaw.com/Link/RelatedInformation/Flag?docGuid=I3b31b840b5e211e7bf23e096364180a5&amp;ppcid=i0a89c6e90000019dabcd9fde5d487f77&amp;transitionType=AIGuidedResearch&amp;contextData=%28sc.Default%29&amp;conversationId=8bbd0a86-0db7-467a-abe2-127ad73acfb7" TargetMode="External"/><Relationship Id="rId38" Type="http://schemas.openxmlformats.org/officeDocument/2006/relationships/hyperlink" Target="https://1.next.westlaw.com/Link/RelatedInformation/Flag?docGuid=I63cc1621e5a811df9d9cae30585baa87&amp;ppcid=i0a89c6e90000019dabcd9fde5d487f77&amp;transitionType=AIGuidedResearch&amp;contextData=%28sc.Default%29&amp;conversationId=8bbd0a86-0db7-467a-abe2-127ad73acfb7" TargetMode="External"/><Relationship Id="rId46" Type="http://schemas.openxmlformats.org/officeDocument/2006/relationships/hyperlink" Target="https://1.next.westlaw.com/Document/Ib0aa6bf04b2611e9bc469b767245e66a/View/FullText.html?transitionType=AIGuidedResearch&amp;contextData=%28sc.Default%29&amp;list=All&amp;listSource=WebsiteInternal&amp;conversationId=8bbd0a86-0db7-467a-abe2-127ad73acfb7" TargetMode="External"/><Relationship Id="rId59" Type="http://schemas.openxmlformats.org/officeDocument/2006/relationships/hyperlink" Target="https://1.next.westlaw.com/Document/Ia7aac994642211e38578f7ccc38dcbee/View/FullText.html?transitionType=AIGuidedResearch&amp;contextData=%28sc.Default%29&amp;list=All&amp;listSource=WebsiteInternal&amp;conversationId=8bbd0a86-0db7-467a-abe2-127ad73acfb7" TargetMode="External"/><Relationship Id="rId20" Type="http://schemas.openxmlformats.org/officeDocument/2006/relationships/hyperlink" Target="https://1.next.westlaw.com/Link/RelatedInformation/Flag?docGuid=I473c6700186011eba034d891cc25f3cc&amp;ppcid=i0a89c6e90000019dabcd9fde5d487f77&amp;transitionType=AIGuidedResearch&amp;contextData=%28sc.Default%29&amp;conversationId=8bbd0a86-0db7-467a-abe2-127ad73acfb7" TargetMode="External"/><Relationship Id="rId41" Type="http://schemas.openxmlformats.org/officeDocument/2006/relationships/hyperlink" Target="https://1.next.westlaw.com/Link/RelatedInformation/Flag?docGuid=I63cc1621e5a811df9d9cae30585baa87&amp;ppcid=i0a89c6e90000019dabcd9fde5d487f77&amp;transitionType=AIGuidedResearch&amp;contextData=%28sc.Default%29&amp;conversationId=8bbd0a86-0db7-467a-abe2-127ad73acfb7" TargetMode="External"/><Relationship Id="rId54" Type="http://schemas.openxmlformats.org/officeDocument/2006/relationships/hyperlink" Target="https://1.next.westlaw.com/Document/Ia7aac994642211e38578f7ccc38dcbee/View/FullText.html?transitionType=AIGuidedResearch&amp;contextData=%28sc.Default%29&amp;list=All&amp;listSource=WebsiteInternal&amp;conversationId=8bbd0a86-0db7-467a-abe2-127ad73acfb7" TargetMode="External"/><Relationship Id="rId62" Type="http://schemas.openxmlformats.org/officeDocument/2006/relationships/hyperlink" Target="https://1.next.westlaw.com/Document/I63cc1621e5a811df9d9cae30585baa87/View/FullText.html?transitionType=AIGuidedResearch&amp;contextData=%28sc.Default%29&amp;list=All&amp;listSource=WebsiteInternal&amp;conversationId=8bbd0a86-0db7-467a-abe2-127ad73acfb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1.next.westlaw.com/Link/RelatedInformation/Flag?docGuid=I473c6700186011eba034d891cc25f3cc&amp;ppcid=i0a89c6e90000019dabcd9fde5d487f77&amp;transitionType=AIGuidedResearch&amp;contextData=%28sc.Default%29&amp;conversationId=8bbd0a86-0db7-467a-abe2-127ad73acfb7" TargetMode="External"/><Relationship Id="rId23" Type="http://schemas.openxmlformats.org/officeDocument/2006/relationships/hyperlink" Target="https://1.next.westlaw.com/Link/RelatedInformation/Flag?docGuid=Ieff4fb0a1bbf11e3a7c1fc1dd70692ec&amp;ppcid=i0a89c6e90000019dabcd9fde5d487f77&amp;transitionType=AIGuidedResearch&amp;contextData=%28sc.Default%29&amp;conversationId=8bbd0a86-0db7-467a-abe2-127ad73acfb7" TargetMode="External"/><Relationship Id="rId28" Type="http://schemas.openxmlformats.org/officeDocument/2006/relationships/hyperlink" Target="https://1.next.westlaw.com/Document/Ieff4fb0a1bbf11e3a7c1fc1dd70692ec/View/FullText.html?transitionType=AIGuidedResearch&amp;contextData=%28sc.Default%29&amp;list=All&amp;listSource=WebsiteInternal&amp;conversationId=8bbd0a86-0db7-467a-abe2-127ad73acfb7" TargetMode="External"/><Relationship Id="rId36" Type="http://schemas.openxmlformats.org/officeDocument/2006/relationships/hyperlink" Target="https://1.next.westlaw.com/Link/RelatedInformation/Flag?docGuid=I63cc1621e5a811df9d9cae30585baa87&amp;ppcid=i0a89c6e90000019dabcd9fde5d487f77&amp;transitionType=AIGuidedResearch&amp;contextData=%28sc.Default%29&amp;conversationId=8bbd0a86-0db7-467a-abe2-127ad73acfb7" TargetMode="External"/><Relationship Id="rId49" Type="http://schemas.openxmlformats.org/officeDocument/2006/relationships/hyperlink" Target="https://1.next.westlaw.com/Document/Ib0aa6bf04b2611e9bc469b767245e66a/View/FullText.html?transitionType=AIGuidedResearch&amp;contextData=%28sc.Default%29&amp;list=All&amp;listSource=WebsiteInternal&amp;conversationId=8bbd0a86-0db7-467a-abe2-127ad73acfb7" TargetMode="External"/><Relationship Id="rId57" Type="http://schemas.openxmlformats.org/officeDocument/2006/relationships/hyperlink" Target="https://1.next.westlaw.com/Document/Ieff4fb0a1bbf11e3a7c1fc1dd70692ec/View/FullText.html?transitionType=AIGuidedResearch&amp;contextData=%28sc.Default%29&amp;list=All&amp;listSource=WebsiteInternal&amp;conversationId=8bbd0a86-0db7-467a-abe2-127ad73acfb7" TargetMode="External"/><Relationship Id="rId10" Type="http://schemas.openxmlformats.org/officeDocument/2006/relationships/hyperlink" Target="https://1.next.westlaw.com/Document/NACF173F16DA111EC8E9293785CC6CC98/View/FullText.html?transitionType=AIGuidedResearch&amp;contextData=%28sc.Default%29&amp;list=All&amp;listSource=WebsiteInternal&amp;conversationId=8bbd0a86-0db7-467a-abe2-127ad73acfb7" TargetMode="External"/><Relationship Id="rId31" Type="http://schemas.openxmlformats.org/officeDocument/2006/relationships/hyperlink" Target="https://1.next.westlaw.com/Document/I3b31b840b5e211e7bf23e096364180a5/View/FullText.html?transitionType=AIGuidedResearch&amp;contextData=%28sc.Default%29&amp;list=All&amp;listSource=WebsiteInternal&amp;conversationId=8bbd0a86-0db7-467a-abe2-127ad73acfb7" TargetMode="External"/><Relationship Id="rId44" Type="http://schemas.openxmlformats.org/officeDocument/2006/relationships/hyperlink" Target="https://1.next.westlaw.com/Document/Ib0aa6bf04b2611e9bc469b767245e66a/View/FullText.html?transitionType=AIGuidedResearch&amp;contextData=%28sc.Default%29&amp;list=All&amp;listSource=WebsiteInternal&amp;conversationId=8bbd0a86-0db7-467a-abe2-127ad73acfb7" TargetMode="External"/><Relationship Id="rId52" Type="http://schemas.openxmlformats.org/officeDocument/2006/relationships/hyperlink" Target="https://1.next.westlaw.com/Document/I0f9fe86bef0811e28578f7ccc38dcbee/View/FullText.html?transitionType=AIGuidedResearch&amp;contextData=%28sc.Default%29&amp;list=All&amp;listSource=WebsiteInternal&amp;conversationId=8bbd0a86-0db7-467a-abe2-127ad73acfb7" TargetMode="External"/><Relationship Id="rId60" Type="http://schemas.openxmlformats.org/officeDocument/2006/relationships/hyperlink" Target="https://1.next.westlaw.com/Link/RelatedInformation/Flag?docGuid=I63cc1621e5a811df9d9cae30585baa87&amp;ppcid=i0a89c6e90000019dabcd9fde5d487f77&amp;transitionType=AIGuidedResearch&amp;contextData=%28sc.Default%29&amp;conversationId=8bbd0a86-0db7-467a-abe2-127ad73acfb7"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hyperlink" Target="https://1.next.westlaw.com/Document/I473c6700186011eba034d891cc25f3cc/View/FullText.html?transitionType=AIGuidedResearch&amp;contextData=%28sc.Default%29&amp;list=All&amp;listSource=WebsiteInternal&amp;conversationId=8bbd0a86-0db7-467a-abe2-127ad73acfb7" TargetMode="External"/><Relationship Id="rId18" Type="http://schemas.openxmlformats.org/officeDocument/2006/relationships/hyperlink" Target="https://1.next.westlaw.com/Link/RelatedInformation/Flag?docGuid=I473c6700186011eba034d891cc25f3cc&amp;ppcid=i0a89c6e90000019dabcd9fde5d487f77&amp;transitionType=AIGuidedResearch&amp;contextData=%28sc.Default%29&amp;conversationId=8bbd0a86-0db7-467a-abe2-127ad73acfb7" TargetMode="External"/><Relationship Id="rId39" Type="http://schemas.openxmlformats.org/officeDocument/2006/relationships/hyperlink" Target="https://1.next.westlaw.com/Link/RelatedInformation/Flag?docGuid=I63cc1621e5a811df9d9cae30585baa87&amp;ppcid=i0a89c6e90000019dabcd9fde5d487f77&amp;transitionType=AIGuidedResearch&amp;contextData=%28sc.Default%29&amp;conversationId=8bbd0a86-0db7-467a-abe2-127ad73acfb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768</TotalTime>
  <Pages>5</Pages>
  <Words>3768</Words>
  <Characters>21481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Fordon, Rebecca</cp:lastModifiedBy>
  <cp:revision>269</cp:revision>
  <dcterms:created xsi:type="dcterms:W3CDTF">2025-07-30T20:26:00Z</dcterms:created>
  <dcterms:modified xsi:type="dcterms:W3CDTF">2026-04-20T17:45:00Z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docVersion">
    <vt:lpwstr>1.24.2</vt:lpwstr>
  </property>
  <property fmtid="{D5CDD505-2E9C-101B-9397-08002B2CF9AE}" pid="3" name="DocumentGuid">
    <vt:lpwstr>12419E17-88F7-7A4E-AAC2-0F7298B156E7</vt:lpwstr>
  </property>
</Properties>
</file>