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Calibri" w:cs="Calibri" w:eastAsia="Calibri" w:hAnsi="Calibri"/>
          <w:i/>
          <w:iCs/>
          <w:color w:val="1B3A5C"/>
          <w:sz w:val="24"/>
          <w:szCs w:val="24"/>
        </w:rPr>
        <w:t xml:space="preserve">Allied Systems Integrations</w:t>
      </w:r>
    </w:p>
    <w:p>
      <w:pPr>
        <w:spacing w:after="200"/>
      </w:pPr>
    </w:p>
    <w:p>
      <w:pPr>
        <w:spacing w:after="80"/>
        <w:jc w:val="center"/>
      </w:pPr>
      <w:r>
        <w:rPr>
          <w:rFonts w:ascii="Calibri" w:cs="Calibri" w:eastAsia="Calibri" w:hAnsi="Calibri"/>
          <w:b/>
          <w:bCs/>
          <w:color w:val="1B3A5C"/>
          <w:sz w:val="40"/>
          <w:szCs w:val="40"/>
        </w:rPr>
        <w:t xml:space="preserve">PROJECT PROPOSAL</w:t>
      </w:r>
    </w:p>
    <w:p>
      <w:pPr>
        <w:spacing w:after="40"/>
        <w:jc w:val="center"/>
      </w:pPr>
      <w:r>
        <w:rPr>
          <w:rFonts w:ascii="Calibri" w:cs="Calibri" w:eastAsia="Calibri" w:hAnsi="Calibri"/>
          <w:color w:val="999999"/>
          <w:sz w:val="20"/>
          <w:szCs w:val="20"/>
        </w:rPr>
        <w:t xml:space="preserve">Version 3.0</w:t>
      </w:r>
    </w:p>
    <w:p>
      <w:pPr>
        <w:spacing w:after="100"/>
      </w:pPr>
    </w:p>
    <w:p>
      <w:pPr>
        <w:spacing w:after="60"/>
        <w:jc w:val="center"/>
      </w:pPr>
      <w:r>
        <w:rPr>
          <w:rFonts w:ascii="Calibri" w:cs="Calibri" w:eastAsia="Calibri" w:hAnsi="Calibri"/>
          <w:b/>
          <w:bCs/>
          <w:color w:val="1B3A5C"/>
          <w:sz w:val="30"/>
          <w:szCs w:val="30"/>
        </w:rPr>
        <w:t xml:space="preserve">On-Premise Access Control System Upgrade</w:t>
      </w:r>
    </w:p>
    <w:p>
      <w:pPr>
        <w:spacing w:after="200"/>
        <w:jc w:val="center"/>
      </w:pPr>
      <w:r>
        <w:rPr>
          <w:rFonts w:ascii="Calibri" w:cs="Calibri" w:eastAsia="Calibri" w:hAnsi="Calibri"/>
          <w:i/>
          <w:iCs/>
          <w:color w:val="4A4A4A"/>
          <w:sz w:val="22"/>
          <w:szCs w:val="22"/>
        </w:rPr>
        <w:t xml:space="preserve">Keri NXT + Doors.NET | 10-Door Clubhouse Configuration</w:t>
      </w:r>
    </w:p>
    <w:p>
      <w:pPr>
        <w:spacing w:after="300"/>
      </w:pPr>
    </w:p>
    <w:p>
      <w:pPr>
        <w:spacing w:after="60"/>
        <w:jc w:val="center"/>
      </w:pPr>
      <w:r>
        <w:rPr>
          <w:rFonts w:ascii="Calibri" w:cs="Calibri" w:eastAsia="Calibri" w:hAnsi="Calibri"/>
          <w:b/>
          <w:bCs/>
          <w:color w:val="1B3A5C"/>
          <w:sz w:val="22"/>
          <w:szCs w:val="22"/>
        </w:rPr>
        <w:t xml:space="preserve">PREPARED FOR</w:t>
      </w:r>
    </w:p>
    <w:p>
      <w:pPr>
        <w:spacing w:after="40"/>
        <w:jc w:val="center"/>
      </w:pPr>
      <w:r>
        <w:rPr>
          <w:rFonts w:ascii="Calibri" w:cs="Calibri" w:eastAsia="Calibri" w:hAnsi="Calibri"/>
          <w:b/>
          <w:bCs/>
          <w:color w:val="2D2D2D"/>
          <w:sz w:val="24"/>
          <w:szCs w:val="24"/>
        </w:rPr>
        <w:t xml:space="preserve">Diamond Heights Village Association</w:t>
      </w:r>
    </w:p>
    <w:p>
      <w:pPr>
        <w:spacing w:after="40"/>
        <w:jc w:val="center"/>
      </w:pPr>
      <w:r>
        <w:rPr>
          <w:rFonts w:ascii="Calibri" w:cs="Calibri" w:eastAsia="Calibri" w:hAnsi="Calibri"/>
          <w:color w:val="4A4A4A"/>
          <w:sz w:val="22"/>
          <w:szCs w:val="22"/>
        </w:rPr>
        <w:t xml:space="preserve">c/o PMP Management, LLC</w:t>
      </w:r>
    </w:p>
    <w:p>
      <w:pPr>
        <w:spacing w:after="40"/>
        <w:jc w:val="center"/>
      </w:pPr>
      <w:r>
        <w:rPr>
          <w:rFonts w:ascii="Calibri" w:cs="Calibri" w:eastAsia="Calibri" w:hAnsi="Calibri"/>
          <w:color w:val="4A4A4A"/>
          <w:sz w:val="22"/>
          <w:szCs w:val="22"/>
        </w:rPr>
        <w:t xml:space="preserve">Attn: Melissa Tolerton</w:t>
      </w:r>
    </w:p>
    <w:p>
      <w:pPr>
        <w:spacing w:after="40"/>
        <w:jc w:val="center"/>
      </w:pPr>
      <w:r>
        <w:rPr>
          <w:rFonts w:ascii="Calibri" w:cs="Calibri" w:eastAsia="Calibri" w:hAnsi="Calibri"/>
          <w:color w:val="4A4A4A"/>
          <w:sz w:val="22"/>
          <w:szCs w:val="22"/>
        </w:rPr>
        <w:t xml:space="preserve">115 Red Rock Way, San Francisco, CA 94131</w:t>
      </w:r>
    </w:p>
    <w:p>
      <w:pPr>
        <w:spacing w:after="200"/>
      </w:pPr>
    </w:p>
    <w:p>
      <w:pPr>
        <w:spacing w:after="40"/>
        <w:jc w:val="center"/>
      </w:pPr>
      <w:r>
        <w:rPr>
          <w:rFonts w:ascii="Calibri" w:cs="Calibri" w:eastAsia="Calibri" w:hAnsi="Calibri"/>
          <w:color w:val="4A4A4A"/>
          <w:sz w:val="22"/>
          <w:szCs w:val="22"/>
        </w:rPr>
        <w:t xml:space="preserve">March 18, 2026</w:t>
      </w:r>
    </w:p>
    <w:p>
      <w:r>
        <w:br w:type="page"/>
      </w:r>
    </w:p>
    <w:p>
      <w:pPr>
        <w:pStyle w:val="Heading2"/>
        <w:spacing w:after="200" w:before="200"/>
      </w:pPr>
      <w:r>
        <w:rPr>
          <w:rFonts w:ascii="Calibri" w:cs="Calibri" w:eastAsia="Calibri" w:hAnsi="Calibri"/>
          <w:b/>
          <w:bCs/>
          <w:color w:val="1B3A5C"/>
          <w:sz w:val="26"/>
          <w:szCs w:val="26"/>
        </w:rPr>
        <w:t xml:space="preserve">Confidentiality Notice</w:t>
      </w:r>
    </w:p>
    <w:p>
      <w:pPr>
        <w:spacing w:after="120" w:before="0"/>
        <w:jc w:val="left"/>
      </w:pPr>
      <w:r>
        <w:rPr>
          <w:rFonts w:ascii="Calibri" w:cs="Calibri" w:eastAsia="Calibri" w:hAnsi="Calibri"/>
          <w:b w:val="false"/>
          <w:bCs w:val="false"/>
          <w:i/>
          <w:iCs/>
          <w:color w:val="4A4A4A"/>
          <w:sz w:val="20"/>
          <w:szCs w:val="20"/>
        </w:rPr>
        <w:t xml:space="preserve">This document contains proprietary and confidential information belonging to ASI 360 (Allied Systems Integrations). The information provided herein is intended solely for the use of Diamond Heights Village Association and its authorized representatives. Distribution, reproduction, or disclosure of this document or its contents to any third party without the prior written consent of ASI 360 is strictly prohibited.</w:t>
      </w:r>
    </w:p>
    <w:p>
      <w:pPr>
        <w:spacing w:after="100"/>
      </w:pPr>
    </w:p>
    <w:p>
      <w:pPr>
        <w:spacing w:after="120" w:before="0"/>
        <w:jc w:val="left"/>
      </w:pPr>
      <w:r>
        <w:rPr>
          <w:rFonts w:ascii="Calibri" w:cs="Calibri" w:eastAsia="Calibri" w:hAnsi="Calibri"/>
          <w:b w:val="false"/>
          <w:bCs w:val="false"/>
          <w:i/>
          <w:iCs/>
          <w:color w:val="4A4A4A"/>
          <w:sz w:val="20"/>
          <w:szCs w:val="20"/>
        </w:rPr>
        <w:t xml:space="preserve">All pricing, technical specifications, and methodologies described herein are valid for thirty (30) days from the date of this proposal unless otherwise stated.</w:t>
      </w:r>
    </w:p>
    <w:p>
      <w:r>
        <w:br w:type="page"/>
      </w:r>
    </w:p>
    <w:p>
      <w:pPr>
        <w:pStyle w:val="Heading1"/>
        <w:spacing w:after="200" w:before="200"/>
      </w:pPr>
      <w:r>
        <w:rPr>
          <w:rFonts w:ascii="Calibri" w:cs="Calibri" w:eastAsia="Calibri" w:hAnsi="Calibri"/>
          <w:b/>
          <w:bCs/>
          <w:color w:val="1B3A5C"/>
          <w:sz w:val="32"/>
          <w:szCs w:val="32"/>
        </w:rPr>
        <w:t xml:space="preserve">Cover Letter</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March 18, 2026</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Diamond Heights Village Association</w:t>
      </w:r>
    </w:p>
    <w:p>
      <w:pPr>
        <w:spacing w:after="120" w:before="0"/>
        <w:jc w:val="left"/>
      </w:pPr>
      <w:r>
        <w:rPr>
          <w:rFonts w:ascii="Calibri" w:cs="Calibri" w:eastAsia="Calibri" w:hAnsi="Calibri"/>
          <w:b w:val="false"/>
          <w:bCs w:val="false"/>
          <w:i w:val="false"/>
          <w:iCs w:val="false"/>
          <w:color w:val="2D2D2D"/>
          <w:sz w:val="22"/>
          <w:szCs w:val="22"/>
        </w:rPr>
        <w:t xml:space="preserve">c/o PMP Management, LLC</w:t>
      </w:r>
    </w:p>
    <w:p>
      <w:pPr>
        <w:spacing w:after="120" w:before="0"/>
        <w:jc w:val="left"/>
      </w:pPr>
      <w:r>
        <w:rPr>
          <w:rFonts w:ascii="Calibri" w:cs="Calibri" w:eastAsia="Calibri" w:hAnsi="Calibri"/>
          <w:b w:val="false"/>
          <w:bCs w:val="false"/>
          <w:i w:val="false"/>
          <w:iCs w:val="false"/>
          <w:color w:val="2D2D2D"/>
          <w:sz w:val="22"/>
          <w:szCs w:val="22"/>
        </w:rPr>
        <w:t xml:space="preserve">Attn: Melissa Tolerton</w:t>
      </w:r>
    </w:p>
    <w:p>
      <w:pPr>
        <w:spacing w:after="120" w:before="0"/>
        <w:jc w:val="left"/>
      </w:pPr>
      <w:r>
        <w:rPr>
          <w:rFonts w:ascii="Calibri" w:cs="Calibri" w:eastAsia="Calibri" w:hAnsi="Calibri"/>
          <w:b w:val="false"/>
          <w:bCs w:val="false"/>
          <w:i w:val="false"/>
          <w:iCs w:val="false"/>
          <w:color w:val="2D2D2D"/>
          <w:sz w:val="22"/>
          <w:szCs w:val="22"/>
        </w:rPr>
        <w:t xml:space="preserve">115 Red Rock Way</w:t>
      </w:r>
    </w:p>
    <w:p>
      <w:pPr>
        <w:spacing w:after="120" w:before="0"/>
        <w:jc w:val="left"/>
      </w:pPr>
      <w:r>
        <w:rPr>
          <w:rFonts w:ascii="Calibri" w:cs="Calibri" w:eastAsia="Calibri" w:hAnsi="Calibri"/>
          <w:b w:val="false"/>
          <w:bCs w:val="false"/>
          <w:i w:val="false"/>
          <w:iCs w:val="false"/>
          <w:color w:val="2D2D2D"/>
          <w:sz w:val="22"/>
          <w:szCs w:val="22"/>
        </w:rPr>
        <w:t xml:space="preserve">San Francisco, CA 94131</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Dear Ms. Tolerton,</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Thank you for the opportunity to assess the access control system at Diamond Heights Village. Following our detailed evaluation of your existing Keri Systems PXL-500 infrastructure, we are pleased to present this proposal for a traditional on-premise system upgrade using Keri NXT controllers and Doors.NET software.</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This approach provides full local control with no monthly subscription fees — a one-time investment that keeps all system management on-site. The trade-off is that cloud-based remote management and mobile phone credentials are not available with this configuration. Day-to-day operation does not require an internet connection.</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This proposal includes a complete needs assessment based on our on-site evaluation, a detailed technical solution design, an itemized investment summary, and our recommended implementation timeline. We have designed this solution to address the specific challenges faced by your community, including aging readers, the need for modern credential management, and enhanced security for common areas.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We look forward to discussing this proposal with you and the Board of Directors. Please do not hesitate to contact us with any questions.</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Sincerely,</w:t>
      </w:r>
    </w:p>
    <w:p>
      <w:pPr>
        <w:spacing w:after="60"/>
      </w:pPr>
    </w:p>
    <w:p>
      <w:pPr>
        <w:spacing w:after="120" w:before="0"/>
        <w:jc w:val="left"/>
      </w:pPr>
      <w:r>
        <w:rPr>
          <w:rFonts w:ascii="Calibri" w:cs="Calibri" w:eastAsia="Calibri" w:hAnsi="Calibri"/>
          <w:b/>
          <w:bCs/>
          <w:i w:val="false"/>
          <w:iCs w:val="false"/>
          <w:color w:val="2D2D2D"/>
          <w:sz w:val="22"/>
          <w:szCs w:val="22"/>
        </w:rPr>
        <w:t xml:space="preserve">ASI 360 — Allied Systems Integrations</w:t>
      </w:r>
    </w:p>
    <w:p>
      <w:pPr>
        <w:spacing w:after="120" w:before="0"/>
        <w:jc w:val="left"/>
      </w:pPr>
      <w:r>
        <w:rPr>
          <w:rFonts w:ascii="Calibri" w:cs="Calibri" w:eastAsia="Calibri" w:hAnsi="Calibri"/>
          <w:b w:val="false"/>
          <w:bCs w:val="false"/>
          <w:i w:val="false"/>
          <w:iCs w:val="false"/>
          <w:color w:val="2D2D2D"/>
          <w:sz w:val="22"/>
          <w:szCs w:val="22"/>
        </w:rPr>
        <w:t xml:space="preserve">San Francisco Bay Area</w:t>
      </w:r>
    </w:p>
    <w:p>
      <w:pPr>
        <w:spacing w:after="120" w:before="0"/>
        <w:jc w:val="left"/>
      </w:pPr>
      <w:r>
        <w:rPr>
          <w:rFonts w:ascii="Calibri" w:cs="Calibri" w:eastAsia="Calibri" w:hAnsi="Calibri"/>
          <w:b w:val="false"/>
          <w:bCs w:val="false"/>
          <w:i w:val="false"/>
          <w:iCs w:val="false"/>
          <w:color w:val="2D2D2D"/>
          <w:sz w:val="22"/>
          <w:szCs w:val="22"/>
        </w:rPr>
        <w:t xml:space="preserve">info@asi360.co | (510) 288-0994</w:t>
      </w:r>
    </w:p>
    <w:p>
      <w:r>
        <w:br w:type="page"/>
      </w:r>
    </w:p>
    <w:p>
      <w:pPr>
        <w:pStyle w:val="Heading1"/>
        <w:spacing w:after="200" w:before="400"/>
      </w:pPr>
      <w:r>
        <w:rPr>
          <w:rFonts w:ascii="Calibri" w:cs="Calibri" w:eastAsia="Calibri" w:hAnsi="Calibri"/>
          <w:b/>
          <w:bCs/>
          <w:color w:val="1B3A5C"/>
          <w:sz w:val="32"/>
          <w:szCs w:val="32"/>
        </w:rPr>
        <w:t xml:space="preserve">Executive Summary</w:t>
      </w:r>
    </w:p>
    <w:p>
      <w:pPr>
        <w:spacing w:after="120" w:before="0"/>
        <w:jc w:val="left"/>
      </w:pPr>
      <w:r>
        <w:rPr>
          <w:rFonts w:ascii="Calibri" w:cs="Calibri" w:eastAsia="Calibri" w:hAnsi="Calibri"/>
          <w:b w:val="false"/>
          <w:bCs w:val="false"/>
          <w:i w:val="false"/>
          <w:iCs w:val="false"/>
          <w:color w:val="2D2D2D"/>
          <w:sz w:val="22"/>
          <w:szCs w:val="22"/>
        </w:rPr>
        <w:t xml:space="preserve">Diamond Heights Village Association operates a Keri Systems PXL-500-based access control system controlling 10 doors across the residential complex. The system uses legacy NXT/MS-series proximity readers with a PXL-250 Tiger Controller as the head-end. While the core infrastructure remains functional, the readers are aging, the Tiger controller lacks cloud management capability, and the community has no modern credential options.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ASI 360 proposes a traditional on-premise upgrade using Keri NXT reader/keypad kits with Doors.NET software running on a dedicated managed workstation. This approach provides full local control with no monthly subscription fees — a one-time capital investment. The trade-off is that cloud-based remote management and Conekt mobile phone credentials are not available with this configuration; residents use key fobs and/or PIN codes.</w:t>
      </w:r>
    </w:p>
    <w:p>
      <w:pPr>
        <w:spacing w:after="60"/>
      </w:pPr>
    </w:p>
    <w:p>
      <w:pPr>
        <w:spacing w:after="120" w:before="0"/>
        <w:jc w:val="left"/>
      </w:pPr>
      <w:r>
        <w:rPr>
          <w:rFonts w:ascii="Calibri" w:cs="Calibri" w:eastAsia="Calibri" w:hAnsi="Calibri"/>
          <w:b/>
          <w:bCs/>
          <w:i w:val="false"/>
          <w:iCs w:val="false"/>
          <w:color w:val="2D2D2D"/>
          <w:sz w:val="22"/>
          <w:szCs w:val="22"/>
        </w:rPr>
        <w:t xml:space="preserve">Hardware Investment: $14,754.53 (incl. tax)</w:t>
      </w:r>
    </w:p>
    <w:p>
      <w:pPr>
        <w:spacing w:after="120" w:before="0"/>
        <w:jc w:val="left"/>
      </w:pPr>
      <w:r>
        <w:rPr>
          <w:rFonts w:ascii="Calibri" w:cs="Calibri" w:eastAsia="Calibri" w:hAnsi="Calibri"/>
          <w:b/>
          <w:bCs/>
          <w:i w:val="false"/>
          <w:iCs w:val="false"/>
          <w:color w:val="2D2D2D"/>
          <w:sz w:val="22"/>
          <w:szCs w:val="22"/>
        </w:rPr>
        <w:t xml:space="preserve">Services Investment: $6,200.00</w:t>
      </w:r>
    </w:p>
    <w:p>
      <w:pPr>
        <w:spacing w:after="120" w:before="0"/>
        <w:jc w:val="left"/>
      </w:pPr>
      <w:r>
        <w:rPr>
          <w:rFonts w:ascii="Calibri" w:cs="Calibri" w:eastAsia="Calibri" w:hAnsi="Calibri"/>
          <w:b/>
          <w:bCs/>
          <w:i w:val="false"/>
          <w:iCs w:val="false"/>
          <w:color w:val="2D2D2D"/>
          <w:sz w:val="22"/>
          <w:szCs w:val="22"/>
        </w:rPr>
        <w:t xml:space="preserve">Combined Total: $20,954.53</w:t>
      </w:r>
    </w:p>
    <w:p>
      <w:pPr>
        <w:spacing w:after="120" w:before="0"/>
        <w:jc w:val="left"/>
      </w:pPr>
      <w:r>
        <w:rPr>
          <w:rFonts w:ascii="Calibri" w:cs="Calibri" w:eastAsia="Calibri" w:hAnsi="Calibri"/>
          <w:b/>
          <w:bCs/>
          <w:i w:val="false"/>
          <w:iCs w:val="false"/>
          <w:color w:val="2D2D2D"/>
          <w:sz w:val="22"/>
          <w:szCs w:val="22"/>
        </w:rPr>
        <w:t xml:space="preserve">Monthly Recurring Fees: $0.00</w:t>
      </w:r>
    </w:p>
    <w:p>
      <w:pPr>
        <w:spacing w:after="120" w:before="0"/>
        <w:jc w:val="left"/>
      </w:pPr>
      <w:r>
        <w:rPr>
          <w:rFonts w:ascii="Calibri" w:cs="Calibri" w:eastAsia="Calibri" w:hAnsi="Calibri"/>
          <w:b/>
          <w:bCs/>
          <w:i w:val="false"/>
          <w:iCs w:val="false"/>
          <w:color w:val="2D2D2D"/>
          <w:sz w:val="22"/>
          <w:szCs w:val="22"/>
        </w:rPr>
        <w:t xml:space="preserve">Estimated Timeline: 4-5 weeks from signed acceptance</w:t>
      </w:r>
    </w:p>
    <w:p>
      <w:pPr>
        <w:spacing w:after="120" w:before="0"/>
        <w:jc w:val="left"/>
      </w:pPr>
      <w:r>
        <w:rPr>
          <w:rFonts w:ascii="Calibri" w:cs="Calibri" w:eastAsia="Calibri" w:hAnsi="Calibri"/>
          <w:b/>
          <w:bCs/>
          <w:i w:val="false"/>
          <w:iCs w:val="false"/>
          <w:color w:val="2D2D2D"/>
          <w:sz w:val="22"/>
          <w:szCs w:val="22"/>
        </w:rPr>
        <w:t xml:space="preserve">Payment Terms: 50% deposit / 40% on install / 10% on commissioning</w:t>
      </w:r>
    </w:p>
    <w:p>
      <w:r>
        <w:br w:type="page"/>
      </w:r>
    </w:p>
    <w:p>
      <w:pPr>
        <w:pStyle w:val="Heading1"/>
        <w:spacing w:after="200" w:before="400"/>
      </w:pPr>
      <w:r>
        <w:rPr>
          <w:rFonts w:ascii="Calibri" w:cs="Calibri" w:eastAsia="Calibri" w:hAnsi="Calibri"/>
          <w:b/>
          <w:bCs/>
          <w:color w:val="1B3A5C"/>
          <w:sz w:val="32"/>
          <w:szCs w:val="32"/>
        </w:rPr>
        <w:t xml:space="preserve">Needs Assessment</w:t>
      </w:r>
    </w:p>
    <w:p>
      <w:pPr>
        <w:spacing w:after="120" w:before="0"/>
        <w:jc w:val="left"/>
      </w:pPr>
      <w:r>
        <w:rPr>
          <w:rFonts w:ascii="Calibri" w:cs="Calibri" w:eastAsia="Calibri" w:hAnsi="Calibri"/>
          <w:b w:val="false"/>
          <w:bCs w:val="false"/>
          <w:i w:val="false"/>
          <w:iCs w:val="false"/>
          <w:color w:val="2D2D2D"/>
          <w:sz w:val="22"/>
          <w:szCs w:val="22"/>
        </w:rPr>
        <w:t xml:space="preserve">Based on our comprehensive assessment of the Diamond Heights Village access control system, we identified the following conditions and risk factors that drive the need for a system upgrade.</w:t>
      </w:r>
    </w:p>
    <w:p>
      <w:pPr>
        <w:spacing w:after="60"/>
      </w:pPr>
    </w:p>
    <w:p>
      <w:pPr>
        <w:pStyle w:val="Heading2"/>
        <w:spacing w:after="200" w:before="200"/>
      </w:pPr>
      <w:r>
        <w:rPr>
          <w:rFonts w:ascii="Calibri" w:cs="Calibri" w:eastAsia="Calibri" w:hAnsi="Calibri"/>
          <w:b/>
          <w:bCs/>
          <w:color w:val="1B3A5C"/>
          <w:sz w:val="26"/>
          <w:szCs w:val="26"/>
        </w:rPr>
        <w:t xml:space="preserve">Current System Conditions</w:t>
      </w:r>
    </w:p>
    <w:p>
      <w:pPr>
        <w:pStyle w:val="ListParagraph"/>
        <w:numPr>
          <w:ilvl w:val="0"/>
          <w:numId w:val="1"/>
        </w:numPr>
        <w:spacing w:after="60"/>
      </w:pPr>
      <w:r>
        <w:rPr>
          <w:rFonts w:ascii="Calibri" w:cs="Calibri" w:eastAsia="Calibri" w:hAnsi="Calibri"/>
          <w:color w:val="2D2D2D"/>
          <w:sz w:val="22"/>
          <w:szCs w:val="22"/>
        </w:rPr>
        <w:t xml:space="preserve">10-door access control system with 10 proximity readers across residential HOA complex</w:t>
      </w:r>
    </w:p>
    <w:p>
      <w:pPr>
        <w:pStyle w:val="ListParagraph"/>
        <w:numPr>
          <w:ilvl w:val="0"/>
          <w:numId w:val="1"/>
        </w:numPr>
        <w:spacing w:after="60"/>
      </w:pPr>
      <w:r>
        <w:rPr>
          <w:rFonts w:ascii="Calibri" w:cs="Calibri" w:eastAsia="Calibri" w:hAnsi="Calibri"/>
          <w:color w:val="2D2D2D"/>
          <w:sz w:val="22"/>
          <w:szCs w:val="22"/>
        </w:rPr>
        <w:t xml:space="preserve">4x Keri PXL-500 controllers (2018-2019 manufacture) in KRE-2 enclosures — functional, good condition</w:t>
      </w:r>
    </w:p>
    <w:p>
      <w:pPr>
        <w:pStyle w:val="ListParagraph"/>
        <w:numPr>
          <w:ilvl w:val="0"/>
          <w:numId w:val="1"/>
        </w:numPr>
        <w:spacing w:after="60"/>
      </w:pPr>
      <w:r>
        <w:rPr>
          <w:rFonts w:ascii="Calibri" w:cs="Calibri" w:eastAsia="Calibri" w:hAnsi="Calibri"/>
          <w:color w:val="2D2D2D"/>
          <w:sz w:val="22"/>
          <w:szCs w:val="22"/>
        </w:rPr>
        <w:t xml:space="preserve">1x PXL-250 Tiger Controller serving as head-end — functional but legacy technology, no cloud capability</w:t>
      </w:r>
    </w:p>
    <w:p>
      <w:pPr>
        <w:pStyle w:val="ListParagraph"/>
        <w:numPr>
          <w:ilvl w:val="0"/>
          <w:numId w:val="1"/>
        </w:numPr>
        <w:spacing w:after="60"/>
      </w:pPr>
      <w:r>
        <w:rPr>
          <w:rFonts w:ascii="Calibri" w:cs="Calibri" w:eastAsia="Calibri" w:hAnsi="Calibri"/>
          <w:color w:val="2D2D2D"/>
          <w:sz w:val="22"/>
          <w:szCs w:val="22"/>
        </w:rPr>
        <w:t xml:space="preserve">8x MS-5000 series mullion readers — fair condition, significant weathering from outdoor exposure</w:t>
      </w:r>
    </w:p>
    <w:p>
      <w:pPr>
        <w:pStyle w:val="ListParagraph"/>
        <w:numPr>
          <w:ilvl w:val="0"/>
          <w:numId w:val="1"/>
        </w:numPr>
        <w:spacing w:after="60"/>
      </w:pPr>
      <w:r>
        <w:rPr>
          <w:rFonts w:ascii="Calibri" w:cs="Calibri" w:eastAsia="Calibri" w:hAnsi="Calibri"/>
          <w:color w:val="2D2D2D"/>
          <w:sz w:val="22"/>
          <w:szCs w:val="22"/>
        </w:rPr>
        <w:t xml:space="preserve">2x NXT-2R/3R mid-size readers — poor condition, severe UV degradation, priority replacement</w:t>
      </w:r>
    </w:p>
    <w:p>
      <w:pPr>
        <w:pStyle w:val="ListParagraph"/>
        <w:numPr>
          <w:ilvl w:val="0"/>
          <w:numId w:val="1"/>
        </w:numPr>
        <w:spacing w:after="60"/>
      </w:pPr>
      <w:r>
        <w:rPr>
          <w:rFonts w:ascii="Calibri" w:cs="Calibri" w:eastAsia="Calibri" w:hAnsi="Calibri"/>
          <w:color w:val="2D2D2D"/>
          <w:sz w:val="22"/>
          <w:szCs w:val="22"/>
        </w:rPr>
        <w:t xml:space="preserve">KPS-11 power supply with ESD X-1656 transformer — good condition, compatible with upgrade</w:t>
      </w:r>
    </w:p>
    <w:p>
      <w:pPr>
        <w:pStyle w:val="ListParagraph"/>
        <w:numPr>
          <w:ilvl w:val="0"/>
          <w:numId w:val="1"/>
        </w:numPr>
        <w:spacing w:after="60"/>
      </w:pPr>
      <w:r>
        <w:rPr>
          <w:rFonts w:ascii="Calibri" w:cs="Calibri" w:eastAsia="Calibri" w:hAnsi="Calibri"/>
          <w:color w:val="2D2D2D"/>
          <w:sz w:val="22"/>
          <w:szCs w:val="22"/>
        </w:rPr>
        <w:t xml:space="preserve">2x Interstate FAS1075 backup batteries (12V 7Ah) — age unknown, on-site testing recommended</w:t>
      </w:r>
    </w:p>
    <w:p>
      <w:pPr>
        <w:pStyle w:val="ListParagraph"/>
        <w:numPr>
          <w:ilvl w:val="0"/>
          <w:numId w:val="1"/>
        </w:numPr>
        <w:spacing w:after="60"/>
      </w:pPr>
      <w:r>
        <w:rPr>
          <w:rFonts w:ascii="Calibri" w:cs="Calibri" w:eastAsia="Calibri" w:hAnsi="Calibri"/>
          <w:color w:val="2D2D2D"/>
          <w:sz w:val="22"/>
          <w:szCs w:val="22"/>
        </w:rPr>
        <w:t xml:space="preserve">All readers use legacy 26-bit Wiegand NXT/MS proximity technology</w:t>
      </w:r>
    </w:p>
    <w:p>
      <w:pPr>
        <w:pStyle w:val="ListParagraph"/>
        <w:numPr>
          <w:ilvl w:val="0"/>
          <w:numId w:val="1"/>
        </w:numPr>
        <w:spacing w:after="60"/>
      </w:pPr>
      <w:r>
        <w:rPr>
          <w:rFonts w:ascii="Calibri" w:cs="Calibri" w:eastAsia="Calibri" w:hAnsi="Calibri"/>
          <w:color w:val="2D2D2D"/>
          <w:sz w:val="22"/>
          <w:szCs w:val="22"/>
        </w:rPr>
        <w:t xml:space="preserve">Existing wiring infrastructure (Wiegand runs, power, RS-485 bus) is intact and reusable</w:t>
      </w:r>
    </w:p>
    <w:p>
      <w:pPr>
        <w:spacing w:after="60"/>
      </w:pPr>
    </w:p>
    <w:p>
      <w:pPr>
        <w:pStyle w:val="Heading2"/>
        <w:spacing w:after="200" w:before="200"/>
      </w:pPr>
      <w:r>
        <w:rPr>
          <w:rFonts w:ascii="Calibri" w:cs="Calibri" w:eastAsia="Calibri" w:hAnsi="Calibri"/>
          <w:b/>
          <w:bCs/>
          <w:color w:val="1B3A5C"/>
          <w:sz w:val="26"/>
          <w:szCs w:val="26"/>
        </w:rPr>
        <w:t xml:space="preserve">Risk Factors</w:t>
      </w:r>
    </w:p>
    <w:p>
      <w:pPr>
        <w:pStyle w:val="ListParagraph"/>
        <w:numPr>
          <w:ilvl w:val="0"/>
          <w:numId w:val="1"/>
        </w:numPr>
        <w:spacing w:after="60"/>
      </w:pPr>
      <w:r>
        <w:rPr>
          <w:rFonts w:ascii="Calibri" w:cs="Calibri" w:eastAsia="Calibri" w:hAnsi="Calibri"/>
          <w:color w:val="2D2D2D"/>
          <w:sz w:val="22"/>
          <w:szCs w:val="22"/>
        </w:rPr>
        <w:t xml:space="preserve">Tiger PXL-250 controller has no cloud management — all changes require on-site visits</w:t>
      </w:r>
    </w:p>
    <w:p>
      <w:pPr>
        <w:pStyle w:val="ListParagraph"/>
        <w:numPr>
          <w:ilvl w:val="0"/>
          <w:numId w:val="1"/>
        </w:numPr>
        <w:spacing w:after="60"/>
      </w:pPr>
      <w:r>
        <w:rPr>
          <w:rFonts w:ascii="Calibri" w:cs="Calibri" w:eastAsia="Calibri" w:hAnsi="Calibri"/>
          <w:color w:val="2D2D2D"/>
          <w:sz w:val="22"/>
          <w:szCs w:val="22"/>
        </w:rPr>
        <w:t xml:space="preserve">Legacy proximity-only readers provide no mobile credential or PIN code capability</w:t>
      </w:r>
    </w:p>
    <w:p>
      <w:pPr>
        <w:pStyle w:val="ListParagraph"/>
        <w:numPr>
          <w:ilvl w:val="0"/>
          <w:numId w:val="1"/>
        </w:numPr>
        <w:spacing w:after="60"/>
      </w:pPr>
      <w:r>
        <w:rPr>
          <w:rFonts w:ascii="Calibri" w:cs="Calibri" w:eastAsia="Calibri" w:hAnsi="Calibri"/>
          <w:color w:val="2D2D2D"/>
          <w:sz w:val="22"/>
          <w:szCs w:val="22"/>
        </w:rPr>
        <w:t xml:space="preserve">UV-degraded readers (Readers 2 and 3) are at risk of failure</w:t>
      </w:r>
    </w:p>
    <w:p>
      <w:pPr>
        <w:pStyle w:val="ListParagraph"/>
        <w:numPr>
          <w:ilvl w:val="0"/>
          <w:numId w:val="1"/>
        </w:numPr>
        <w:spacing w:after="60"/>
      </w:pPr>
      <w:r>
        <w:rPr>
          <w:rFonts w:ascii="Calibri" w:cs="Calibri" w:eastAsia="Calibri" w:hAnsi="Calibri"/>
          <w:color w:val="2D2D2D"/>
          <w:sz w:val="22"/>
          <w:szCs w:val="22"/>
        </w:rPr>
        <w:t xml:space="preserve">No audit trail capability — cannot track who accessed what door and when</w:t>
      </w:r>
    </w:p>
    <w:p>
      <w:pPr>
        <w:pStyle w:val="ListParagraph"/>
        <w:numPr>
          <w:ilvl w:val="0"/>
          <w:numId w:val="1"/>
        </w:numPr>
        <w:spacing w:after="60"/>
      </w:pPr>
      <w:r>
        <w:rPr>
          <w:rFonts w:ascii="Calibri" w:cs="Calibri" w:eastAsia="Calibri" w:hAnsi="Calibri"/>
          <w:color w:val="2D2D2D"/>
          <w:sz w:val="22"/>
          <w:szCs w:val="22"/>
        </w:rPr>
        <w:t xml:space="preserve">Credential management requires physical office visits to issue/revoke fobs</w:t>
      </w:r>
    </w:p>
    <w:p>
      <w:pPr>
        <w:pStyle w:val="ListParagraph"/>
        <w:numPr>
          <w:ilvl w:val="0"/>
          <w:numId w:val="1"/>
        </w:numPr>
        <w:spacing w:after="60"/>
      </w:pPr>
      <w:r>
        <w:rPr>
          <w:rFonts w:ascii="Calibri" w:cs="Calibri" w:eastAsia="Calibri" w:hAnsi="Calibri"/>
          <w:color w:val="2D2D2D"/>
          <w:sz w:val="22"/>
          <w:szCs w:val="22"/>
        </w:rPr>
        <w:t xml:space="preserve">No temporary or guest credential capability for contractors and visitors</w:t>
      </w:r>
    </w:p>
    <w:p>
      <w:pPr>
        <w:pStyle w:val="ListParagraph"/>
        <w:numPr>
          <w:ilvl w:val="0"/>
          <w:numId w:val="1"/>
        </w:numPr>
        <w:spacing w:after="60"/>
      </w:pPr>
      <w:r>
        <w:rPr>
          <w:rFonts w:ascii="Calibri" w:cs="Calibri" w:eastAsia="Calibri" w:hAnsi="Calibri"/>
          <w:color w:val="2D2D2D"/>
          <w:sz w:val="22"/>
          <w:szCs w:val="22"/>
        </w:rPr>
        <w:t xml:space="preserve">Pool and common area access lacks granular time-based scheduling</w:t>
      </w:r>
    </w:p>
    <w:p>
      <w:pPr>
        <w:pStyle w:val="ListParagraph"/>
        <w:numPr>
          <w:ilvl w:val="0"/>
          <w:numId w:val="1"/>
        </w:numPr>
        <w:spacing w:after="60"/>
      </w:pPr>
      <w:r>
        <w:rPr>
          <w:rFonts w:ascii="Calibri" w:cs="Calibri" w:eastAsia="Calibri" w:hAnsi="Calibri"/>
          <w:color w:val="2D2D2D"/>
          <w:sz w:val="22"/>
          <w:szCs w:val="22"/>
        </w:rPr>
        <w:t xml:space="preserve">Competitor quote (Warman Security) is active — 30-day expiration window</w:t>
      </w:r>
    </w:p>
    <w:p>
      <w:pPr>
        <w:pStyle w:val="ListParagraph"/>
        <w:numPr>
          <w:ilvl w:val="0"/>
          <w:numId w:val="1"/>
        </w:numPr>
        <w:spacing w:after="60"/>
      </w:pPr>
      <w:r>
        <w:rPr>
          <w:rFonts w:ascii="Calibri" w:cs="Calibri" w:eastAsia="Calibri" w:hAnsi="Calibri"/>
          <w:color w:val="2D2D2D"/>
          <w:sz w:val="22"/>
          <w:szCs w:val="22"/>
        </w:rPr>
        <w:t xml:space="preserve">Aging backup batteries may not sustain system during power outages</w:t>
      </w:r>
    </w:p>
    <w:p>
      <w:r>
        <w:br w:type="page"/>
      </w:r>
    </w:p>
    <w:p>
      <w:pPr>
        <w:pStyle w:val="Heading1"/>
        <w:spacing w:after="200" w:before="400"/>
      </w:pPr>
      <w:r>
        <w:rPr>
          <w:rFonts w:ascii="Calibri" w:cs="Calibri" w:eastAsia="Calibri" w:hAnsi="Calibri"/>
          <w:b/>
          <w:bCs/>
          <w:color w:val="1B3A5C"/>
          <w:sz w:val="32"/>
          <w:szCs w:val="32"/>
        </w:rPr>
        <w:t xml:space="preserve">Proposed Solution</w:t>
      </w:r>
    </w:p>
    <w:p>
      <w:pPr>
        <w:spacing w:after="120" w:before="0"/>
        <w:jc w:val="left"/>
      </w:pPr>
      <w:r>
        <w:rPr>
          <w:rFonts w:ascii="Calibri" w:cs="Calibri" w:eastAsia="Calibri" w:hAnsi="Calibri"/>
          <w:b w:val="false"/>
          <w:bCs w:val="false"/>
          <w:i w:val="false"/>
          <w:iCs w:val="false"/>
          <w:color w:val="2D2D2D"/>
          <w:sz w:val="22"/>
          <w:szCs w:val="22"/>
        </w:rPr>
        <w:t xml:space="preserve">ASI 360 recommends an on-premise Keri NXT upgrade with Doors.NET software, giving Diamond Heights Village a fully self-contained access control system with no cloud dependency or recurring subscription fees.</w:t>
      </w:r>
    </w:p>
    <w:p>
      <w:pPr>
        <w:spacing w:after="60"/>
      </w:pPr>
    </w:p>
    <w:p>
      <w:pPr>
        <w:pStyle w:val="Heading2"/>
        <w:spacing w:after="200" w:before="200"/>
      </w:pPr>
      <w:r>
        <w:rPr>
          <w:rFonts w:ascii="Calibri" w:cs="Calibri" w:eastAsia="Calibri" w:hAnsi="Calibri"/>
          <w:b/>
          <w:bCs/>
          <w:color w:val="1B3A5C"/>
          <w:sz w:val="26"/>
          <w:szCs w:val="26"/>
        </w:rPr>
        <w:t xml:space="preserve">System Components</w:t>
      </w:r>
    </w:p>
    <w:p>
      <w:pPr>
        <w:pStyle w:val="ListParagraph"/>
        <w:numPr>
          <w:ilvl w:val="0"/>
          <w:numId w:val="1"/>
        </w:numPr>
        <w:spacing w:after="60"/>
      </w:pPr>
      <w:r>
        <w:rPr>
          <w:rFonts w:ascii="Calibri" w:cs="Calibri" w:eastAsia="Calibri" w:hAnsi="Calibri"/>
          <w:color w:val="2D2D2D"/>
          <w:sz w:val="22"/>
          <w:szCs w:val="22"/>
        </w:rPr>
        <w:t xml:space="preserve">1x Spare PXL-500W Door Controller — Retaining the existing 4x PXL-500 boards; this spare provides immediate redundancy. If any board fails, the spare slots in with zero downtime.</w:t>
      </w:r>
    </w:p>
    <w:p>
      <w:pPr>
        <w:pStyle w:val="ListParagraph"/>
        <w:numPr>
          <w:ilvl w:val="0"/>
          <w:numId w:val="1"/>
        </w:numPr>
        <w:spacing w:after="60"/>
      </w:pPr>
      <w:r>
        <w:rPr>
          <w:rFonts w:ascii="Calibri" w:cs="Calibri" w:eastAsia="Calibri" w:hAnsi="Calibri"/>
          <w:color w:val="2D2D2D"/>
          <w:sz w:val="22"/>
          <w:szCs w:val="22"/>
        </w:rPr>
        <w:t xml:space="preserve">LAN-520AESP Ethernet Communication Module — Connects the PXL-500 controller network to the building LAN, enabling Doors.NET to communicate with all controllers over standard Ethernet rather than serial.</w:t>
      </w:r>
    </w:p>
    <w:p>
      <w:pPr>
        <w:pStyle w:val="ListParagraph"/>
        <w:numPr>
          <w:ilvl w:val="0"/>
          <w:numId w:val="1"/>
        </w:numPr>
        <w:spacing w:after="60"/>
      </w:pPr>
      <w:r>
        <w:rPr>
          <w:rFonts w:ascii="Calibri" w:cs="Calibri" w:eastAsia="Calibri" w:hAnsi="Calibri"/>
          <w:color w:val="2D2D2D"/>
          <w:sz w:val="22"/>
          <w:szCs w:val="22"/>
        </w:rPr>
        <w:t xml:space="preserve">10x Keri NXT-KPK Reader + Keypad Kits (NXT-6RK reader + NXT-RM3 mounting) — Replace all existing MS-5000 and NXT-2R/3R readers. Dual-entry: proximity fob tap and illuminated keypad for PIN codes.</w:t>
      </w:r>
    </w:p>
    <w:p>
      <w:pPr>
        <w:pStyle w:val="ListParagraph"/>
        <w:numPr>
          <w:ilvl w:val="0"/>
          <w:numId w:val="1"/>
        </w:numPr>
        <w:spacing w:after="60"/>
      </w:pPr>
      <w:r>
        <w:rPr>
          <w:rFonts w:ascii="Calibri" w:cs="Calibri" w:eastAsia="Calibri" w:hAnsi="Calibri"/>
          <w:color w:val="2D2D2D"/>
          <w:sz w:val="22"/>
          <w:szCs w:val="22"/>
        </w:rPr>
        <w:t xml:space="preserve">200 Conekt Proximity Key Tags (4x CSK-2-50 packs) — Immediate credentialing for all residents. Compatible with existing 26-bit Wiegand format.</w:t>
      </w:r>
    </w:p>
    <w:p>
      <w:pPr>
        <w:pStyle w:val="ListParagraph"/>
        <w:numPr>
          <w:ilvl w:val="0"/>
          <w:numId w:val="1"/>
        </w:numPr>
        <w:spacing w:after="60"/>
      </w:pPr>
      <w:r>
        <w:rPr>
          <w:rFonts w:ascii="Calibri" w:cs="Calibri" w:eastAsia="Calibri" w:hAnsi="Calibri"/>
          <w:color w:val="2D2D2D"/>
          <w:sz w:val="22"/>
          <w:szCs w:val="22"/>
        </w:rPr>
        <w:t xml:space="preserve">Doors.NET Basic Edition Software (KERI-DNET-BASIC) — Full-featured access control management software with audit trail, event monitoring, door scheduling, reporting, and badge management. Runs locally on the dedicated workstation.</w:t>
      </w:r>
    </w:p>
    <w:p>
      <w:pPr>
        <w:pStyle w:val="ListParagraph"/>
        <w:numPr>
          <w:ilvl w:val="0"/>
          <w:numId w:val="1"/>
        </w:numPr>
        <w:spacing w:after="60"/>
      </w:pPr>
      <w:r>
        <w:rPr>
          <w:rFonts w:ascii="Calibri" w:cs="Calibri" w:eastAsia="Calibri" w:hAnsi="Calibri"/>
          <w:color w:val="2D2D2D"/>
          <w:sz w:val="22"/>
          <w:szCs w:val="22"/>
        </w:rPr>
        <w:t xml:space="preserve">Keri Access Control Gateway License (SW-PGWM) — Enables secure remote access for ASI 360 support staff to manage the system without on-site visits.</w:t>
      </w:r>
    </w:p>
    <w:p>
      <w:pPr>
        <w:pStyle w:val="ListParagraph"/>
        <w:numPr>
          <w:ilvl w:val="0"/>
          <w:numId w:val="1"/>
        </w:numPr>
        <w:spacing w:after="60"/>
      </w:pPr>
      <w:r>
        <w:rPr>
          <w:rFonts w:ascii="Calibri" w:cs="Calibri" w:eastAsia="Calibri" w:hAnsi="Calibri"/>
          <w:color w:val="2D2D2D"/>
          <w:sz w:val="22"/>
          <w:szCs w:val="22"/>
        </w:rPr>
        <w:t xml:space="preserve">ASI 360 Keri Hub Workstation (Dell OptiPlex i7/32GB/1TB) — Pre-configured managed workstation dedicated to running Doors.NET. Includes OS, software installation, network configuration, and ASI 360 remote monitoring agent.</w:t>
      </w:r>
    </w:p>
    <w:p>
      <w:pPr>
        <w:pStyle w:val="ListParagraph"/>
        <w:numPr>
          <w:ilvl w:val="0"/>
          <w:numId w:val="1"/>
        </w:numPr>
        <w:spacing w:after="60"/>
      </w:pPr>
      <w:r>
        <w:rPr>
          <w:rFonts w:ascii="Calibri" w:cs="Calibri" w:eastAsia="Calibri" w:hAnsi="Calibri"/>
          <w:color w:val="2D2D2D"/>
          <w:sz w:val="22"/>
          <w:szCs w:val="22"/>
        </w:rPr>
        <w:t xml:space="preserve">KPS-3 Power Supply (2.8A @ 12VDC) — Additional power supply for the spare controller board.</w:t>
      </w:r>
    </w:p>
    <w:p>
      <w:pPr>
        <w:pStyle w:val="ListParagraph"/>
        <w:numPr>
          <w:ilvl w:val="0"/>
          <w:numId w:val="1"/>
        </w:numPr>
        <w:spacing w:after="60"/>
      </w:pPr>
      <w:r>
        <w:rPr>
          <w:rFonts w:ascii="Calibri" w:cs="Calibri" w:eastAsia="Calibri" w:hAnsi="Calibri"/>
          <w:color w:val="2D2D2D"/>
          <w:sz w:val="22"/>
          <w:szCs w:val="22"/>
        </w:rPr>
        <w:t xml:space="preserve">2x Replacement Backup Batteries (12V 7Ah SLA) — Ensures reliable power backup during outages.</w:t>
      </w:r>
    </w:p>
    <w:p>
      <w:pPr>
        <w:spacing w:after="60"/>
      </w:pPr>
    </w:p>
    <w:p>
      <w:pPr>
        <w:pStyle w:val="Heading2"/>
        <w:spacing w:after="200" w:before="200"/>
      </w:pPr>
      <w:r>
        <w:rPr>
          <w:rFonts w:ascii="Calibri" w:cs="Calibri" w:eastAsia="Calibri" w:hAnsi="Calibri"/>
          <w:b/>
          <w:bCs/>
          <w:color w:val="1B3A5C"/>
          <w:sz w:val="26"/>
          <w:szCs w:val="26"/>
        </w:rPr>
        <w:t xml:space="preserve">Retained Equipment</w:t>
      </w:r>
    </w:p>
    <w:p>
      <w:pPr>
        <w:pStyle w:val="ListParagraph"/>
        <w:numPr>
          <w:ilvl w:val="0"/>
          <w:numId w:val="1"/>
        </w:numPr>
        <w:spacing w:after="60"/>
      </w:pPr>
      <w:r>
        <w:rPr>
          <w:rFonts w:ascii="Calibri" w:cs="Calibri" w:eastAsia="Calibri" w:hAnsi="Calibri"/>
          <w:color w:val="2D2D2D"/>
          <w:sz w:val="22"/>
          <w:szCs w:val="22"/>
        </w:rPr>
        <w:t xml:space="preserve">4x PXL-500 controllers (connected via LAN-520AESP)</w:t>
      </w:r>
    </w:p>
    <w:p>
      <w:pPr>
        <w:pStyle w:val="ListParagraph"/>
        <w:numPr>
          <w:ilvl w:val="0"/>
          <w:numId w:val="1"/>
        </w:numPr>
        <w:spacing w:after="60"/>
      </w:pPr>
      <w:r>
        <w:rPr>
          <w:rFonts w:ascii="Calibri" w:cs="Calibri" w:eastAsia="Calibri" w:hAnsi="Calibri"/>
          <w:color w:val="2D2D2D"/>
          <w:sz w:val="22"/>
          <w:szCs w:val="22"/>
        </w:rPr>
        <w:t xml:space="preserve">5x KRE-2 enclosures</w:t>
      </w:r>
    </w:p>
    <w:p>
      <w:pPr>
        <w:pStyle w:val="ListParagraph"/>
        <w:numPr>
          <w:ilvl w:val="0"/>
          <w:numId w:val="1"/>
        </w:numPr>
        <w:spacing w:after="60"/>
      </w:pPr>
      <w:r>
        <w:rPr>
          <w:rFonts w:ascii="Calibri" w:cs="Calibri" w:eastAsia="Calibri" w:hAnsi="Calibri"/>
          <w:color w:val="2D2D2D"/>
          <w:sz w:val="22"/>
          <w:szCs w:val="22"/>
        </w:rPr>
        <w:t xml:space="preserve">KPS-11 power supply (existing)</w:t>
      </w:r>
    </w:p>
    <w:p>
      <w:pPr>
        <w:pStyle w:val="ListParagraph"/>
        <w:numPr>
          <w:ilvl w:val="0"/>
          <w:numId w:val="1"/>
        </w:numPr>
        <w:spacing w:after="60"/>
      </w:pPr>
      <w:r>
        <w:rPr>
          <w:rFonts w:ascii="Calibri" w:cs="Calibri" w:eastAsia="Calibri" w:hAnsi="Calibri"/>
          <w:color w:val="2D2D2D"/>
          <w:sz w:val="22"/>
          <w:szCs w:val="22"/>
        </w:rPr>
        <w:t xml:space="preserve">ESD X-1656 transformer</w:t>
      </w:r>
    </w:p>
    <w:p>
      <w:pPr>
        <w:pStyle w:val="ListParagraph"/>
        <w:numPr>
          <w:ilvl w:val="0"/>
          <w:numId w:val="1"/>
        </w:numPr>
        <w:spacing w:after="60"/>
      </w:pPr>
      <w:r>
        <w:rPr>
          <w:rFonts w:ascii="Calibri" w:cs="Calibri" w:eastAsia="Calibri" w:hAnsi="Calibri"/>
          <w:color w:val="2D2D2D"/>
          <w:sz w:val="22"/>
          <w:szCs w:val="22"/>
        </w:rPr>
        <w:t xml:space="preserve">All existing wiring (Wiegand runs, power, RS-485 bus)</w:t>
      </w:r>
    </w:p>
    <w:p>
      <w:pPr>
        <w:spacing w:after="60"/>
      </w:pPr>
    </w:p>
    <w:p>
      <w:pPr>
        <w:pStyle w:val="Heading2"/>
        <w:spacing w:after="200" w:before="200"/>
      </w:pPr>
      <w:r>
        <w:rPr>
          <w:rFonts w:ascii="Calibri" w:cs="Calibri" w:eastAsia="Calibri" w:hAnsi="Calibri"/>
          <w:b/>
          <w:bCs/>
          <w:color w:val="1B3A5C"/>
          <w:sz w:val="26"/>
          <w:szCs w:val="26"/>
        </w:rPr>
        <w:t xml:space="preserve">What This Means for Residents</w:t>
      </w:r>
    </w:p>
    <w:p>
      <w:pPr>
        <w:spacing w:after="120" w:before="0"/>
        <w:jc w:val="left"/>
      </w:pPr>
      <w:r>
        <w:rPr>
          <w:rFonts w:ascii="Calibri" w:cs="Calibri" w:eastAsia="Calibri" w:hAnsi="Calibri"/>
          <w:b w:val="false"/>
          <w:bCs w:val="false"/>
          <w:i w:val="false"/>
          <w:iCs w:val="false"/>
          <w:color w:val="2D2D2D"/>
          <w:sz w:val="22"/>
          <w:szCs w:val="22"/>
        </w:rPr>
        <w:t xml:space="preserve">With the NXT on-premise approach, residents access the building using a key fob tap or a personal PIN code — or both. There is no mobile app or cloud account to set up. Property management issues and revokes credentials directly from the on-site workstation. The system operates independently of the internet, so access control continues to function even during network outages.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The ASI 360 gateway license allows our team to provide remote support, firmware updates, and troubleshooting via a secure VPN connection — meaning most service requests can be handled without scheduling an on-site visit.</w:t>
      </w:r>
    </w:p>
    <w:p>
      <w:r>
        <w:br w:type="page"/>
      </w:r>
    </w:p>
    <w:p>
      <w:pPr>
        <w:pStyle w:val="Heading1"/>
        <w:spacing w:after="200" w:before="400"/>
      </w:pPr>
      <w:r>
        <w:rPr>
          <w:rFonts w:ascii="Calibri" w:cs="Calibri" w:eastAsia="Calibri" w:hAnsi="Calibri"/>
          <w:b/>
          <w:bCs/>
          <w:color w:val="1B3A5C"/>
          <w:sz w:val="32"/>
          <w:szCs w:val="32"/>
        </w:rPr>
        <w:t xml:space="preserve">Key Benefits</w:t>
      </w:r>
    </w:p>
    <w:p>
      <w:pPr>
        <w:pStyle w:val="ListParagraph"/>
        <w:numPr>
          <w:ilvl w:val="0"/>
          <w:numId w:val="1"/>
        </w:numPr>
        <w:spacing w:after="60"/>
      </w:pPr>
      <w:r>
        <w:rPr>
          <w:rFonts w:ascii="Calibri" w:cs="Calibri" w:eastAsia="Calibri" w:hAnsi="Calibri"/>
          <w:color w:val="2D2D2D"/>
          <w:sz w:val="22"/>
          <w:szCs w:val="22"/>
        </w:rPr>
        <w:t xml:space="preserve">No monthly subscription fees — one-time investment with zero recurring costs</w:t>
      </w:r>
    </w:p>
    <w:p>
      <w:pPr>
        <w:pStyle w:val="ListParagraph"/>
        <w:numPr>
          <w:ilvl w:val="0"/>
          <w:numId w:val="1"/>
        </w:numPr>
        <w:spacing w:after="60"/>
      </w:pPr>
      <w:r>
        <w:rPr>
          <w:rFonts w:ascii="Calibri" w:cs="Calibri" w:eastAsia="Calibri" w:hAnsi="Calibri"/>
          <w:color w:val="2D2D2D"/>
          <w:sz w:val="22"/>
          <w:szCs w:val="22"/>
        </w:rPr>
        <w:t xml:space="preserve">Full local control — no internet dependency for day-to-day access control operation</w:t>
      </w:r>
    </w:p>
    <w:p>
      <w:pPr>
        <w:pStyle w:val="ListParagraph"/>
        <w:numPr>
          <w:ilvl w:val="0"/>
          <w:numId w:val="1"/>
        </w:numPr>
        <w:spacing w:after="60"/>
      </w:pPr>
      <w:r>
        <w:rPr>
          <w:rFonts w:ascii="Calibri" w:cs="Calibri" w:eastAsia="Calibri" w:hAnsi="Calibri"/>
          <w:color w:val="2D2D2D"/>
          <w:sz w:val="22"/>
          <w:szCs w:val="22"/>
        </w:rPr>
        <w:t xml:space="preserve">NXT reader + keypad combo — residents use fob tap AND/OR PIN code entry</w:t>
      </w:r>
    </w:p>
    <w:p>
      <w:pPr>
        <w:pStyle w:val="ListParagraph"/>
        <w:numPr>
          <w:ilvl w:val="0"/>
          <w:numId w:val="1"/>
        </w:numPr>
        <w:spacing w:after="60"/>
      </w:pPr>
      <w:r>
        <w:rPr>
          <w:rFonts w:ascii="Calibri" w:cs="Calibri" w:eastAsia="Calibri" w:hAnsi="Calibri"/>
          <w:color w:val="2D2D2D"/>
          <w:sz w:val="22"/>
          <w:szCs w:val="22"/>
        </w:rPr>
        <w:t xml:space="preserve">Doors.NET software with full audit trail, door scheduling, reporting, and event monitoring</w:t>
      </w:r>
    </w:p>
    <w:p>
      <w:pPr>
        <w:pStyle w:val="ListParagraph"/>
        <w:numPr>
          <w:ilvl w:val="0"/>
          <w:numId w:val="1"/>
        </w:numPr>
        <w:spacing w:after="60"/>
      </w:pPr>
      <w:r>
        <w:rPr>
          <w:rFonts w:ascii="Calibri" w:cs="Calibri" w:eastAsia="Calibri" w:hAnsi="Calibri"/>
          <w:color w:val="2D2D2D"/>
          <w:sz w:val="22"/>
          <w:szCs w:val="22"/>
        </w:rPr>
        <w:t xml:space="preserve">ASI 360 managed workstation with remote gateway license for ongoing support access</w:t>
      </w:r>
    </w:p>
    <w:p>
      <w:pPr>
        <w:pStyle w:val="ListParagraph"/>
        <w:numPr>
          <w:ilvl w:val="0"/>
          <w:numId w:val="1"/>
        </w:numPr>
        <w:spacing w:after="60"/>
      </w:pPr>
      <w:r>
        <w:rPr>
          <w:rFonts w:ascii="Calibri" w:cs="Calibri" w:eastAsia="Calibri" w:hAnsi="Calibri"/>
          <w:color w:val="2D2D2D"/>
          <w:sz w:val="22"/>
          <w:szCs w:val="22"/>
        </w:rPr>
        <w:t xml:space="preserve">Scalable — add doors and controllers as campus expands, no per-door subscription</w:t>
      </w:r>
    </w:p>
    <w:p>
      <w:pPr>
        <w:pStyle w:val="ListParagraph"/>
        <w:numPr>
          <w:ilvl w:val="0"/>
          <w:numId w:val="1"/>
        </w:numPr>
        <w:spacing w:after="60"/>
      </w:pPr>
      <w:r>
        <w:rPr>
          <w:rFonts w:ascii="Calibri" w:cs="Calibri" w:eastAsia="Calibri" w:hAnsi="Calibri"/>
          <w:color w:val="2D2D2D"/>
          <w:sz w:val="22"/>
          <w:szCs w:val="22"/>
        </w:rPr>
        <w:t xml:space="preserve">200 key fobs (4 × 50-packs) for immediate resident credentialing on Day 1</w:t>
      </w:r>
    </w:p>
    <w:p>
      <w:pPr>
        <w:pStyle w:val="ListParagraph"/>
        <w:numPr>
          <w:ilvl w:val="0"/>
          <w:numId w:val="1"/>
        </w:numPr>
        <w:spacing w:after="60"/>
      </w:pPr>
      <w:r>
        <w:rPr>
          <w:rFonts w:ascii="Calibri" w:cs="Calibri" w:eastAsia="Calibri" w:hAnsi="Calibri"/>
          <w:color w:val="2D2D2D"/>
          <w:sz w:val="22"/>
          <w:szCs w:val="22"/>
        </w:rPr>
        <w:t xml:space="preserve">Spare PXL-500W controller for redundancy — zero downtime if a board fails</w:t>
      </w:r>
    </w:p>
    <w:p>
      <w:pPr>
        <w:pStyle w:val="ListParagraph"/>
        <w:numPr>
          <w:ilvl w:val="0"/>
          <w:numId w:val="1"/>
        </w:numPr>
        <w:spacing w:after="60"/>
      </w:pPr>
      <w:r>
        <w:rPr>
          <w:rFonts w:ascii="Calibri" w:cs="Calibri" w:eastAsia="Calibri" w:hAnsi="Calibri"/>
          <w:color w:val="2D2D2D"/>
          <w:sz w:val="22"/>
          <w:szCs w:val="22"/>
        </w:rPr>
        <w:t xml:space="preserve">Complete audit trail for compliance and liability protection</w:t>
      </w:r>
    </w:p>
    <w:p>
      <w:pPr>
        <w:pStyle w:val="ListParagraph"/>
        <w:numPr>
          <w:ilvl w:val="0"/>
          <w:numId w:val="1"/>
        </w:numPr>
        <w:spacing w:after="60"/>
      </w:pPr>
      <w:r>
        <w:rPr>
          <w:rFonts w:ascii="Calibri" w:cs="Calibri" w:eastAsia="Calibri" w:hAnsi="Calibri"/>
          <w:color w:val="2D2D2D"/>
          <w:sz w:val="22"/>
          <w:szCs w:val="22"/>
        </w:rPr>
        <w:t xml:space="preserve">Pool safety — controlled access prevents unauthorized entry (liability reduction)</w:t>
      </w:r>
    </w:p>
    <w:p>
      <w:pPr>
        <w:pStyle w:val="ListParagraph"/>
        <w:numPr>
          <w:ilvl w:val="0"/>
          <w:numId w:val="1"/>
        </w:numPr>
        <w:spacing w:after="60"/>
      </w:pPr>
      <w:r>
        <w:rPr>
          <w:rFonts w:ascii="Calibri" w:cs="Calibri" w:eastAsia="Calibri" w:hAnsi="Calibri"/>
          <w:color w:val="2D2D2D"/>
          <w:sz w:val="22"/>
          <w:szCs w:val="22"/>
        </w:rPr>
        <w:t xml:space="preserve">Package theft prevention — secured mail/package room access</w:t>
      </w:r>
    </w:p>
    <w:p>
      <w:pPr>
        <w:pStyle w:val="ListParagraph"/>
        <w:numPr>
          <w:ilvl w:val="0"/>
          <w:numId w:val="1"/>
        </w:numPr>
        <w:spacing w:after="60"/>
      </w:pPr>
      <w:r>
        <w:rPr>
          <w:rFonts w:ascii="Calibri" w:cs="Calibri" w:eastAsia="Calibri" w:hAnsi="Calibri"/>
          <w:color w:val="2D2D2D"/>
          <w:sz w:val="22"/>
          <w:szCs w:val="22"/>
        </w:rPr>
        <w:t xml:space="preserve">Contractor access: temporary fobs or PINs with defined schedules</w:t>
      </w:r>
    </w:p>
    <w:p>
      <w:pPr>
        <w:pStyle w:val="ListParagraph"/>
        <w:numPr>
          <w:ilvl w:val="0"/>
          <w:numId w:val="1"/>
        </w:numPr>
        <w:spacing w:after="60"/>
      </w:pPr>
      <w:r>
        <w:rPr>
          <w:rFonts w:ascii="Calibri" w:cs="Calibri" w:eastAsia="Calibri" w:hAnsi="Calibri"/>
          <w:color w:val="2D2D2D"/>
          <w:sz w:val="22"/>
          <w:szCs w:val="22"/>
        </w:rPr>
        <w:t xml:space="preserve">Instant move-out revocation — disable fobs and PINs from the workstation</w:t>
      </w:r>
    </w:p>
    <w:p>
      <w:r>
        <w:br w:type="page"/>
      </w:r>
    </w:p>
    <w:p>
      <w:pPr>
        <w:pStyle w:val="Heading1"/>
        <w:spacing w:after="200" w:before="400"/>
      </w:pPr>
      <w:r>
        <w:rPr>
          <w:rFonts w:ascii="Calibri" w:cs="Calibri" w:eastAsia="Calibri" w:hAnsi="Calibri"/>
          <w:b/>
          <w:bCs/>
          <w:color w:val="1B3A5C"/>
          <w:sz w:val="32"/>
          <w:szCs w:val="32"/>
        </w:rPr>
        <w:t xml:space="preserve">Investment Summary</w:t>
      </w:r>
    </w:p>
    <w:p>
      <w:pPr>
        <w:pStyle w:val="Heading2"/>
        <w:spacing w:after="200" w:before="200"/>
      </w:pPr>
      <w:r>
        <w:rPr>
          <w:rFonts w:ascii="Calibri" w:cs="Calibri" w:eastAsia="Calibri" w:hAnsi="Calibri"/>
          <w:b/>
          <w:bCs/>
          <w:color w:val="1B3A5C"/>
          <w:sz w:val="26"/>
          <w:szCs w:val="26"/>
        </w:rPr>
        <w:t xml:space="preserve">Hardware &amp;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color="1B3A5C" w:val="solid"/>
            <w:vAlign w:val="center"/>
          </w:tcPr>
          <w:p>
            <w:pPr>
              <w:spacing w:after="40" w:before="40"/>
              <w:jc w:val="center"/>
            </w:pPr>
            <w:r>
              <w:rPr>
                <w:rFonts w:ascii="Calibri" w:cs="Calibri" w:eastAsia="Calibri" w:hAnsi="Calibri"/>
                <w:b/>
                <w:bCs/>
                <w:color w:val="FFFFFF"/>
                <w:sz w:val="20"/>
                <w:szCs w:val="20"/>
              </w:rPr>
              <w:t xml:space="preserv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Item (SKU)</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Description</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Qty</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Unit Price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Amount</w:t>
            </w:r>
          </w:p>
        </w:tc>
      </w:tr>
      <w:tr>
        <w:tc>
          <w:tcPr>
            <w:vAlign w:val="center"/>
          </w:tcPr>
          <w:p>
            <w:pPr>
              <w:spacing w:after="40" w:before="40"/>
              <w:jc w:val="left"/>
            </w:pPr>
            <w:r>
              <w:rPr>
                <w:rFonts w:ascii="Calibri" w:cs="Calibri" w:eastAsia="Calibri" w:hAnsi="Calibri"/>
                <w:b w:val="false"/>
                <w:bCs w:val="false"/>
                <w:color w:val="2D2D2D"/>
                <w:sz w:val="20"/>
                <w:szCs w:val="20"/>
              </w:rPr>
              <w:t xml:space="preserve">1</w:t>
            </w:r>
          </w:p>
        </w:tc>
        <w:tc>
          <w:tcPr>
            <w:vAlign w:val="center"/>
          </w:tcPr>
          <w:p>
            <w:pPr>
              <w:spacing w:after="40" w:before="40"/>
              <w:jc w:val="left"/>
            </w:pPr>
            <w:r>
              <w:rPr>
                <w:rFonts w:ascii="Calibri" w:cs="Calibri" w:eastAsia="Calibri" w:hAnsi="Calibri"/>
                <w:b w:val="false"/>
                <w:bCs w:val="false"/>
                <w:color w:val="2D2D2D"/>
                <w:sz w:val="20"/>
                <w:szCs w:val="20"/>
              </w:rPr>
              <w:t xml:space="preserve">PXL-500W</w:t>
            </w:r>
          </w:p>
        </w:tc>
        <w:tc>
          <w:tcPr>
            <w:vAlign w:val="center"/>
          </w:tcPr>
          <w:p>
            <w:pPr>
              <w:spacing w:after="40" w:before="40"/>
              <w:jc w:val="left"/>
            </w:pPr>
            <w:r>
              <w:rPr>
                <w:rFonts w:ascii="Calibri" w:cs="Calibri" w:eastAsia="Calibri" w:hAnsi="Calibri"/>
                <w:b w:val="false"/>
                <w:bCs w:val="false"/>
                <w:color w:val="2D2D2D"/>
                <w:sz w:val="20"/>
                <w:szCs w:val="20"/>
              </w:rPr>
              <w:t xml:space="preserve">Keri PXL-500W Door Controller (spare, retaining existing 4 boards)</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$1,150.00</w:t>
            </w:r>
          </w:p>
        </w:tc>
        <w:tc>
          <w:tcPr>
            <w:vAlign w:val="center"/>
          </w:tcPr>
          <w:p>
            <w:pPr>
              <w:spacing w:after="40" w:before="40"/>
              <w:jc w:val="right"/>
            </w:pPr>
            <w:r>
              <w:rPr>
                <w:rFonts w:ascii="Calibri" w:cs="Calibri" w:eastAsia="Calibri" w:hAnsi="Calibri"/>
                <w:b w:val="false"/>
                <w:bCs w:val="false"/>
                <w:color w:val="2D2D2D"/>
                <w:sz w:val="20"/>
                <w:szCs w:val="20"/>
              </w:rPr>
              <w:t xml:space="preserve">$1,150.00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LAN-520AESP</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Ethernet Network Communication Module</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$385.00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$385.00</w:t>
            </w:r>
          </w:p>
        </w:tc>
      </w:tr>
      <w:tr>
        <w:tc>
          <w:tcPr>
            <w:vAlign w:val="center"/>
          </w:tcPr>
          <w:p>
            <w:pPr>
              <w:spacing w:after="40" w:before="40"/>
              <w:jc w:val="left"/>
            </w:pPr>
            <w:r>
              <w:rPr>
                <w:rFonts w:ascii="Calibri" w:cs="Calibri" w:eastAsia="Calibri" w:hAnsi="Calibri"/>
                <w:b w:val="false"/>
                <w:bCs w:val="false"/>
                <w:color w:val="2D2D2D"/>
                <w:sz w:val="20"/>
                <w:szCs w:val="20"/>
              </w:rPr>
              <w:t xml:space="preserve">3</w:t>
            </w:r>
          </w:p>
        </w:tc>
        <w:tc>
          <w:tcPr>
            <w:vAlign w:val="center"/>
          </w:tcPr>
          <w:p>
            <w:pPr>
              <w:spacing w:after="40" w:before="40"/>
              <w:jc w:val="left"/>
            </w:pPr>
            <w:r>
              <w:rPr>
                <w:rFonts w:ascii="Calibri" w:cs="Calibri" w:eastAsia="Calibri" w:hAnsi="Calibri"/>
                <w:b w:val="false"/>
                <w:bCs w:val="false"/>
                <w:color w:val="2D2D2D"/>
                <w:sz w:val="20"/>
                <w:szCs w:val="20"/>
              </w:rPr>
              <w:t xml:space="preserve">NXT-KPK</w:t>
            </w:r>
          </w:p>
        </w:tc>
        <w:tc>
          <w:tcPr>
            <w:vAlign w:val="center"/>
          </w:tcPr>
          <w:p>
            <w:pPr>
              <w:spacing w:after="40" w:before="40"/>
              <w:jc w:val="left"/>
            </w:pPr>
            <w:r>
              <w:rPr>
                <w:rFonts w:ascii="Calibri" w:cs="Calibri" w:eastAsia="Calibri" w:hAnsi="Calibri"/>
                <w:b w:val="false"/>
                <w:bCs w:val="false"/>
                <w:color w:val="2D2D2D"/>
                <w:sz w:val="20"/>
                <w:szCs w:val="20"/>
              </w:rPr>
              <w:t xml:space="preserve">Keri NXT Reader + Keypad Kit (NXT-6RK + NXT-RM3)</w:t>
            </w:r>
          </w:p>
        </w:tc>
        <w:tc>
          <w:tcPr>
            <w:vAlign w:val="center"/>
          </w:tcPr>
          <w:p>
            <w:pPr>
              <w:spacing w:after="40" w:before="40"/>
              <w:jc w:val="right"/>
            </w:pPr>
            <w:r>
              <w:rPr>
                <w:rFonts w:ascii="Calibri" w:cs="Calibri" w:eastAsia="Calibri" w:hAnsi="Calibri"/>
                <w:b w:val="false"/>
                <w:bCs w:val="false"/>
                <w:color w:val="2D2D2D"/>
                <w:sz w:val="20"/>
                <w:szCs w:val="20"/>
              </w:rPr>
              <w:t xml:space="preserve">10</w:t>
            </w:r>
          </w:p>
        </w:tc>
        <w:tc>
          <w:tcPr>
            <w:vAlign w:val="center"/>
          </w:tcPr>
          <w:p>
            <w:pPr>
              <w:spacing w:after="40" w:before="40"/>
              <w:jc w:val="right"/>
            </w:pPr>
            <w:r>
              <w:rPr>
                <w:rFonts w:ascii="Calibri" w:cs="Calibri" w:eastAsia="Calibri" w:hAnsi="Calibri"/>
                <w:b w:val="false"/>
                <w:bCs w:val="false"/>
                <w:color w:val="2D2D2D"/>
                <w:sz w:val="20"/>
                <w:szCs w:val="20"/>
              </w:rPr>
              <w:t xml:space="preserve">$785.00</w:t>
            </w:r>
          </w:p>
        </w:tc>
        <w:tc>
          <w:tcPr>
            <w:vAlign w:val="center"/>
          </w:tcPr>
          <w:p>
            <w:pPr>
              <w:spacing w:after="40" w:before="40"/>
              <w:jc w:val="right"/>
            </w:pPr>
            <w:r>
              <w:rPr>
                <w:rFonts w:ascii="Calibri" w:cs="Calibri" w:eastAsia="Calibri" w:hAnsi="Calibri"/>
                <w:b w:val="false"/>
                <w:bCs w:val="false"/>
                <w:color w:val="2D2D2D"/>
                <w:sz w:val="20"/>
                <w:szCs w:val="20"/>
              </w:rPr>
              <w:t xml:space="preserve">$7,850.00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CSK-2-50</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Conekt Proximity Key Tags (50-pack)</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$520.00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$2,080.00</w:t>
            </w:r>
          </w:p>
        </w:tc>
      </w:tr>
      <w:tr>
        <w:tc>
          <w:tcPr>
            <w:vAlign w:val="center"/>
          </w:tcPr>
          <w:p>
            <w:pPr>
              <w:spacing w:after="40" w:before="40"/>
              <w:jc w:val="left"/>
            </w:pPr>
            <w:r>
              <w:rPr>
                <w:rFonts w:ascii="Calibri" w:cs="Calibri" w:eastAsia="Calibri" w:hAnsi="Calibri"/>
                <w:b w:val="false"/>
                <w:bCs w:val="false"/>
                <w:color w:val="2D2D2D"/>
                <w:sz w:val="20"/>
                <w:szCs w:val="20"/>
              </w:rPr>
              <w:t xml:space="preserve">5</w:t>
            </w:r>
          </w:p>
        </w:tc>
        <w:tc>
          <w:tcPr>
            <w:vAlign w:val="center"/>
          </w:tcPr>
          <w:p>
            <w:pPr>
              <w:spacing w:after="40" w:before="40"/>
              <w:jc w:val="left"/>
            </w:pPr>
            <w:r>
              <w:rPr>
                <w:rFonts w:ascii="Calibri" w:cs="Calibri" w:eastAsia="Calibri" w:hAnsi="Calibri"/>
                <w:b w:val="false"/>
                <w:bCs w:val="false"/>
                <w:color w:val="2D2D2D"/>
                <w:sz w:val="20"/>
                <w:szCs w:val="20"/>
              </w:rPr>
              <w:t xml:space="preserve">KERI-DNET-BASIC</w:t>
            </w:r>
          </w:p>
        </w:tc>
        <w:tc>
          <w:tcPr>
            <w:vAlign w:val="center"/>
          </w:tcPr>
          <w:p>
            <w:pPr>
              <w:spacing w:after="40" w:before="40"/>
              <w:jc w:val="left"/>
            </w:pPr>
            <w:r>
              <w:rPr>
                <w:rFonts w:ascii="Calibri" w:cs="Calibri" w:eastAsia="Calibri" w:hAnsi="Calibri"/>
                <w:b w:val="false"/>
                <w:bCs w:val="false"/>
                <w:color w:val="2D2D2D"/>
                <w:sz w:val="20"/>
                <w:szCs w:val="20"/>
              </w:rPr>
              <w:t xml:space="preserve">Doors.NET Basic Edition Software License</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$495.00</w:t>
            </w:r>
          </w:p>
        </w:tc>
        <w:tc>
          <w:tcPr>
            <w:vAlign w:val="center"/>
          </w:tcPr>
          <w:p>
            <w:pPr>
              <w:spacing w:after="40" w:before="40"/>
              <w:jc w:val="right"/>
            </w:pPr>
            <w:r>
              <w:rPr>
                <w:rFonts w:ascii="Calibri" w:cs="Calibri" w:eastAsia="Calibri" w:hAnsi="Calibri"/>
                <w:b w:val="false"/>
                <w:bCs w:val="false"/>
                <w:color w:val="2D2D2D"/>
                <w:sz w:val="20"/>
                <w:szCs w:val="20"/>
              </w:rPr>
              <w:t xml:space="preserve">$495.00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6</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SW-PGWM</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Keri Systems Access Control Gateway License</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7</w:t>
            </w:r>
          </w:p>
        </w:tc>
        <w:tc>
          <w:tcPr>
            <w:vAlign w:val="center"/>
          </w:tcPr>
          <w:p>
            <w:pPr>
              <w:spacing w:after="40" w:before="40"/>
              <w:jc w:val="left"/>
            </w:pPr>
            <w:r>
              <w:rPr>
                <w:rFonts w:ascii="Calibri" w:cs="Calibri" w:eastAsia="Calibri" w:hAnsi="Calibri"/>
                <w:b w:val="false"/>
                <w:bCs w:val="false"/>
                <w:color w:val="2D2D2D"/>
                <w:sz w:val="20"/>
                <w:szCs w:val="20"/>
              </w:rPr>
              <w:t xml:space="preserve">DELL-OPT7050</w:t>
            </w:r>
          </w:p>
        </w:tc>
        <w:tc>
          <w:tcPr>
            <w:vAlign w:val="center"/>
          </w:tcPr>
          <w:p>
            <w:pPr>
              <w:spacing w:after="40" w:before="40"/>
              <w:jc w:val="left"/>
            </w:pPr>
            <w:r>
              <w:rPr>
                <w:rFonts w:ascii="Calibri" w:cs="Calibri" w:eastAsia="Calibri" w:hAnsi="Calibri"/>
                <w:b w:val="false"/>
                <w:bCs w:val="false"/>
                <w:color w:val="2D2D2D"/>
                <w:sz w:val="20"/>
                <w:szCs w:val="20"/>
              </w:rPr>
              <w:t xml:space="preserve">ASI 360 Keri Hub — Managed Workstation (Dell OptiPlex i7/32GB/1TB)</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$625.00</w:t>
            </w:r>
          </w:p>
        </w:tc>
        <w:tc>
          <w:tcPr>
            <w:vAlign w:val="center"/>
          </w:tcPr>
          <w:p>
            <w:pPr>
              <w:spacing w:after="40" w:before="40"/>
              <w:jc w:val="right"/>
            </w:pPr>
            <w:r>
              <w:rPr>
                <w:rFonts w:ascii="Calibri" w:cs="Calibri" w:eastAsia="Calibri" w:hAnsi="Calibri"/>
                <w:b w:val="false"/>
                <w:bCs w:val="false"/>
                <w:color w:val="2D2D2D"/>
                <w:sz w:val="20"/>
                <w:szCs w:val="20"/>
              </w:rPr>
              <w:t xml:space="preserve">$625.00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8</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KPS-3</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Power Supply 2.8A @ 12VDC</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$175.00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$175.00</w:t>
            </w:r>
          </w:p>
        </w:tc>
      </w:tr>
      <w:tr>
        <w:tc>
          <w:tcPr>
            <w:vAlign w:val="center"/>
          </w:tcPr>
          <w:p>
            <w:pPr>
              <w:spacing w:after="40" w:before="40"/>
              <w:jc w:val="left"/>
            </w:pPr>
            <w:r>
              <w:rPr>
                <w:rFonts w:ascii="Calibri" w:cs="Calibri" w:eastAsia="Calibri" w:hAnsi="Calibri"/>
                <w:b w:val="false"/>
                <w:bCs w:val="false"/>
                <w:color w:val="2D2D2D"/>
                <w:sz w:val="20"/>
                <w:szCs w:val="20"/>
              </w:rPr>
              <w:t xml:space="preserve">9</w:t>
            </w:r>
          </w:p>
        </w:tc>
        <w:tc>
          <w:tcPr>
            <w:vAlign w:val="center"/>
          </w:tcPr>
          <w:p>
            <w:pPr>
              <w:spacing w:after="40" w:before="40"/>
              <w:jc w:val="left"/>
            </w:pPr>
            <w:r>
              <w:rPr>
                <w:rFonts w:ascii="Calibri" w:cs="Calibri" w:eastAsia="Calibri" w:hAnsi="Calibri"/>
                <w:b w:val="false"/>
                <w:bCs w:val="false"/>
                <w:color w:val="2D2D2D"/>
                <w:sz w:val="20"/>
                <w:szCs w:val="20"/>
              </w:rPr>
              <w:t xml:space="preserve">12V-7AH-SLA</w:t>
            </w:r>
          </w:p>
        </w:tc>
        <w:tc>
          <w:tcPr>
            <w:vAlign w:val="center"/>
          </w:tcPr>
          <w:p>
            <w:pPr>
              <w:spacing w:after="40" w:before="40"/>
              <w:jc w:val="left"/>
            </w:pPr>
            <w:r>
              <w:rPr>
                <w:rFonts w:ascii="Calibri" w:cs="Calibri" w:eastAsia="Calibri" w:hAnsi="Calibri"/>
                <w:b w:val="false"/>
                <w:bCs w:val="false"/>
                <w:color w:val="2D2D2D"/>
                <w:sz w:val="20"/>
                <w:szCs w:val="20"/>
              </w:rPr>
              <w:t xml:space="preserve">Backup Battery (12V 7Ah SLA)</w:t>
            </w:r>
          </w:p>
        </w:tc>
        <w:tc>
          <w:tcPr>
            <w:vAlign w:val="center"/>
          </w:tcPr>
          <w:p>
            <w:pPr>
              <w:spacing w:after="40" w:before="40"/>
              <w:jc w:val="right"/>
            </w:pPr>
            <w:r>
              <w:rPr>
                <w:rFonts w:ascii="Calibri" w:cs="Calibri" w:eastAsia="Calibri" w:hAnsi="Calibri"/>
                <w:b w:val="false"/>
                <w:bCs w:val="false"/>
                <w:color w:val="2D2D2D"/>
                <w:sz w:val="20"/>
                <w:szCs w:val="20"/>
              </w:rPr>
              <w:t xml:space="preserve">2</w:t>
            </w:r>
          </w:p>
        </w:tc>
        <w:tc>
          <w:tcPr>
            <w:vAlign w:val="center"/>
          </w:tcPr>
          <w:p>
            <w:pPr>
              <w:spacing w:after="40" w:before="40"/>
              <w:jc w:val="right"/>
            </w:pPr>
            <w:r>
              <w:rPr>
                <w:rFonts w:ascii="Calibri" w:cs="Calibri" w:eastAsia="Calibri" w:hAnsi="Calibri"/>
                <w:b w:val="false"/>
                <w:bCs w:val="false"/>
                <w:color w:val="2D2D2D"/>
                <w:sz w:val="20"/>
                <w:szCs w:val="20"/>
              </w:rPr>
              <w:t xml:space="preserve">$36.50</w:t>
            </w:r>
          </w:p>
        </w:tc>
        <w:tc>
          <w:tcPr>
            <w:vAlign w:val="center"/>
          </w:tcPr>
          <w:p>
            <w:pPr>
              <w:spacing w:after="40" w:before="40"/>
              <w:jc w:val="right"/>
            </w:pPr>
            <w:r>
              <w:rPr>
                <w:rFonts w:ascii="Calibri" w:cs="Calibri" w:eastAsia="Calibri" w:hAnsi="Calibri"/>
                <w:b w:val="false"/>
                <w:bCs w:val="false"/>
                <w:color w:val="2D2D2D"/>
                <w:sz w:val="20"/>
                <w:szCs w:val="20"/>
              </w:rPr>
              <w:t xml:space="preserve">$73.00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bCs/>
                <w:color w:val="2D2D2D"/>
                <w:sz w:val="20"/>
                <w:szCs w:val="20"/>
              </w:rPr>
              <w:t xml:space="preserve">Hardware Subtotal</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bCs/>
                <w:color w:val="2D2D2D"/>
                <w:sz w:val="20"/>
                <w:szCs w:val="20"/>
              </w:rPr>
              <w:t xml:space="preserve">$13,583.00</w:t>
            </w:r>
          </w:p>
        </w:tc>
      </w:tr>
      <w:tr>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CA Sales Tax (8.625%)</w:t>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$1,171.53</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bCs/>
                <w:color w:val="2D2D2D"/>
                <w:sz w:val="20"/>
                <w:szCs w:val="20"/>
              </w:rPr>
              <w:t xml:space="preserve">Hardware Total</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bCs/>
                <w:color w:val="2D2D2D"/>
                <w:sz w:val="20"/>
                <w:szCs w:val="20"/>
              </w:rPr>
              <w:t xml:space="preserve">$14,754.53</w:t>
            </w:r>
          </w:p>
        </w:tc>
      </w:tr>
    </w:tbl>
    <w:p>
      <w:pPr>
        <w:spacing w:after="200"/>
      </w:pPr>
    </w:p>
    <w:p>
      <w:pPr>
        <w:pStyle w:val="Heading2"/>
        <w:spacing w:after="200" w:before="200"/>
      </w:pPr>
      <w:r>
        <w:rPr>
          <w:rFonts w:ascii="Calibri" w:cs="Calibri" w:eastAsia="Calibri" w:hAnsi="Calibri"/>
          <w:b/>
          <w:bCs/>
          <w:color w:val="1B3A5C"/>
          <w:sz w:val="26"/>
          <w:szCs w:val="26"/>
        </w:rPr>
        <w:t xml:space="preserve">Services &amp;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color="1B3A5C" w:val="solid"/>
            <w:vAlign w:val="center"/>
          </w:tcPr>
          <w:p>
            <w:pPr>
              <w:spacing w:after="40" w:before="40"/>
              <w:jc w:val="center"/>
            </w:pPr>
            <w:r>
              <w:rPr>
                <w:rFonts w:ascii="Calibri" w:cs="Calibri" w:eastAsia="Calibri" w:hAnsi="Calibri"/>
                <w:b/>
                <w:bCs/>
                <w:color w:val="FFFFFF"/>
                <w:sz w:val="20"/>
                <w:szCs w:val="20"/>
              </w:rPr>
              <w:t xml:space="preserv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Item</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Description</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Qty</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Unit Price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Amount</w:t>
            </w:r>
          </w:p>
        </w:tc>
      </w:tr>
      <w:tr>
        <w:tc>
          <w:tcPr>
            <w:vAlign w:val="center"/>
          </w:tcPr>
          <w:p>
            <w:pPr>
              <w:spacing w:after="40" w:before="40"/>
              <w:jc w:val="left"/>
            </w:pPr>
            <w:r>
              <w:rPr>
                <w:rFonts w:ascii="Calibri" w:cs="Calibri" w:eastAsia="Calibri" w:hAnsi="Calibri"/>
                <w:b w:val="false"/>
                <w:bCs w:val="false"/>
                <w:color w:val="2D2D2D"/>
                <w:sz w:val="20"/>
                <w:szCs w:val="20"/>
              </w:rPr>
              <w:t xml:space="preserve">1</w:t>
            </w:r>
          </w:p>
        </w:tc>
        <w:tc>
          <w:tcPr>
            <w:vAlign w:val="center"/>
          </w:tcPr>
          <w:p>
            <w:pPr>
              <w:spacing w:after="40" w:before="40"/>
              <w:jc w:val="left"/>
            </w:pPr>
            <w:r>
              <w:rPr>
                <w:rFonts w:ascii="Calibri" w:cs="Calibri" w:eastAsia="Calibri" w:hAnsi="Calibri"/>
                <w:b w:val="false"/>
                <w:bCs w:val="false"/>
                <w:color w:val="2D2D2D"/>
                <w:sz w:val="20"/>
                <w:szCs w:val="20"/>
              </w:rPr>
              <w:t xml:space="preserve">INSTALL-READER</w:t>
            </w:r>
          </w:p>
        </w:tc>
        <w:tc>
          <w:tcPr>
            <w:vAlign w:val="center"/>
          </w:tcPr>
          <w:p>
            <w:pPr>
              <w:spacing w:after="40" w:before="40"/>
              <w:jc w:val="left"/>
            </w:pPr>
            <w:r>
              <w:rPr>
                <w:rFonts w:ascii="Calibri" w:cs="Calibri" w:eastAsia="Calibri" w:hAnsi="Calibri"/>
                <w:b w:val="false"/>
                <w:bCs w:val="false"/>
                <w:color w:val="2D2D2D"/>
                <w:sz w:val="20"/>
                <w:szCs w:val="20"/>
              </w:rPr>
              <w:t xml:space="preserve">Reader removal, mounting, wiring, termination</w:t>
            </w:r>
          </w:p>
        </w:tc>
        <w:tc>
          <w:tcPr>
            <w:vAlign w:val="center"/>
          </w:tcPr>
          <w:p>
            <w:pPr>
              <w:spacing w:after="40" w:before="40"/>
              <w:jc w:val="right"/>
            </w:pPr>
            <w:r>
              <w:rPr>
                <w:rFonts w:ascii="Calibri" w:cs="Calibri" w:eastAsia="Calibri" w:hAnsi="Calibri"/>
                <w:b w:val="false"/>
                <w:bCs w:val="false"/>
                <w:color w:val="2D2D2D"/>
                <w:sz w:val="20"/>
                <w:szCs w:val="20"/>
              </w:rPr>
              <w:t xml:space="preserve">10</w:t>
            </w:r>
          </w:p>
        </w:tc>
        <w:tc>
          <w:tcPr>
            <w:vAlign w:val="center"/>
          </w:tcPr>
          <w:p>
            <w:pPr>
              <w:spacing w:after="40" w:before="40"/>
              <w:jc w:val="right"/>
            </w:pPr>
            <w:r>
              <w:rPr>
                <w:rFonts w:ascii="Calibri" w:cs="Calibri" w:eastAsia="Calibri" w:hAnsi="Calibri"/>
                <w:b w:val="false"/>
                <w:bCs w:val="false"/>
                <w:color w:val="2D2D2D"/>
                <w:sz w:val="20"/>
                <w:szCs w:val="20"/>
              </w:rPr>
              <w:t xml:space="preserve">$185.00</w:t>
            </w:r>
          </w:p>
        </w:tc>
        <w:tc>
          <w:tcPr>
            <w:vAlign w:val="center"/>
          </w:tcPr>
          <w:p>
            <w:pPr>
              <w:spacing w:after="40" w:before="40"/>
              <w:jc w:val="right"/>
            </w:pPr>
            <w:r>
              <w:rPr>
                <w:rFonts w:ascii="Calibri" w:cs="Calibri" w:eastAsia="Calibri" w:hAnsi="Calibri"/>
                <w:b w:val="false"/>
                <w:bCs w:val="false"/>
                <w:color w:val="2D2D2D"/>
                <w:sz w:val="20"/>
                <w:szCs w:val="20"/>
              </w:rPr>
              <w:t xml:space="preserve">$1,850.00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INSTALL-CTRL</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Controller board inspection, firmware check, LAN module install</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$650.00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$650.00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3</w:t>
            </w:r>
          </w:p>
        </w:tc>
        <w:tc>
          <w:tcPr>
            <w:vAlign w:val="center"/>
          </w:tcPr>
          <w:p>
            <w:pPr>
              <w:spacing w:after="40" w:before="40"/>
              <w:jc w:val="left"/>
            </w:pPr>
            <w:r>
              <w:rPr>
                <w:rFonts w:ascii="Calibri" w:cs="Calibri" w:eastAsia="Calibri" w:hAnsi="Calibri"/>
                <w:b w:val="false"/>
                <w:bCs w:val="false"/>
                <w:color w:val="2D2D2D"/>
                <w:sz w:val="20"/>
                <w:szCs w:val="20"/>
              </w:rPr>
              <w:t xml:space="preserve">WORKSTATION</w:t>
            </w:r>
          </w:p>
        </w:tc>
        <w:tc>
          <w:tcPr>
            <w:vAlign w:val="center"/>
          </w:tcPr>
          <w:p>
            <w:pPr>
              <w:spacing w:after="40" w:before="40"/>
              <w:jc w:val="left"/>
            </w:pPr>
            <w:r>
              <w:rPr>
                <w:rFonts w:ascii="Calibri" w:cs="Calibri" w:eastAsia="Calibri" w:hAnsi="Calibri"/>
                <w:b w:val="false"/>
                <w:bCs w:val="false"/>
                <w:color w:val="2D2D2D"/>
                <w:sz w:val="20"/>
                <w:szCs w:val="20"/>
              </w:rPr>
              <w:t xml:space="preserve">Workstation setup, Doors.NET install, network config, gateway</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$950.00</w:t>
            </w:r>
          </w:p>
        </w:tc>
        <w:tc>
          <w:tcPr>
            <w:vAlign w:val="center"/>
          </w:tcPr>
          <w:p>
            <w:pPr>
              <w:spacing w:after="40" w:before="40"/>
              <w:jc w:val="right"/>
            </w:pPr>
            <w:r>
              <w:rPr>
                <w:rFonts w:ascii="Calibri" w:cs="Calibri" w:eastAsia="Calibri" w:hAnsi="Calibri"/>
                <w:b w:val="false"/>
                <w:bCs w:val="false"/>
                <w:color w:val="2D2D2D"/>
                <w:sz w:val="20"/>
                <w:szCs w:val="20"/>
              </w:rPr>
              <w:t xml:space="preserve">$950.00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PROGRAM</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System programming, credential enrollment, door scheduling, testing</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$1,200.00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$1,200.00</w:t>
            </w:r>
          </w:p>
        </w:tc>
      </w:tr>
      <w:tr>
        <w:tc>
          <w:tcPr>
            <w:vAlign w:val="center"/>
          </w:tcPr>
          <w:p>
            <w:pPr>
              <w:spacing w:after="40" w:before="40"/>
              <w:jc w:val="left"/>
            </w:pPr>
            <w:r>
              <w:rPr>
                <w:rFonts w:ascii="Calibri" w:cs="Calibri" w:eastAsia="Calibri" w:hAnsi="Calibri"/>
                <w:b w:val="false"/>
                <w:bCs w:val="false"/>
                <w:color w:val="2D2D2D"/>
                <w:sz w:val="20"/>
                <w:szCs w:val="20"/>
              </w:rPr>
              <w:t xml:space="preserve">5</w:t>
            </w:r>
          </w:p>
        </w:tc>
        <w:tc>
          <w:tcPr>
            <w:vAlign w:val="center"/>
          </w:tcPr>
          <w:p>
            <w:pPr>
              <w:spacing w:after="40" w:before="40"/>
              <w:jc w:val="left"/>
            </w:pPr>
            <w:r>
              <w:rPr>
                <w:rFonts w:ascii="Calibri" w:cs="Calibri" w:eastAsia="Calibri" w:hAnsi="Calibri"/>
                <w:b w:val="false"/>
                <w:bCs w:val="false"/>
                <w:color w:val="2D2D2D"/>
                <w:sz w:val="20"/>
                <w:szCs w:val="20"/>
              </w:rPr>
              <w:t xml:space="preserve">TRAINING</w:t>
            </w:r>
          </w:p>
        </w:tc>
        <w:tc>
          <w:tcPr>
            <w:vAlign w:val="center"/>
          </w:tcPr>
          <w:p>
            <w:pPr>
              <w:spacing w:after="40" w:before="40"/>
              <w:jc w:val="left"/>
            </w:pPr>
            <w:r>
              <w:rPr>
                <w:rFonts w:ascii="Calibri" w:cs="Calibri" w:eastAsia="Calibri" w:hAnsi="Calibri"/>
                <w:b w:val="false"/>
                <w:bCs w:val="false"/>
                <w:color w:val="2D2D2D"/>
                <w:sz w:val="20"/>
                <w:szCs w:val="20"/>
              </w:rPr>
              <w:t xml:space="preserve">Property management staff training (2 sessions)</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$500.00</w:t>
            </w:r>
          </w:p>
        </w:tc>
        <w:tc>
          <w:tcPr>
            <w:vAlign w:val="center"/>
          </w:tcPr>
          <w:p>
            <w:pPr>
              <w:spacing w:after="40" w:before="40"/>
              <w:jc w:val="right"/>
            </w:pPr>
            <w:r>
              <w:rPr>
                <w:rFonts w:ascii="Calibri" w:cs="Calibri" w:eastAsia="Calibri" w:hAnsi="Calibri"/>
                <w:b w:val="false"/>
                <w:bCs w:val="false"/>
                <w:color w:val="2D2D2D"/>
                <w:sz w:val="20"/>
                <w:szCs w:val="20"/>
              </w:rPr>
              <w:t xml:space="preserve">$500.00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6</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PM</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Project management, coordination, documentation</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$800.00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$800.00</w:t>
            </w:r>
          </w:p>
        </w:tc>
      </w:tr>
      <w:tr>
        <w:tc>
          <w:tcPr>
            <w:vAlign w:val="center"/>
          </w:tcPr>
          <w:p>
            <w:pPr>
              <w:spacing w:after="40" w:before="40"/>
              <w:jc w:val="left"/>
            </w:pPr>
            <w:r>
              <w:rPr>
                <w:rFonts w:ascii="Calibri" w:cs="Calibri" w:eastAsia="Calibri" w:hAnsi="Calibri"/>
                <w:b w:val="false"/>
                <w:bCs w:val="false"/>
                <w:color w:val="2D2D2D"/>
                <w:sz w:val="20"/>
                <w:szCs w:val="20"/>
              </w:rPr>
              <w:t xml:space="preserve">7</w:t>
            </w:r>
          </w:p>
        </w:tc>
        <w:tc>
          <w:tcPr>
            <w:vAlign w:val="center"/>
          </w:tcPr>
          <w:p>
            <w:pPr>
              <w:spacing w:after="40" w:before="40"/>
              <w:jc w:val="left"/>
            </w:pPr>
            <w:r>
              <w:rPr>
                <w:rFonts w:ascii="Calibri" w:cs="Calibri" w:eastAsia="Calibri" w:hAnsi="Calibri"/>
                <w:b w:val="false"/>
                <w:bCs w:val="false"/>
                <w:color w:val="2D2D2D"/>
                <w:sz w:val="20"/>
                <w:szCs w:val="20"/>
              </w:rPr>
              <w:t xml:space="preserve">DISPOSAL</w:t>
            </w:r>
          </w:p>
        </w:tc>
        <w:tc>
          <w:tcPr>
            <w:vAlign w:val="center"/>
          </w:tcPr>
          <w:p>
            <w:pPr>
              <w:spacing w:after="40" w:before="40"/>
              <w:jc w:val="left"/>
            </w:pPr>
            <w:r>
              <w:rPr>
                <w:rFonts w:ascii="Calibri" w:cs="Calibri" w:eastAsia="Calibri" w:hAnsi="Calibri"/>
                <w:b w:val="false"/>
                <w:bCs w:val="false"/>
                <w:color w:val="2D2D2D"/>
                <w:sz w:val="20"/>
                <w:szCs w:val="20"/>
              </w:rPr>
              <w:t xml:space="preserve">Legacy Tiger controller + old reader disposal</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$250.00</w:t>
            </w:r>
          </w:p>
        </w:tc>
        <w:tc>
          <w:tcPr>
            <w:vAlign w:val="center"/>
          </w:tcPr>
          <w:p>
            <w:pPr>
              <w:spacing w:after="40" w:before="40"/>
              <w:jc w:val="right"/>
            </w:pPr>
            <w:r>
              <w:rPr>
                <w:rFonts w:ascii="Calibri" w:cs="Calibri" w:eastAsia="Calibri" w:hAnsi="Calibri"/>
                <w:b w:val="false"/>
                <w:bCs w:val="false"/>
                <w:color w:val="2D2D2D"/>
                <w:sz w:val="20"/>
                <w:szCs w:val="20"/>
              </w:rPr>
              <w:t xml:space="preserve">$250.00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bCs/>
                <w:color w:val="2D2D2D"/>
                <w:sz w:val="20"/>
                <w:szCs w:val="20"/>
              </w:rPr>
              <w:t xml:space="preserve">Services Total</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bCs/>
                <w:color w:val="2D2D2D"/>
                <w:sz w:val="20"/>
                <w:szCs w:val="20"/>
              </w:rPr>
              <w:t xml:space="preserve">$6,200.00</w:t>
            </w:r>
          </w:p>
        </w:tc>
      </w:tr>
    </w:tbl>
    <w:p>
      <w:pPr>
        <w:spacing w:after="200"/>
      </w:pPr>
    </w:p>
    <w:p>
      <w:pPr>
        <w:pStyle w:val="Heading2"/>
        <w:spacing w:after="200" w:before="200"/>
      </w:pPr>
      <w:r>
        <w:rPr>
          <w:rFonts w:ascii="Calibri" w:cs="Calibri" w:eastAsia="Calibri" w:hAnsi="Calibri"/>
          <w:b/>
          <w:bCs/>
          <w:color w:val="1B3A5C"/>
          <w:sz w:val="26"/>
          <w:szCs w:val="26"/>
        </w:rPr>
        <w:t xml:space="preserve">Combined Investment</w:t>
      </w:r>
    </w:p>
    <w:p>
      <w:pPr>
        <w:spacing w:after="120" w:before="0"/>
        <w:jc w:val="left"/>
      </w:pPr>
      <w:r>
        <w:rPr>
          <w:rFonts w:ascii="Calibri" w:cs="Calibri" w:eastAsia="Calibri" w:hAnsi="Calibri"/>
          <w:b/>
          <w:bCs/>
          <w:i w:val="false"/>
          <w:iCs w:val="false"/>
          <w:color w:val="2D2D2D"/>
          <w:sz w:val="22"/>
          <w:szCs w:val="22"/>
        </w:rPr>
        <w:t xml:space="preserve">Hardware Total (incl. tax): $14,754.53</w:t>
      </w:r>
    </w:p>
    <w:p>
      <w:pPr>
        <w:spacing w:after="120" w:before="0"/>
        <w:jc w:val="left"/>
      </w:pPr>
      <w:r>
        <w:rPr>
          <w:rFonts w:ascii="Calibri" w:cs="Calibri" w:eastAsia="Calibri" w:hAnsi="Calibri"/>
          <w:b/>
          <w:bCs/>
          <w:i w:val="false"/>
          <w:iCs w:val="false"/>
          <w:color w:val="2D2D2D"/>
          <w:sz w:val="22"/>
          <w:szCs w:val="22"/>
        </w:rPr>
        <w:t xml:space="preserve">Services Total: $6,200.00</w:t>
      </w:r>
    </w:p>
    <w:p>
      <w:pPr>
        <w:spacing w:after="120" w:before="0"/>
        <w:jc w:val="left"/>
      </w:pPr>
      <w:r>
        <w:rPr>
          <w:rFonts w:ascii="Calibri" w:cs="Calibri" w:eastAsia="Calibri" w:hAnsi="Calibri"/>
          <w:b/>
          <w:bCs/>
          <w:i w:val="false"/>
          <w:iCs w:val="false"/>
          <w:color w:val="2D2D2D"/>
          <w:sz w:val="26"/>
          <w:szCs w:val="26"/>
        </w:rPr>
        <w:t xml:space="preserve">Combined Project Total: $20,954.53</w:t>
      </w:r>
    </w:p>
    <w:p>
      <w:pPr>
        <w:spacing w:after="120" w:before="0"/>
        <w:jc w:val="left"/>
      </w:pPr>
      <w:r>
        <w:rPr>
          <w:rFonts w:ascii="Calibri" w:cs="Calibri" w:eastAsia="Calibri" w:hAnsi="Calibri"/>
          <w:b/>
          <w:bCs/>
          <w:i w:val="false"/>
          <w:iCs w:val="false"/>
          <w:color w:val="2D2D2D"/>
          <w:sz w:val="22"/>
          <w:szCs w:val="22"/>
        </w:rPr>
        <w:t xml:space="preserve">Monthly Recurring Fees: $0.00</w:t>
      </w:r>
    </w:p>
    <w:p>
      <w:r>
        <w:br w:type="page"/>
      </w:r>
    </w:p>
    <w:p>
      <w:pPr>
        <w:pStyle w:val="Heading1"/>
        <w:spacing w:after="200" w:before="400"/>
      </w:pPr>
      <w:r>
        <w:rPr>
          <w:rFonts w:ascii="Calibri" w:cs="Calibri" w:eastAsia="Calibri" w:hAnsi="Calibri"/>
          <w:b/>
          <w:bCs/>
          <w:color w:val="1B3A5C"/>
          <w:sz w:val="32"/>
          <w:szCs w:val="32"/>
        </w:rPr>
        <w:t xml:space="preserve">Terms &amp; Conditions</w:t>
      </w:r>
    </w:p>
    <w:p>
      <w:pPr>
        <w:pStyle w:val="Heading2"/>
        <w:spacing w:after="200" w:before="200"/>
      </w:pPr>
      <w:r>
        <w:rPr>
          <w:rFonts w:ascii="Calibri" w:cs="Calibri" w:eastAsia="Calibri" w:hAnsi="Calibri"/>
          <w:b/>
          <w:bCs/>
          <w:color w:val="1B3A5C"/>
          <w:sz w:val="26"/>
          <w:szCs w:val="26"/>
        </w:rPr>
        <w:t xml:space="preserve">Payment Terms</w:t>
      </w:r>
    </w:p>
    <w:p>
      <w:pPr>
        <w:pStyle w:val="ListParagraph"/>
        <w:numPr>
          <w:ilvl w:val="0"/>
          <w:numId w:val="1"/>
        </w:numPr>
        <w:spacing w:after="60"/>
      </w:pPr>
      <w:r>
        <w:rPr>
          <w:rFonts w:ascii="Calibri" w:cs="Calibri" w:eastAsia="Calibri" w:hAnsi="Calibri"/>
          <w:color w:val="2D2D2D"/>
          <w:sz w:val="22"/>
          <w:szCs w:val="22"/>
        </w:rPr>
        <w:t xml:space="preserve">50% deposit upon signed acceptance to initiate equipment procurement</w:t>
      </w:r>
    </w:p>
    <w:p>
      <w:pPr>
        <w:pStyle w:val="ListParagraph"/>
        <w:numPr>
          <w:ilvl w:val="0"/>
          <w:numId w:val="1"/>
        </w:numPr>
        <w:spacing w:after="60"/>
      </w:pPr>
      <w:r>
        <w:rPr>
          <w:rFonts w:ascii="Calibri" w:cs="Calibri" w:eastAsia="Calibri" w:hAnsi="Calibri"/>
          <w:color w:val="2D2D2D"/>
          <w:sz w:val="22"/>
          <w:szCs w:val="22"/>
        </w:rPr>
        <w:t xml:space="preserve">40% upon completion of hardware installation</w:t>
      </w:r>
    </w:p>
    <w:p>
      <w:pPr>
        <w:pStyle w:val="ListParagraph"/>
        <w:numPr>
          <w:ilvl w:val="0"/>
          <w:numId w:val="1"/>
        </w:numPr>
        <w:spacing w:after="60"/>
      </w:pPr>
      <w:r>
        <w:rPr>
          <w:rFonts w:ascii="Calibri" w:cs="Calibri" w:eastAsia="Calibri" w:hAnsi="Calibri"/>
          <w:color w:val="2D2D2D"/>
          <w:sz w:val="22"/>
          <w:szCs w:val="22"/>
        </w:rPr>
        <w:t xml:space="preserve">10% upon system commissioning, testing, and client sign-off</w:t>
      </w:r>
    </w:p>
    <w:p>
      <w:pPr>
        <w:spacing w:after="60"/>
      </w:pPr>
    </w:p>
    <w:p>
      <w:pPr>
        <w:pStyle w:val="Heading2"/>
        <w:spacing w:after="200" w:before="200"/>
      </w:pPr>
      <w:r>
        <w:rPr>
          <w:rFonts w:ascii="Calibri" w:cs="Calibri" w:eastAsia="Calibri" w:hAnsi="Calibri"/>
          <w:b/>
          <w:bCs/>
          <w:color w:val="1B3A5C"/>
          <w:sz w:val="26"/>
          <w:szCs w:val="26"/>
        </w:rPr>
        <w:t xml:space="preserve">Warranty</w:t>
      </w:r>
    </w:p>
    <w:p>
      <w:pPr>
        <w:pStyle w:val="ListParagraph"/>
        <w:numPr>
          <w:ilvl w:val="0"/>
          <w:numId w:val="1"/>
        </w:numPr>
        <w:spacing w:after="60"/>
      </w:pPr>
      <w:r>
        <w:rPr>
          <w:rFonts w:ascii="Calibri" w:cs="Calibri" w:eastAsia="Calibri" w:hAnsi="Calibri"/>
          <w:color w:val="2D2D2D"/>
          <w:sz w:val="22"/>
          <w:szCs w:val="22"/>
        </w:rPr>
        <w:t xml:space="preserve">All labor warranted for one (1) year from date of commissioning</w:t>
      </w:r>
    </w:p>
    <w:p>
      <w:pPr>
        <w:pStyle w:val="ListParagraph"/>
        <w:numPr>
          <w:ilvl w:val="0"/>
          <w:numId w:val="1"/>
        </w:numPr>
        <w:spacing w:after="60"/>
      </w:pPr>
      <w:r>
        <w:rPr>
          <w:rFonts w:ascii="Calibri" w:cs="Calibri" w:eastAsia="Calibri" w:hAnsi="Calibri"/>
          <w:color w:val="2D2D2D"/>
          <w:sz w:val="22"/>
          <w:szCs w:val="22"/>
        </w:rPr>
        <w:t xml:space="preserve">Manufacturer hardware warranties apply per Keri Systems and Farpointe standard terms</w:t>
      </w:r>
    </w:p>
    <w:p>
      <w:pPr>
        <w:spacing w:after="60"/>
      </w:pPr>
    </w:p>
    <w:p>
      <w:pPr>
        <w:pStyle w:val="Heading2"/>
        <w:spacing w:after="200" w:before="200"/>
      </w:pPr>
      <w:r>
        <w:rPr>
          <w:rFonts w:ascii="Calibri" w:cs="Calibri" w:eastAsia="Calibri" w:hAnsi="Calibri"/>
          <w:b/>
          <w:bCs/>
          <w:color w:val="1B3A5C"/>
          <w:sz w:val="26"/>
          <w:szCs w:val="26"/>
        </w:rPr>
        <w:t xml:space="preserve">Scope Exclusions</w:t>
      </w:r>
    </w:p>
    <w:p>
      <w:pPr>
        <w:pStyle w:val="ListParagraph"/>
        <w:numPr>
          <w:ilvl w:val="0"/>
          <w:numId w:val="1"/>
        </w:numPr>
        <w:spacing w:after="60"/>
      </w:pPr>
      <w:r>
        <w:rPr>
          <w:rFonts w:ascii="Calibri" w:cs="Calibri" w:eastAsia="Calibri" w:hAnsi="Calibri"/>
          <w:color w:val="2D2D2D"/>
          <w:sz w:val="22"/>
          <w:szCs w:val="22"/>
        </w:rPr>
        <w:t xml:space="preserve">Electrical work beyond low-voltage access control wiring</w:t>
      </w:r>
    </w:p>
    <w:p>
      <w:pPr>
        <w:pStyle w:val="ListParagraph"/>
        <w:numPr>
          <w:ilvl w:val="0"/>
          <w:numId w:val="1"/>
        </w:numPr>
        <w:spacing w:after="60"/>
      </w:pPr>
      <w:r>
        <w:rPr>
          <w:rFonts w:ascii="Calibri" w:cs="Calibri" w:eastAsia="Calibri" w:hAnsi="Calibri"/>
          <w:color w:val="2D2D2D"/>
          <w:sz w:val="22"/>
          <w:szCs w:val="22"/>
        </w:rPr>
        <w:t xml:space="preserve">Door hardware modifications, lock replacements, or gate operator repairs</w:t>
      </w:r>
    </w:p>
    <w:p>
      <w:pPr>
        <w:pStyle w:val="ListParagraph"/>
        <w:numPr>
          <w:ilvl w:val="0"/>
          <w:numId w:val="1"/>
        </w:numPr>
        <w:spacing w:after="60"/>
      </w:pPr>
      <w:r>
        <w:rPr>
          <w:rFonts w:ascii="Calibri" w:cs="Calibri" w:eastAsia="Calibri" w:hAnsi="Calibri"/>
          <w:color w:val="2D2D2D"/>
          <w:sz w:val="22"/>
          <w:szCs w:val="22"/>
        </w:rPr>
        <w:t xml:space="preserve">Network infrastructure (Ethernet drops, switches, routers, ISP coordination)</w:t>
      </w:r>
    </w:p>
    <w:p>
      <w:pPr>
        <w:pStyle w:val="ListParagraph"/>
        <w:numPr>
          <w:ilvl w:val="0"/>
          <w:numId w:val="1"/>
        </w:numPr>
        <w:spacing w:after="60"/>
      </w:pPr>
      <w:r>
        <w:rPr>
          <w:rFonts w:ascii="Calibri" w:cs="Calibri" w:eastAsia="Calibri" w:hAnsi="Calibri"/>
          <w:color w:val="2D2D2D"/>
          <w:sz w:val="22"/>
          <w:szCs w:val="22"/>
        </w:rPr>
        <w:t xml:space="preserve">Painting, patching, or cosmetic repairs following reader replacement</w:t>
      </w:r>
    </w:p>
    <w:p>
      <w:pPr>
        <w:pStyle w:val="ListParagraph"/>
        <w:numPr>
          <w:ilvl w:val="0"/>
          <w:numId w:val="1"/>
        </w:numPr>
        <w:spacing w:after="60"/>
      </w:pPr>
      <w:r>
        <w:rPr>
          <w:rFonts w:ascii="Calibri" w:cs="Calibri" w:eastAsia="Calibri" w:hAnsi="Calibri"/>
          <w:color w:val="2D2D2D"/>
          <w:sz w:val="22"/>
          <w:szCs w:val="22"/>
        </w:rPr>
        <w:t xml:space="preserve">Wiring repairs discovered during installation will be quoted separately on a T&amp;M basis</w:t>
      </w:r>
    </w:p>
    <w:p>
      <w:pPr>
        <w:spacing w:after="60"/>
      </w:pPr>
    </w:p>
    <w:p>
      <w:pPr>
        <w:pStyle w:val="Heading2"/>
        <w:spacing w:after="200" w:before="200"/>
      </w:pPr>
      <w:r>
        <w:rPr>
          <w:rFonts w:ascii="Calibri" w:cs="Calibri" w:eastAsia="Calibri" w:hAnsi="Calibri"/>
          <w:b/>
          <w:bCs/>
          <w:color w:val="1B3A5C"/>
          <w:sz w:val="26"/>
          <w:szCs w:val="26"/>
        </w:rPr>
        <w:t xml:space="preserve">Timeline</w:t>
      </w:r>
    </w:p>
    <w:p>
      <w:pPr>
        <w:pStyle w:val="ListParagraph"/>
        <w:numPr>
          <w:ilvl w:val="0"/>
          <w:numId w:val="1"/>
        </w:numPr>
        <w:spacing w:after="60"/>
      </w:pPr>
      <w:r>
        <w:rPr>
          <w:rFonts w:ascii="Calibri" w:cs="Calibri" w:eastAsia="Calibri" w:hAnsi="Calibri"/>
          <w:color w:val="2D2D2D"/>
          <w:sz w:val="22"/>
          <w:szCs w:val="22"/>
        </w:rPr>
        <w:t xml:space="preserve">Equipment lead time: 2-3 weeks from deposit</w:t>
      </w:r>
    </w:p>
    <w:p>
      <w:pPr>
        <w:pStyle w:val="ListParagraph"/>
        <w:numPr>
          <w:ilvl w:val="0"/>
          <w:numId w:val="1"/>
        </w:numPr>
        <w:spacing w:after="60"/>
      </w:pPr>
      <w:r>
        <w:rPr>
          <w:rFonts w:ascii="Calibri" w:cs="Calibri" w:eastAsia="Calibri" w:hAnsi="Calibri"/>
          <w:color w:val="2D2D2D"/>
          <w:sz w:val="22"/>
          <w:szCs w:val="22"/>
        </w:rPr>
        <w:t xml:space="preserve">Installation: 2-3 business days</w:t>
      </w:r>
    </w:p>
    <w:p>
      <w:pPr>
        <w:pStyle w:val="ListParagraph"/>
        <w:numPr>
          <w:ilvl w:val="0"/>
          <w:numId w:val="1"/>
        </w:numPr>
        <w:spacing w:after="60"/>
      </w:pPr>
      <w:r>
        <w:rPr>
          <w:rFonts w:ascii="Calibri" w:cs="Calibri" w:eastAsia="Calibri" w:hAnsi="Calibri"/>
          <w:color w:val="2D2D2D"/>
          <w:sz w:val="22"/>
          <w:szCs w:val="22"/>
        </w:rPr>
        <w:t xml:space="preserve">Commissioning and training: 1 business day</w:t>
      </w:r>
    </w:p>
    <w:p>
      <w:pPr>
        <w:pStyle w:val="ListParagraph"/>
        <w:numPr>
          <w:ilvl w:val="0"/>
          <w:numId w:val="1"/>
        </w:numPr>
        <w:spacing w:after="60"/>
      </w:pPr>
      <w:r>
        <w:rPr>
          <w:rFonts w:ascii="Calibri" w:cs="Calibri" w:eastAsia="Calibri" w:hAnsi="Calibri"/>
          <w:color w:val="2D2D2D"/>
          <w:sz w:val="22"/>
          <w:szCs w:val="22"/>
        </w:rPr>
        <w:t xml:space="preserve">Estimated project completion: 4-5 weeks from signed acceptance</w:t>
      </w:r>
    </w:p>
    <w:p>
      <w:pPr>
        <w:spacing w:after="60"/>
      </w:pPr>
    </w:p>
    <w:p>
      <w:pPr>
        <w:pStyle w:val="Heading2"/>
        <w:spacing w:after="200" w:before="200"/>
      </w:pPr>
      <w:r>
        <w:rPr>
          <w:rFonts w:ascii="Calibri" w:cs="Calibri" w:eastAsia="Calibri" w:hAnsi="Calibri"/>
          <w:b/>
          <w:bCs/>
          <w:color w:val="1B3A5C"/>
          <w:sz w:val="26"/>
          <w:szCs w:val="26"/>
        </w:rPr>
        <w:t xml:space="preserve">Validity</w:t>
      </w:r>
    </w:p>
    <w:p>
      <w:pPr>
        <w:spacing w:after="120" w:before="0"/>
        <w:jc w:val="left"/>
      </w:pPr>
      <w:r>
        <w:rPr>
          <w:rFonts w:ascii="Calibri" w:cs="Calibri" w:eastAsia="Calibri" w:hAnsi="Calibri"/>
          <w:b w:val="false"/>
          <w:bCs w:val="false"/>
          <w:i w:val="false"/>
          <w:iCs w:val="false"/>
          <w:color w:val="2D2D2D"/>
          <w:sz w:val="22"/>
          <w:szCs w:val="22"/>
        </w:rPr>
        <w:t xml:space="preserve">This proposal is valid for thirty (30) days from the date shown on the cover page. Pricing is subject to change after the validity period due to manufacturer price adjustments and equipment availability.</w:t>
      </w:r>
    </w:p>
    <w:p>
      <w:r>
        <w:br w:type="page"/>
      </w:r>
    </w:p>
    <w:p>
      <w:pPr>
        <w:pStyle w:val="Heading1"/>
        <w:spacing w:after="200" w:before="400"/>
      </w:pPr>
      <w:r>
        <w:rPr>
          <w:rFonts w:ascii="Calibri" w:cs="Calibri" w:eastAsia="Calibri" w:hAnsi="Calibri"/>
          <w:b/>
          <w:bCs/>
          <w:color w:val="1B3A5C"/>
          <w:sz w:val="32"/>
          <w:szCs w:val="32"/>
        </w:rPr>
        <w:t xml:space="preserve">Acceptance</w:t>
      </w:r>
    </w:p>
    <w:p>
      <w:pPr>
        <w:spacing w:after="120" w:before="0"/>
        <w:jc w:val="left"/>
      </w:pPr>
      <w:r>
        <w:rPr>
          <w:rFonts w:ascii="Calibri" w:cs="Calibri" w:eastAsia="Calibri" w:hAnsi="Calibri"/>
          <w:b w:val="false"/>
          <w:bCs w:val="false"/>
          <w:i w:val="false"/>
          <w:iCs w:val="false"/>
          <w:color w:val="2D2D2D"/>
          <w:sz w:val="22"/>
          <w:szCs w:val="22"/>
        </w:rPr>
        <w:t xml:space="preserve">By signing below, the authorized representative of Diamond Heights Village Association accepts this proposal and authorizes ASI 360 to proceed with the project as described herein.</w:t>
      </w:r>
    </w:p>
    <w:p>
      <w:pPr>
        <w:spacing w:after="300"/>
      </w:pPr>
    </w:p>
    <w:p>
      <w:pPr>
        <w:spacing w:after="40"/>
      </w:pPr>
      <w:r>
        <w:rPr>
          <w:rFonts w:ascii="Calibri" w:cs="Calibri" w:eastAsia="Calibri" w:hAnsi="Calibri"/>
          <w:color w:val="2D2D2D"/>
          <w:sz w:val="22"/>
          <w:szCs w:val="22"/>
        </w:rPr>
        <w:t xml:space="preserve">________________________________________</w:t>
      </w:r>
      <w:r>
        <w:rPr>
          <w:rFonts w:ascii="Calibri" w:cs="Calibri" w:eastAsia="Calibri" w:hAnsi="Calibri"/>
          <w:sz w:val="22"/>
          <w:szCs w:val="22"/>
        </w:rPr>
        <w:t xml:space="preserve">          </w:t>
      </w:r>
      <w:r>
        <w:rPr>
          <w:rFonts w:ascii="Calibri" w:cs="Calibri" w:eastAsia="Calibri" w:hAnsi="Calibri"/>
          <w:color w:val="2D2D2D"/>
          <w:sz w:val="22"/>
          <w:szCs w:val="22"/>
        </w:rPr>
        <w:t xml:space="preserve">________________</w:t>
      </w:r>
    </w:p>
    <w:p>
      <w:pPr>
        <w:spacing w:after="200"/>
      </w:pPr>
      <w:r>
        <w:rPr>
          <w:rFonts w:ascii="Calibri" w:cs="Calibri" w:eastAsia="Calibri" w:hAnsi="Calibri"/>
          <w:color w:val="4A4A4A"/>
          <w:sz w:val="20"/>
          <w:szCs w:val="20"/>
        </w:rPr>
        <w:t xml:space="preserve">Authorized Signature</w:t>
      </w:r>
      <w:r>
        <w:rPr>
          <w:rFonts w:ascii="Calibri" w:cs="Calibri" w:eastAsia="Calibri" w:hAnsi="Calibri"/>
          <w:sz w:val="20"/>
          <w:szCs w:val="20"/>
        </w:rPr>
        <w:t xml:space="preserve">                                                        </w:t>
      </w:r>
      <w:r>
        <w:rPr>
          <w:rFonts w:ascii="Calibri" w:cs="Calibri" w:eastAsia="Calibri" w:hAnsi="Calibri"/>
          <w:color w:val="4A4A4A"/>
          <w:sz w:val="20"/>
          <w:szCs w:val="20"/>
        </w:rPr>
        <w:t xml:space="preserve">Date</w:t>
      </w:r>
    </w:p>
    <w:p>
      <w:pPr>
        <w:spacing w:after="200"/>
      </w:pPr>
    </w:p>
    <w:p>
      <w:pPr>
        <w:spacing w:after="40"/>
      </w:pPr>
      <w:r>
        <w:rPr>
          <w:rFonts w:ascii="Calibri" w:cs="Calibri" w:eastAsia="Calibri" w:hAnsi="Calibri"/>
          <w:color w:val="2D2D2D"/>
          <w:sz w:val="22"/>
          <w:szCs w:val="22"/>
        </w:rPr>
        <w:t xml:space="preserve">________________________________________</w:t>
      </w:r>
    </w:p>
    <w:p>
      <w:pPr>
        <w:spacing w:after="200"/>
      </w:pPr>
      <w:r>
        <w:rPr>
          <w:rFonts w:ascii="Calibri" w:cs="Calibri" w:eastAsia="Calibri" w:hAnsi="Calibri"/>
          <w:color w:val="4A4A4A"/>
          <w:sz w:val="20"/>
          <w:szCs w:val="20"/>
        </w:rPr>
        <w:t xml:space="preserve">Printed Name &amp; Title</w:t>
      </w:r>
    </w:p>
    <w:p>
      <w:pPr>
        <w:spacing w:after="300"/>
      </w:pPr>
    </w:p>
    <w:p>
      <w:pPr>
        <w:spacing w:after="60"/>
        <w:jc w:val="center"/>
      </w:pPr>
      <w:r>
        <w:rPr>
          <w:rFonts w:ascii="Calibri" w:cs="Calibri" w:eastAsia="Calibri" w:hAnsi="Calibri"/>
          <w:b/>
          <w:bCs/>
          <w:color w:val="1B3A5C"/>
          <w:sz w:val="22"/>
          <w:szCs w:val="22"/>
        </w:rPr>
        <w:t xml:space="preserve">ASI 360 — Allied Systems Integrations</w:t>
      </w:r>
    </w:p>
    <w:p>
      <w:pPr>
        <w:spacing w:after="40"/>
        <w:jc w:val="center"/>
      </w:pPr>
      <w:r>
        <w:rPr>
          <w:rFonts w:ascii="Calibri" w:cs="Calibri" w:eastAsia="Calibri" w:hAnsi="Calibri"/>
          <w:color w:val="4A4A4A"/>
          <w:sz w:val="20"/>
          <w:szCs w:val="20"/>
        </w:rPr>
        <w:t xml:space="preserve">San Francisco Bay Area | info@asi360.co | (510) 288-0994</w:t>
      </w:r>
    </w:p>
    <w:p>
      <w:r>
        <w:br w:type="page"/>
      </w:r>
    </w:p>
    <w:p>
      <w:pPr>
        <w:pStyle w:val="Heading1"/>
        <w:spacing w:after="200" w:before="400"/>
      </w:pPr>
      <w:r>
        <w:rPr>
          <w:rFonts w:ascii="Calibri" w:cs="Calibri" w:eastAsia="Calibri" w:hAnsi="Calibri"/>
          <w:b/>
          <w:bCs/>
          <w:color w:val="1B3A5C"/>
          <w:sz w:val="32"/>
          <w:szCs w:val="32"/>
        </w:rPr>
        <w:t xml:space="preserve">Comparison at a Glance</w:t>
      </w:r>
    </w:p>
    <w:p>
      <w:pPr>
        <w:spacing w:after="200" w:before="0"/>
        <w:jc w:val="left"/>
      </w:pPr>
      <w:r>
        <w:rPr>
          <w:rFonts w:ascii="Calibri" w:cs="Calibri" w:eastAsia="Calibri" w:hAnsi="Calibri"/>
          <w:b w:val="false"/>
          <w:bCs w:val="false"/>
          <w:i w:val="false"/>
          <w:iCs w:val="false"/>
          <w:color w:val="2D2D2D"/>
          <w:sz w:val="22"/>
          <w:szCs w:val="22"/>
        </w:rPr>
        <w:t xml:space="preserve">The following table summarizes all three proposal options side by side to assist the Board of Directors in evaluating the best fit for Diamond Heights Village.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color="1B3A5C" w:val="solid"/>
            <w:vAlign w:val="center"/>
          </w:tcPr>
          <w:p>
            <w:pPr>
              <w:spacing w:after="30" w:before="30"/>
              <w:jc w:val="center"/>
            </w:pPr>
            <w:r>
              <w:rPr>
                <w:rFonts w:ascii="Calibri" w:cs="Calibri" w:eastAsia="Calibri" w:hAnsi="Calibri"/>
                <w:b/>
                <w:bCs/>
                <w:color w:val="FFFFFF"/>
                <w:sz w:val="18"/>
                <w:szCs w:val="18"/>
              </w:rPr>
              <w:t xml:space="preserve">Feature</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V1 Borealis Mobile</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V2 Hybrid Keypad</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V3 NXT Standard</w:t>
            </w:r>
          </w:p>
        </w:tc>
      </w:tr>
      <w:tr>
        <w:tc>
          <w:tcPr>
            <w:vAlign w:val="center"/>
          </w:tcPr>
          <w:p>
            <w:pPr>
              <w:spacing w:after="30" w:before="30"/>
              <w:jc w:val="left"/>
            </w:pPr>
            <w:r>
              <w:rPr>
                <w:rFonts w:ascii="Calibri" w:cs="Calibri" w:eastAsia="Calibri" w:hAnsi="Calibri"/>
                <w:b w:val="false"/>
                <w:bCs w:val="false"/>
                <w:color w:val="2D2D2D"/>
                <w:sz w:val="18"/>
                <w:szCs w:val="18"/>
              </w:rPr>
              <w:t xml:space="preserve">Entry Methods</w:t>
            </w:r>
          </w:p>
        </w:tc>
        <w:tc>
          <w:tcPr>
            <w:vAlign w:val="center"/>
          </w:tcPr>
          <w:p>
            <w:pPr>
              <w:spacing w:after="30" w:before="30"/>
              <w:jc w:val="center"/>
            </w:pPr>
            <w:r>
              <w:rPr>
                <w:rFonts w:ascii="Calibri" w:cs="Calibri" w:eastAsia="Calibri" w:hAnsi="Calibri"/>
                <w:b w:val="false"/>
                <w:bCs w:val="false"/>
                <w:color w:val="2D2D2D"/>
                <w:sz w:val="18"/>
                <w:szCs w:val="18"/>
              </w:rPr>
              <w:t xml:space="preserve">Fob + Mobile</w:t>
            </w:r>
          </w:p>
        </w:tc>
        <w:tc>
          <w:tcPr>
            <w:vAlign w:val="center"/>
          </w:tcPr>
          <w:p>
            <w:pPr>
              <w:spacing w:after="30" w:before="30"/>
              <w:jc w:val="center"/>
            </w:pPr>
            <w:r>
              <w:rPr>
                <w:rFonts w:ascii="Calibri" w:cs="Calibri" w:eastAsia="Calibri" w:hAnsi="Calibri"/>
                <w:b w:val="false"/>
                <w:bCs w:val="false"/>
                <w:color w:val="2D2D2D"/>
                <w:sz w:val="18"/>
                <w:szCs w:val="18"/>
              </w:rPr>
              <w:t xml:space="preserve">PIN + Fob + Mobile</w:t>
            </w:r>
          </w:p>
        </w:tc>
        <w:tc>
          <w:tcPr>
            <w:vAlign w:val="center"/>
          </w:tcPr>
          <w:p>
            <w:pPr>
              <w:spacing w:after="30" w:before="30"/>
              <w:jc w:val="center"/>
            </w:pPr>
            <w:r>
              <w:rPr>
                <w:rFonts w:ascii="Calibri" w:cs="Calibri" w:eastAsia="Calibri" w:hAnsi="Calibri"/>
                <w:b w:val="false"/>
                <w:bCs w:val="false"/>
                <w:color w:val="2D2D2D"/>
                <w:sz w:val="18"/>
                <w:szCs w:val="18"/>
              </w:rPr>
              <w:t xml:space="preserve">PIN + Fob</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Cloud Management</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 Borealis</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 Borealis</w:t>
            </w:r>
          </w:p>
        </w:tc>
        <w:tc>
          <w:tcPr>
            <w:shd w:fill="F2F4F7" w:color="F2F4F7" w:val="solid"/>
            <w:vAlign w:val="center"/>
          </w:tcPr>
          <w:p>
            <w:pPr>
              <w:spacing w:after="30" w:before="30"/>
              <w:jc w:val="center"/>
            </w:pPr>
            <w:r>
              <w:rPr>
                <w:rFonts w:ascii="Calibri" w:cs="Calibri" w:eastAsia="Calibri" w:hAnsi="Calibri"/>
                <w:b w:val="false"/>
                <w:bCs w:val="false"/>
                <w:color w:val="C62828"/>
                <w:sz w:val="18"/>
                <w:szCs w:val="18"/>
              </w:rPr>
              <w:t xml:space="preserve">✗ Local only</w:t>
            </w:r>
          </w:p>
        </w:tc>
      </w:tr>
      <w:tr>
        <w:tc>
          <w:tcPr>
            <w:vAlign w:val="center"/>
          </w:tcPr>
          <w:p>
            <w:pPr>
              <w:spacing w:after="30" w:before="30"/>
              <w:jc w:val="left"/>
            </w:pPr>
            <w:r>
              <w:rPr>
                <w:rFonts w:ascii="Calibri" w:cs="Calibri" w:eastAsia="Calibri" w:hAnsi="Calibri"/>
                <w:b w:val="false"/>
                <w:bCs w:val="false"/>
                <w:color w:val="2D2D2D"/>
                <w:sz w:val="18"/>
                <w:szCs w:val="18"/>
              </w:rPr>
              <w:t xml:space="preserve">Mobile Credentials</w:t>
            </w:r>
          </w:p>
        </w:tc>
        <w:tc>
          <w:tcPr>
            <w:vAlign w:val="center"/>
          </w:tcPr>
          <w:p>
            <w:pPr>
              <w:spacing w:after="30" w:before="30"/>
              <w:jc w:val="center"/>
            </w:pPr>
            <w:r>
              <w:rPr>
                <w:rFonts w:ascii="Calibri" w:cs="Calibri" w:eastAsia="Calibri" w:hAnsi="Calibri"/>
                <w:b w:val="false"/>
                <w:bCs w:val="false"/>
                <w:color w:val="2E7D32"/>
                <w:sz w:val="18"/>
                <w:szCs w:val="18"/>
              </w:rPr>
              <w:t xml:space="preserve">✓ 700 Connekt</w:t>
            </w:r>
          </w:p>
        </w:tc>
        <w:tc>
          <w:tcPr>
            <w:vAlign w:val="center"/>
          </w:tcPr>
          <w:p>
            <w:pPr>
              <w:spacing w:after="30" w:before="30"/>
              <w:jc w:val="center"/>
            </w:pPr>
            <w:r>
              <w:rPr>
                <w:rFonts w:ascii="Calibri" w:cs="Calibri" w:eastAsia="Calibri" w:hAnsi="Calibri"/>
                <w:b w:val="false"/>
                <w:bCs w:val="false"/>
                <w:color w:val="2E7D32"/>
                <w:sz w:val="18"/>
                <w:szCs w:val="18"/>
              </w:rPr>
              <w:t xml:space="preserve">✓ 700 Connekt</w:t>
            </w:r>
          </w:p>
        </w:tc>
        <w:tc>
          <w:tcPr>
            <w:vAlign w:val="center"/>
          </w:tcPr>
          <w:p>
            <w:pPr>
              <w:spacing w:after="30" w:before="30"/>
              <w:jc w:val="center"/>
            </w:pPr>
            <w:r>
              <w:rPr>
                <w:rFonts w:ascii="Calibri" w:cs="Calibri" w:eastAsia="Calibri" w:hAnsi="Calibri"/>
                <w:b w:val="false"/>
                <w:bCs w:val="false"/>
                <w:color w:val="C62828"/>
                <w:sz w:val="18"/>
                <w:szCs w:val="18"/>
              </w:rPr>
              <w:t xml:space="preserve">✗ Not available</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Keypad PIN Entry</w:t>
            </w:r>
          </w:p>
        </w:tc>
        <w:tc>
          <w:tcPr>
            <w:shd w:fill="F2F4F7" w:color="F2F4F7" w:val="solid"/>
            <w:vAlign w:val="center"/>
          </w:tcPr>
          <w:p>
            <w:pPr>
              <w:spacing w:after="30" w:before="30"/>
              <w:jc w:val="center"/>
            </w:pPr>
            <w:r>
              <w:rPr>
                <w:rFonts w:ascii="Calibri" w:cs="Calibri" w:eastAsia="Calibri" w:hAnsi="Calibri"/>
                <w:b w:val="false"/>
                <w:bCs w:val="false"/>
                <w:color w:val="C62828"/>
                <w:sz w:val="18"/>
                <w:szCs w:val="18"/>
              </w:rPr>
              <w:t xml:space="preserve">✗</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w:t>
            </w:r>
          </w:p>
        </w:tc>
      </w:tr>
      <w:tr>
        <w:tc>
          <w:tcPr>
            <w:vAlign w:val="center"/>
          </w:tcPr>
          <w:p>
            <w:pPr>
              <w:spacing w:after="30" w:before="30"/>
              <w:jc w:val="left"/>
            </w:pPr>
            <w:r>
              <w:rPr>
                <w:rFonts w:ascii="Calibri" w:cs="Calibri" w:eastAsia="Calibri" w:hAnsi="Calibri"/>
                <w:b w:val="false"/>
                <w:bCs w:val="false"/>
                <w:color w:val="2D2D2D"/>
                <w:sz w:val="18"/>
                <w:szCs w:val="18"/>
              </w:rPr>
              <w:t xml:space="preserve">Monthly Fees</w:t>
            </w:r>
          </w:p>
        </w:tc>
        <w:tc>
          <w:tcPr>
            <w:vAlign w:val="center"/>
          </w:tcPr>
          <w:p>
            <w:pPr>
              <w:spacing w:after="30" w:before="30"/>
              <w:jc w:val="center"/>
            </w:pPr>
            <w:r>
              <w:rPr>
                <w:rFonts w:ascii="Calibri" w:cs="Calibri" w:eastAsia="Calibri" w:hAnsi="Calibri"/>
                <w:b w:val="false"/>
                <w:bCs w:val="false"/>
                <w:color w:val="2D2D2D"/>
                <w:sz w:val="18"/>
                <w:szCs w:val="18"/>
              </w:rPr>
              <w:t xml:space="preserve">$199.50/mo</w:t>
            </w:r>
          </w:p>
        </w:tc>
        <w:tc>
          <w:tcPr>
            <w:vAlign w:val="center"/>
          </w:tcPr>
          <w:p>
            <w:pPr>
              <w:spacing w:after="30" w:before="30"/>
              <w:jc w:val="center"/>
            </w:pPr>
            <w:r>
              <w:rPr>
                <w:rFonts w:ascii="Calibri" w:cs="Calibri" w:eastAsia="Calibri" w:hAnsi="Calibri"/>
                <w:b w:val="false"/>
                <w:bCs w:val="false"/>
                <w:color w:val="2D2D2D"/>
                <w:sz w:val="18"/>
                <w:szCs w:val="18"/>
              </w:rPr>
              <w:t xml:space="preserve">$199.50/mo</w:t>
            </w:r>
          </w:p>
        </w:tc>
        <w:tc>
          <w:tcPr>
            <w:vAlign w:val="center"/>
          </w:tcPr>
          <w:p>
            <w:pPr>
              <w:spacing w:after="30" w:before="30"/>
              <w:jc w:val="center"/>
            </w:pPr>
            <w:r>
              <w:rPr>
                <w:rFonts w:ascii="Calibri" w:cs="Calibri" w:eastAsia="Calibri" w:hAnsi="Calibri"/>
                <w:b w:val="false"/>
                <w:bCs w:val="false"/>
                <w:color w:val="2D2D2D"/>
                <w:sz w:val="18"/>
                <w:szCs w:val="18"/>
              </w:rPr>
              <w:t xml:space="preserve">$0/mo</w:t>
            </w:r>
          </w:p>
        </w:tc>
      </w:tr>
      <w:tr>
        <w:tc>
          <w:tcPr>
            <w:shd w:fill="F2F4F7" w:color="F2F4F7" w:val="solid"/>
            <w:vAlign w:val="center"/>
          </w:tcPr>
          <w:p>
            <w:pPr>
              <w:spacing w:after="30" w:before="30"/>
              <w:jc w:val="left"/>
            </w:pPr>
            <w:r>
              <w:rPr>
                <w:rFonts w:ascii="Calibri" w:cs="Calibri" w:eastAsia="Calibri" w:hAnsi="Calibri"/>
                <w:b/>
                <w:bCs/>
                <w:color w:val="2D2D2D"/>
                <w:sz w:val="18"/>
                <w:szCs w:val="18"/>
              </w:rPr>
              <w:t xml:space="preserve">Year 1 Total</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$22,997</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$25,945</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$20,955</w:t>
            </w:r>
          </w:p>
        </w:tc>
      </w:tr>
      <w:tr>
        <w:tc>
          <w:tcPr>
            <w:vAlign w:val="center"/>
          </w:tcPr>
          <w:p>
            <w:pPr>
              <w:spacing w:after="30" w:before="30"/>
              <w:jc w:val="left"/>
            </w:pPr>
            <w:r>
              <w:rPr>
                <w:rFonts w:ascii="Calibri" w:cs="Calibri" w:eastAsia="Calibri" w:hAnsi="Calibri"/>
                <w:b w:val="false"/>
                <w:bCs w:val="false"/>
                <w:color w:val="2D2D2D"/>
                <w:sz w:val="18"/>
                <w:szCs w:val="18"/>
              </w:rPr>
              <w:t xml:space="preserve">Year 2+ Annual</w:t>
            </w:r>
          </w:p>
        </w:tc>
        <w:tc>
          <w:tcPr>
            <w:vAlign w:val="center"/>
          </w:tcPr>
          <w:p>
            <w:pPr>
              <w:spacing w:after="30" w:before="30"/>
              <w:jc w:val="center"/>
            </w:pPr>
            <w:r>
              <w:rPr>
                <w:rFonts w:ascii="Calibri" w:cs="Calibri" w:eastAsia="Calibri" w:hAnsi="Calibri"/>
                <w:b w:val="false"/>
                <w:bCs w:val="false"/>
                <w:color w:val="2D2D2D"/>
                <w:sz w:val="18"/>
                <w:szCs w:val="18"/>
              </w:rPr>
              <w:t xml:space="preserve">$9,394*</w:t>
            </w:r>
          </w:p>
        </w:tc>
        <w:tc>
          <w:tcPr>
            <w:vAlign w:val="center"/>
          </w:tcPr>
          <w:p>
            <w:pPr>
              <w:spacing w:after="30" w:before="30"/>
              <w:jc w:val="center"/>
            </w:pPr>
            <w:r>
              <w:rPr>
                <w:rFonts w:ascii="Calibri" w:cs="Calibri" w:eastAsia="Calibri" w:hAnsi="Calibri"/>
                <w:b w:val="false"/>
                <w:bCs w:val="false"/>
                <w:color w:val="2D2D2D"/>
                <w:sz w:val="18"/>
                <w:szCs w:val="18"/>
              </w:rPr>
              <w:t xml:space="preserve">$9,394*</w:t>
            </w:r>
          </w:p>
        </w:tc>
        <w:tc>
          <w:tcPr>
            <w:vAlign w:val="center"/>
          </w:tcPr>
          <w:p>
            <w:pPr>
              <w:spacing w:after="30" w:before="30"/>
              <w:jc w:val="center"/>
            </w:pPr>
            <w:r>
              <w:rPr>
                <w:rFonts w:ascii="Calibri" w:cs="Calibri" w:eastAsia="Calibri" w:hAnsi="Calibri"/>
                <w:b w:val="false"/>
                <w:bCs w:val="false"/>
                <w:color w:val="2D2D2D"/>
                <w:sz w:val="18"/>
                <w:szCs w:val="18"/>
              </w:rPr>
              <w:t xml:space="preserve">$0</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Workstation Required</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No (browser)</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No (browser)</w:t>
            </w:r>
          </w:p>
        </w:tc>
        <w:tc>
          <w:tcPr>
            <w:shd w:fill="F2F4F7" w:color="F2F4F7" w:val="solid"/>
            <w:vAlign w:val="center"/>
          </w:tcPr>
          <w:p>
            <w:pPr>
              <w:spacing w:after="30" w:before="30"/>
              <w:jc w:val="center"/>
            </w:pPr>
            <w:r>
              <w:rPr>
                <w:rFonts w:ascii="Calibri" w:cs="Calibri" w:eastAsia="Calibri" w:hAnsi="Calibri"/>
                <w:b w:val="false"/>
                <w:bCs w:val="false"/>
                <w:color w:val="2D2D2D"/>
                <w:sz w:val="18"/>
                <w:szCs w:val="18"/>
              </w:rPr>
              <w:t xml:space="preserve">Yes (included)</w:t>
            </w:r>
          </w:p>
        </w:tc>
      </w:tr>
      <w:tr>
        <w:tc>
          <w:tcPr>
            <w:vAlign w:val="center"/>
          </w:tcPr>
          <w:p>
            <w:pPr>
              <w:spacing w:after="30" w:before="30"/>
              <w:jc w:val="left"/>
            </w:pPr>
            <w:r>
              <w:rPr>
                <w:rFonts w:ascii="Calibri" w:cs="Calibri" w:eastAsia="Calibri" w:hAnsi="Calibri"/>
                <w:b w:val="false"/>
                <w:bCs w:val="false"/>
                <w:color w:val="2D2D2D"/>
                <w:sz w:val="18"/>
                <w:szCs w:val="18"/>
              </w:rPr>
              <w:t xml:space="preserve">Remote Mgmt</w:t>
            </w:r>
          </w:p>
        </w:tc>
        <w:tc>
          <w:tcPr>
            <w:vAlign w:val="center"/>
          </w:tcPr>
          <w:p>
            <w:pPr>
              <w:spacing w:after="30" w:before="30"/>
              <w:jc w:val="center"/>
            </w:pPr>
            <w:r>
              <w:rPr>
                <w:rFonts w:ascii="Calibri" w:cs="Calibri" w:eastAsia="Calibri" w:hAnsi="Calibri"/>
                <w:b w:val="false"/>
                <w:bCs w:val="false"/>
                <w:color w:val="2E7D32"/>
                <w:sz w:val="18"/>
                <w:szCs w:val="18"/>
              </w:rPr>
              <w:t xml:space="preserve">✓ Anywhere</w:t>
            </w:r>
          </w:p>
        </w:tc>
        <w:tc>
          <w:tcPr>
            <w:vAlign w:val="center"/>
          </w:tcPr>
          <w:p>
            <w:pPr>
              <w:spacing w:after="30" w:before="30"/>
              <w:jc w:val="center"/>
            </w:pPr>
            <w:r>
              <w:rPr>
                <w:rFonts w:ascii="Calibri" w:cs="Calibri" w:eastAsia="Calibri" w:hAnsi="Calibri"/>
                <w:b w:val="false"/>
                <w:bCs w:val="false"/>
                <w:color w:val="2E7D32"/>
                <w:sz w:val="18"/>
                <w:szCs w:val="18"/>
              </w:rPr>
              <w:t xml:space="preserve">✓ Anywhere</w:t>
            </w:r>
          </w:p>
        </w:tc>
        <w:tc>
          <w:tcPr>
            <w:vAlign w:val="center"/>
          </w:tcPr>
          <w:p>
            <w:pPr>
              <w:spacing w:after="30" w:before="30"/>
              <w:jc w:val="center"/>
            </w:pPr>
            <w:r>
              <w:rPr>
                <w:rFonts w:ascii="Calibri" w:cs="Calibri" w:eastAsia="Calibri" w:hAnsi="Calibri"/>
                <w:b w:val="false"/>
                <w:bCs w:val="false"/>
                <w:color w:val="2D2D2D"/>
                <w:sz w:val="18"/>
                <w:szCs w:val="18"/>
              </w:rPr>
              <w:t xml:space="preserve">Via ASI 360 gateway</w:t>
            </w:r>
          </w:p>
        </w:tc>
      </w:tr>
    </w:tbl>
    <w:p>
      <w:pPr>
        <w:spacing w:after="100"/>
      </w:pPr>
    </w:p>
    <w:p>
      <w:pPr>
        <w:spacing w:after="120" w:before="0"/>
        <w:jc w:val="left"/>
      </w:pPr>
      <w:r>
        <w:rPr>
          <w:rFonts w:ascii="Calibri" w:cs="Calibri" w:eastAsia="Calibri" w:hAnsi="Calibri"/>
          <w:b w:val="false"/>
          <w:bCs w:val="false"/>
          <w:i/>
          <w:iCs/>
          <w:color w:val="4A4A4A"/>
          <w:sz w:val="18"/>
          <w:szCs w:val="18"/>
        </w:rPr>
        <w:t xml:space="preserve">*Year 2+ Annual = Borealis cloud subscription ($2,394) + Connekt mobile credential renewals ($7,000). V3 has no recurring fees.</w:t>
      </w:r>
    </w:p>
    <w:p>
      <w:pPr>
        <w:spacing w:after="100"/>
      </w:pPr>
    </w:p>
    <w:p>
      <w:pPr>
        <w:spacing w:after="120" w:before="0"/>
        <w:jc w:val="left"/>
      </w:pPr>
      <w:r>
        <w:rPr>
          <w:rFonts w:ascii="Calibri" w:cs="Calibri" w:eastAsia="Calibri" w:hAnsi="Calibri"/>
          <w:b w:val="false"/>
          <w:bCs w:val="false"/>
          <w:i/>
          <w:iCs/>
          <w:color w:val="4A4A4A"/>
          <w:sz w:val="18"/>
          <w:szCs w:val="18"/>
        </w:rPr>
        <w:t xml:space="preserve">All three options retain the existing PXL-500 controllers, wiring, power supply, and enclosures. The primary differences are in the reader technology, credential types, and management platform.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ASI 360 — Allied Systems Integrations | Confidential</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qFormat/>
    <w:rPr>
      <w:rFonts w:ascii="Calibri" w:cs="Calibri" w:eastAsia="Calibri" w:hAnsi="Calibri"/>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487faeb1668f4c660b930abf07d458360688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2026-03-18T23:48:23.107Z</dcterms:created>
  <dcterms:modified xsi:type="dcterms:W3CDTF">2026-03-18T23:48:23.107Z</dcterms:modified>
</cp:coreProperties>
</file>

<file path=docProps/custom.xml><?xml version="1.0" encoding="utf-8"?>
<Properties xmlns="http://schemas.openxmlformats.org/officeDocument/2006/custom-properties" xmlns:vt="http://schemas.openxmlformats.org/officeDocument/2006/docPropsVTypes"/>
</file>