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drawing>
          <wp:inline distT="0" distB="0" distL="0" distR="0">
            <wp:extent cx="1905000" cy="1905000"/>
            <wp:effectExtent t="0" r="0" b="0" l="0"/>
            <wp:docPr id="1" name="asi360-logo" descr="ASI 360 company logo" title="ASI 360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rFonts w:ascii="Arial" w:cs="Arial" w:eastAsia="Arial" w:hAnsi="Arial"/>
          <w:b/>
          <w:bCs/>
          <w:color w:val="1B3A5C"/>
          <w:sz w:val="28"/>
          <w:szCs w:val="28"/>
        </w:rPr>
        <w:t xml:space="preserve">Allied Systems Integrations</w:t>
      </w:r>
    </w:p>
    <w:p>
      <w:pPr>
        <w:spacing w:after="200"/>
        <w:jc w:val="center"/>
      </w:pPr>
      <w:r>
        <w:rPr>
          <w:rFonts w:ascii="Arial" w:cs="Arial" w:eastAsia="Arial" w:hAnsi="Arial"/>
          <w:i/>
          <w:iCs/>
          <w:color w:val="4A4A4A"/>
          <w:sz w:val="22"/>
          <w:szCs w:val="22"/>
        </w:rPr>
        <w:t xml:space="preserve">One Source  |  Unlimited Solutions</w:t>
      </w:r>
    </w:p>
    <w:p>
      <w:pPr>
        <w:pBdr>
          <w:bottom w:val="single" w:color="2E75B6" w:sz="6" w:space="1"/>
        </w:pBdr>
        <w:spacing w:after="100" w:before="100"/>
      </w:pPr>
    </w:p>
    <w:p>
      <w:pPr>
        <w:spacing w:after="200"/>
      </w:pPr>
    </w:p>
    <w:p>
      <w:pPr>
        <w:spacing w:after="80"/>
        <w:jc w:val="center"/>
      </w:pPr>
      <w:r>
        <w:rPr>
          <w:rFonts w:ascii="Arial" w:cs="Arial" w:eastAsia="Arial" w:hAnsi="Arial"/>
          <w:b/>
          <w:bCs/>
          <w:color w:val="1B3A5C"/>
          <w:sz w:val="36"/>
          <w:szCs w:val="36"/>
        </w:rPr>
        <w:t xml:space="preserve">P R O P O S A L</w:t>
      </w:r>
    </w:p>
    <w:p>
      <w:pPr>
        <w:spacing w:after="80"/>
      </w:pPr>
    </w:p>
    <w:p>
      <w:pPr>
        <w:spacing w:after="60"/>
        <w:jc w:val="center"/>
      </w:pPr>
      <w:r>
        <w:rPr>
          <w:rFonts w:ascii="Arial" w:cs="Arial" w:eastAsia="Arial" w:hAnsi="Arial"/>
          <w:b/>
          <w:bCs/>
          <w:color w:val="1B3A5C"/>
          <w:sz w:val="30"/>
          <w:szCs w:val="30"/>
        </w:rPr>
        <w:t xml:space="preserve">Access Control System Assessment &amp; Smart Migration</w:t>
      </w:r>
    </w:p>
    <w:p>
      <w:pPr>
        <w:spacing w:after="200"/>
        <w:jc w:val="center"/>
      </w:pPr>
      <w:r>
        <w:rPr>
          <w:rFonts w:ascii="Arial" w:cs="Arial" w:eastAsia="Arial" w:hAnsi="Arial"/>
          <w:i/>
          <w:iCs/>
          <w:color w:val="4A4A4A"/>
          <w:sz w:val="26"/>
          <w:szCs w:val="26"/>
        </w:rPr>
        <w:t xml:space="preserve">Diamond Heights Village HOA</w:t>
      </w:r>
    </w:p>
    <w:p>
      <w:pPr>
        <w:spacing w:after="200"/>
      </w:pPr>
    </w:p>
    <w:p>
      <w:pPr>
        <w:spacing w:after="60"/>
        <w:jc w:val="center"/>
      </w:pPr>
      <w:r>
        <w:rPr>
          <w:rFonts w:ascii="Arial" w:cs="Arial" w:eastAsia="Arial" w:hAnsi="Arial"/>
          <w:b/>
          <w:bCs/>
          <w:color w:val="1B3A5C"/>
          <w:sz w:val="22"/>
          <w:szCs w:val="22"/>
        </w:rPr>
        <w:t xml:space="preserve">Prepared for:</w:t>
      </w:r>
    </w:p>
    <w:p>
      <w:pPr>
        <w:spacing w:after="120" w:before="0"/>
        <w:jc w:val="center"/>
      </w:pPr>
      <w:r>
        <w:rPr>
          <w:rFonts w:ascii="Arial" w:cs="Arial" w:eastAsia="Arial" w:hAnsi="Arial"/>
          <w:b w:val="false"/>
          <w:bCs w:val="false"/>
          <w:i w:val="false"/>
          <w:iCs w:val="false"/>
          <w:color w:val="2D2D2D"/>
          <w:sz w:val="22"/>
          <w:szCs w:val="22"/>
        </w:rPr>
        <w:t xml:space="preserve">Diamond Heights Village Association Board of Directors</w:t>
      </w:r>
    </w:p>
    <w:p>
      <w:pPr>
        <w:spacing w:after="120" w:before="0"/>
        <w:jc w:val="center"/>
      </w:pPr>
      <w:r>
        <w:rPr>
          <w:rFonts w:ascii="Arial" w:cs="Arial" w:eastAsia="Arial" w:hAnsi="Arial"/>
          <w:b w:val="false"/>
          <w:bCs w:val="false"/>
          <w:i w:val="false"/>
          <w:iCs w:val="false"/>
          <w:color w:val="4A4A4A"/>
          <w:sz w:val="22"/>
          <w:szCs w:val="22"/>
        </w:rPr>
        <w:t xml:space="preserve">c/o PMP Management LLC</w:t>
      </w:r>
    </w:p>
    <w:p>
      <w:pPr>
        <w:spacing w:after="120" w:before="0"/>
        <w:jc w:val="center"/>
      </w:pPr>
      <w:r>
        <w:rPr>
          <w:rFonts w:ascii="Arial" w:cs="Arial" w:eastAsia="Arial" w:hAnsi="Arial"/>
          <w:b w:val="false"/>
          <w:bCs w:val="false"/>
          <w:i w:val="false"/>
          <w:iCs w:val="false"/>
          <w:color w:val="4A4A4A"/>
          <w:sz w:val="22"/>
          <w:szCs w:val="22"/>
        </w:rPr>
        <w:t xml:space="preserve">Attn: Melissa Tolerton</w:t>
      </w:r>
    </w:p>
    <w:p>
      <w:pPr>
        <w:spacing w:after="100"/>
      </w:pPr>
    </w:p>
    <w:p>
      <w:pPr>
        <w:spacing w:after="60"/>
        <w:jc w:val="center"/>
      </w:pPr>
      <w:r>
        <w:rPr>
          <w:rFonts w:ascii="Arial" w:cs="Arial" w:eastAsia="Arial" w:hAnsi="Arial"/>
          <w:b/>
          <w:bCs/>
          <w:color w:val="1B3A5C"/>
          <w:sz w:val="22"/>
          <w:szCs w:val="22"/>
        </w:rPr>
        <w:t xml:space="preserve">Prepared by:</w:t>
      </w:r>
    </w:p>
    <w:p>
      <w:pPr>
        <w:spacing w:after="120" w:before="0"/>
        <w:jc w:val="center"/>
      </w:pPr>
      <w:r>
        <w:rPr>
          <w:rFonts w:ascii="Arial" w:cs="Arial" w:eastAsia="Arial" w:hAnsi="Arial"/>
          <w:b w:val="false"/>
          <w:bCs w:val="false"/>
          <w:i w:val="false"/>
          <w:iCs w:val="false"/>
          <w:color w:val="2D2D2D"/>
          <w:sz w:val="22"/>
          <w:szCs w:val="22"/>
        </w:rPr>
        <w:t xml:space="preserve">Don Bucknor, CEO — ASI 360</w:t>
      </w:r>
    </w:p>
    <w:p>
      <w:pPr>
        <w:spacing w:after="100"/>
      </w:pPr>
    </w:p>
    <w:p>
      <w:pPr>
        <w:spacing w:after="120" w:before="0"/>
        <w:jc w:val="center"/>
      </w:pPr>
      <w:r>
        <w:rPr>
          <w:rFonts w:ascii="Arial" w:cs="Arial" w:eastAsia="Arial" w:hAnsi="Arial"/>
          <w:b w:val="false"/>
          <w:bCs w:val="false"/>
          <w:i w:val="false"/>
          <w:iCs w:val="false"/>
          <w:color w:val="4A4A4A"/>
          <w:sz w:val="22"/>
          <w:szCs w:val="22"/>
        </w:rPr>
        <w:t xml:space="preserve">March 18, 2026</w:t>
      </w:r>
    </w:p>
    <w:p>
      <w:pPr>
        <w:spacing w:after="120" w:before="0"/>
        <w:jc w:val="center"/>
      </w:pPr>
      <w:r>
        <w:rPr>
          <w:rFonts w:ascii="Arial" w:cs="Arial" w:eastAsia="Arial" w:hAnsi="Arial"/>
          <w:b w:val="false"/>
          <w:bCs w:val="false"/>
          <w:i w:val="false"/>
          <w:iCs w:val="false"/>
          <w:color w:val="4A4A4A"/>
          <w:sz w:val="22"/>
          <w:szCs w:val="22"/>
        </w:rPr>
        <w:t xml:space="preserve">Proposal #: DHV-PROP-2026-004</w:t>
      </w:r>
    </w:p>
    <w:p>
      <w:pPr>
        <w:spacing w:after="100"/>
      </w:pPr>
    </w:p>
    <w:p>
      <w:pPr>
        <w:spacing w:after="60"/>
        <w:jc w:val="center"/>
      </w:pPr>
      <w:r>
        <w:rPr>
          <w:rFonts w:ascii="Arial" w:cs="Arial" w:eastAsia="Arial" w:hAnsi="Arial"/>
          <w:b/>
          <w:bCs/>
          <w:color w:val="1B3A5C"/>
          <w:sz w:val="20"/>
          <w:szCs w:val="20"/>
        </w:rPr>
        <w:t xml:space="preserve">CONFIDENTIAL — Valid 30 Days</w:t>
      </w:r>
    </w:p>
    <w:p>
      <w:r>
        <w:br w:type="page"/>
      </w:r>
    </w:p>
    <w:p>
      <w:pPr>
        <w:pStyle w:val="Heading1"/>
        <w:spacing w:after="200" w:before="200"/>
      </w:pPr>
      <w:r>
        <w:rPr>
          <w:rFonts w:ascii="Arial" w:cs="Arial" w:eastAsia="Arial" w:hAnsi="Arial"/>
          <w:b/>
          <w:bCs/>
          <w:color w:val="1B3A5C"/>
          <w:sz w:val="32"/>
          <w:szCs w:val="32"/>
        </w:rPr>
        <w:t xml:space="preserve">Cover Letter</w:t>
      </w:r>
    </w:p>
    <w:p>
      <w:pPr>
        <w:spacing w:after="100"/>
      </w:pPr>
    </w:p>
    <w:p>
      <w:pPr>
        <w:spacing w:after="120" w:before="0"/>
        <w:jc w:val="left"/>
      </w:pPr>
      <w:r>
        <w:rPr>
          <w:rFonts w:ascii="Arial" w:cs="Arial" w:eastAsia="Arial" w:hAnsi="Arial"/>
          <w:b w:val="false"/>
          <w:bCs w:val="false"/>
          <w:i w:val="false"/>
          <w:iCs w:val="false"/>
          <w:color w:val="2D2D2D"/>
          <w:sz w:val="24"/>
          <w:szCs w:val="24"/>
        </w:rPr>
        <w:t xml:space="preserve">March 18, 2026</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Melissa Tolerton, Property Manager</w:t>
      </w:r>
    </w:p>
    <w:p>
      <w:pPr>
        <w:spacing w:after="120" w:before="0"/>
        <w:jc w:val="left"/>
      </w:pPr>
      <w:r>
        <w:rPr>
          <w:rFonts w:ascii="Arial" w:cs="Arial" w:eastAsia="Arial" w:hAnsi="Arial"/>
          <w:b w:val="false"/>
          <w:bCs w:val="false"/>
          <w:i w:val="false"/>
          <w:iCs w:val="false"/>
          <w:color w:val="2D2D2D"/>
          <w:sz w:val="24"/>
          <w:szCs w:val="24"/>
        </w:rPr>
        <w:t xml:space="preserve">PMP Management, LLC</w:t>
      </w:r>
    </w:p>
    <w:p>
      <w:pPr>
        <w:spacing w:after="120" w:before="0"/>
        <w:jc w:val="left"/>
      </w:pPr>
      <w:r>
        <w:rPr>
          <w:rFonts w:ascii="Arial" w:cs="Arial" w:eastAsia="Arial" w:hAnsi="Arial"/>
          <w:b w:val="false"/>
          <w:bCs w:val="false"/>
          <w:i w:val="false"/>
          <w:iCs w:val="false"/>
          <w:color w:val="2D2D2D"/>
          <w:sz w:val="24"/>
          <w:szCs w:val="24"/>
        </w:rPr>
        <w:t xml:space="preserve">Diamond Heights Village Association</w:t>
      </w:r>
    </w:p>
    <w:p>
      <w:pPr>
        <w:spacing w:after="120" w:before="0"/>
        <w:jc w:val="left"/>
      </w:pPr>
      <w:r>
        <w:rPr>
          <w:rFonts w:ascii="Arial" w:cs="Arial" w:eastAsia="Arial" w:hAnsi="Arial"/>
          <w:b w:val="false"/>
          <w:bCs w:val="false"/>
          <w:i w:val="false"/>
          <w:iCs w:val="false"/>
          <w:color w:val="2D2D2D"/>
          <w:sz w:val="24"/>
          <w:szCs w:val="24"/>
        </w:rPr>
        <w:t xml:space="preserve">115 Red Rock Way, San Francisco, CA 94131</w:t>
      </w:r>
    </w:p>
    <w:p>
      <w:pPr>
        <w:spacing w:after="100"/>
      </w:pPr>
    </w:p>
    <w:p>
      <w:pPr>
        <w:spacing w:after="120" w:before="0"/>
        <w:jc w:val="left"/>
      </w:pPr>
      <w:r>
        <w:rPr>
          <w:rFonts w:ascii="Arial" w:cs="Arial" w:eastAsia="Arial" w:hAnsi="Arial"/>
          <w:b w:val="false"/>
          <w:bCs w:val="false"/>
          <w:i w:val="false"/>
          <w:iCs w:val="false"/>
          <w:color w:val="2D2D2D"/>
          <w:sz w:val="24"/>
          <w:szCs w:val="24"/>
        </w:rPr>
        <w:t xml:space="preserve">Dear Ms. Tolerton,</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Thank you for the opportunity to assess the access control system at Diamond Heights Village. Following our comprehensive remote assessment in March 2026 — including a detailed photo walkthrough of all controllers, readers, and infrastructure — we have developed a tailored solution designed specifically for DHV’s needs and budget.</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Your existing system is built on proven Keri Systems hardware that is still functional. All 10 doors unlock without delay, all readers respond to credentials, and all four PXL-500 controller boards show active status LEDs. The core infrastructure works — what’s missing is the management workstation needed to add, remove, and modify resident credentials.</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Rather than replacing equipment that functions properly, our Smart Migration approach restores management capability immediately, adds modern keypad and mobile credential access at two key entry points, and provides a frictionless transition plan for all 396 units — without disrupting a single resident’s access on day one.</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ASI 360 is the right partner for this project for the following reasons:</w:t>
      </w:r>
    </w:p>
    <w:p>
      <w:pPr>
        <w:spacing w:after="40"/>
      </w:pPr>
    </w:p>
    <w:p>
      <w:pPr>
        <w:pStyle w:val="ListParagraph"/>
        <w:numPr>
          <w:ilvl w:val="0"/>
          <w:numId w:val="2"/>
        </w:numPr>
        <w:spacing w:after="80"/>
      </w:pPr>
      <w:r>
        <w:rPr>
          <w:rFonts w:ascii="Arial" w:cs="Arial" w:eastAsia="Arial" w:hAnsi="Arial"/>
          <w:color w:val="2D2D2D"/>
          <w:sz w:val="24"/>
          <w:szCs w:val="24"/>
        </w:rPr>
        <w:t xml:space="preserve">We are a Keri Systems authorized integrator with direct access to dealer pricing, technical support, and firmware resources — no middleman markup.</w:t>
      </w:r>
    </w:p>
    <w:p>
      <w:pPr>
        <w:pStyle w:val="ListParagraph"/>
        <w:numPr>
          <w:ilvl w:val="0"/>
          <w:numId w:val="2"/>
        </w:numPr>
        <w:spacing w:after="80"/>
      </w:pPr>
      <w:r>
        <w:rPr>
          <w:rFonts w:ascii="Arial" w:cs="Arial" w:eastAsia="Arial" w:hAnsi="Arial"/>
          <w:color w:val="2D2D2D"/>
          <w:sz w:val="24"/>
          <w:szCs w:val="24"/>
        </w:rPr>
        <w:t xml:space="preserve">Our hybrid NXT + Borealis architecture provides failover redundancy that an all-cloud solution cannot — if the internet goes down, 8 doors continue operating locally.</w:t>
      </w:r>
    </w:p>
    <w:p>
      <w:pPr>
        <w:pStyle w:val="ListParagraph"/>
        <w:numPr>
          <w:ilvl w:val="0"/>
          <w:numId w:val="2"/>
        </w:numPr>
        <w:spacing w:after="80"/>
      </w:pPr>
      <w:r>
        <w:rPr>
          <w:rFonts w:ascii="Arial" w:cs="Arial" w:eastAsia="Arial" w:hAnsi="Arial"/>
          <w:color w:val="2D2D2D"/>
          <w:sz w:val="24"/>
          <w:szCs w:val="24"/>
        </w:rPr>
        <w:t xml:space="preserve">We include a USB enrollment reader and fob recycling program, saving thousands in unnecessary credential purchases by reusing existing fobs.</w:t>
      </w:r>
    </w:p>
    <w:p>
      <w:pPr>
        <w:pStyle w:val="ListParagraph"/>
        <w:numPr>
          <w:ilvl w:val="0"/>
          <w:numId w:val="2"/>
        </w:numPr>
        <w:spacing w:after="80"/>
      </w:pPr>
      <w:r>
        <w:rPr>
          <w:rFonts w:ascii="Arial" w:cs="Arial" w:eastAsia="Arial" w:hAnsi="Arial"/>
          <w:color w:val="2D2D2D"/>
          <w:sz w:val="24"/>
          <w:szCs w:val="24"/>
        </w:rPr>
        <w:t xml:space="preserve">Our migration hotline and business card PIN distribution eliminates the “day-one chaos” of transitioning 700+ residents simultaneously.</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We look forward to presenting this proposal at the Board Meeting on March 25th.</w:t>
      </w:r>
    </w:p>
    <w:p>
      <w:pPr>
        <w:spacing w:after="100"/>
      </w:pPr>
    </w:p>
    <w:p>
      <w:pPr>
        <w:spacing w:after="120" w:before="0"/>
        <w:jc w:val="left"/>
      </w:pPr>
      <w:r>
        <w:rPr>
          <w:rFonts w:ascii="Arial" w:cs="Arial" w:eastAsia="Arial" w:hAnsi="Arial"/>
          <w:b w:val="false"/>
          <w:bCs w:val="false"/>
          <w:i w:val="false"/>
          <w:iCs w:val="false"/>
          <w:color w:val="2D2D2D"/>
          <w:sz w:val="24"/>
          <w:szCs w:val="24"/>
        </w:rPr>
        <w:t xml:space="preserve">Respectfully,</w:t>
      </w:r>
    </w:p>
    <w:p>
      <w:pPr>
        <w:spacing w:after="60"/>
      </w:pPr>
    </w:p>
    <w:p>
      <w:pPr>
        <w:spacing w:after="120" w:before="0"/>
        <w:jc w:val="left"/>
      </w:pPr>
      <w:r>
        <w:rPr>
          <w:rFonts w:ascii="Arial" w:cs="Arial" w:eastAsia="Arial" w:hAnsi="Arial"/>
          <w:b/>
          <w:bCs/>
          <w:i w:val="false"/>
          <w:iCs w:val="false"/>
          <w:color w:val="2D2D2D"/>
          <w:sz w:val="24"/>
          <w:szCs w:val="24"/>
        </w:rPr>
        <w:t xml:space="preserve">Don Bucknor</w:t>
      </w:r>
    </w:p>
    <w:p>
      <w:pPr>
        <w:spacing w:after="120" w:before="0"/>
        <w:jc w:val="left"/>
      </w:pPr>
      <w:r>
        <w:rPr>
          <w:rFonts w:ascii="Arial" w:cs="Arial" w:eastAsia="Arial" w:hAnsi="Arial"/>
          <w:b w:val="false"/>
          <w:bCs w:val="false"/>
          <w:i w:val="false"/>
          <w:iCs w:val="false"/>
          <w:color w:val="2D2D2D"/>
          <w:sz w:val="24"/>
          <w:szCs w:val="24"/>
        </w:rPr>
        <w:t xml:space="preserve">CEO, ASI 360 — Allied Systems Integrations</w:t>
      </w:r>
    </w:p>
    <w:p>
      <w:pPr>
        <w:spacing w:after="120" w:before="0"/>
        <w:jc w:val="left"/>
      </w:pPr>
      <w:r>
        <w:rPr>
          <w:rFonts w:ascii="Arial" w:cs="Arial" w:eastAsia="Arial" w:hAnsi="Arial"/>
          <w:b w:val="false"/>
          <w:bCs w:val="false"/>
          <w:i w:val="false"/>
          <w:iCs w:val="false"/>
          <w:color w:val="2D2D2D"/>
          <w:sz w:val="24"/>
          <w:szCs w:val="24"/>
        </w:rPr>
        <w:t xml:space="preserve">don@asi360.co | (510) 495-0905</w:t>
      </w:r>
    </w:p>
    <w:p>
      <w:pPr>
        <w:spacing w:after="120" w:before="0"/>
        <w:jc w:val="left"/>
      </w:pPr>
      <w:r>
        <w:rPr>
          <w:rFonts w:ascii="Arial" w:cs="Arial" w:eastAsia="Arial" w:hAnsi="Arial"/>
          <w:b w:val="false"/>
          <w:bCs w:val="false"/>
          <w:i w:val="false"/>
          <w:iCs w:val="false"/>
          <w:color w:val="2D2D2D"/>
          <w:sz w:val="24"/>
          <w:szCs w:val="24"/>
        </w:rPr>
        <w:t xml:space="preserve">2342 Shattuck Ave. #866, Berkeley, CA 94704</w:t>
      </w:r>
    </w:p>
    <w:p>
      <w:pPr>
        <w:spacing w:after="120" w:before="0"/>
        <w:jc w:val="left"/>
      </w:pPr>
      <w:r>
        <w:rPr>
          <w:rFonts w:ascii="Arial" w:cs="Arial" w:eastAsia="Arial" w:hAnsi="Arial"/>
          <w:b w:val="false"/>
          <w:bCs w:val="false"/>
          <w:i w:val="false"/>
          <w:iCs w:val="false"/>
          <w:color w:val="4A4A4A"/>
          <w:sz w:val="20"/>
          <w:szCs w:val="20"/>
        </w:rPr>
        <w:t xml:space="preserve">CA Licensed · Bonded · Insured</w:t>
      </w:r>
    </w:p>
    <w:p>
      <w:r>
        <w:br w:type="page"/>
      </w:r>
    </w:p>
    <w:p>
      <w:pPr>
        <w:pStyle w:val="Heading1"/>
        <w:spacing w:after="200" w:before="200"/>
      </w:pPr>
      <w:r>
        <w:rPr>
          <w:rFonts w:ascii="Arial" w:cs="Arial" w:eastAsia="Arial" w:hAnsi="Arial"/>
          <w:b/>
          <w:bCs/>
          <w:color w:val="1B3A5C"/>
          <w:sz w:val="32"/>
          <w:szCs w:val="32"/>
        </w:rPr>
        <w:t xml:space="preserve">Table of Contents</w:t>
      </w:r>
    </w:p>
    <w:p>
      <w:pPr>
        <w:spacing w:after="200"/>
      </w:pPr>
    </w:p>
    <w:p>
      <w:pPr>
        <w:tabs>
          <w:tab w:val="right" w:pos="9026"/>
        </w:tabs>
        <w:spacing w:after="100"/>
      </w:pPr>
      <w:r>
        <w:rPr>
          <w:rFonts w:ascii="Arial" w:cs="Arial" w:eastAsia="Arial" w:hAnsi="Arial"/>
          <w:color w:val="2D2D2D"/>
          <w:sz w:val="24"/>
          <w:szCs w:val="24"/>
        </w:rPr>
        <w:t xml:space="preserve">Exhibit A: Problem Statement &amp; Current Conditions</w:t>
      </w:r>
      <w:r>
        <w:rPr>
          <w:rFonts w:ascii="Arial" w:cs="Arial" w:eastAsia="Arial" w:hAnsi="Arial"/>
          <w:color w:val="2D2D2D"/>
          <w:sz w:val="24"/>
          <w:szCs w:val="24"/>
        </w:rPr>
        <w:ptab w:alignment="right" w:relativeTo="margin" w:leader="dot"/>
        <w:t xml:space="preserve">4</w:t>
      </w:r>
    </w:p>
    <w:p>
      <w:pPr>
        <w:tabs>
          <w:tab w:val="right" w:pos="9026"/>
        </w:tabs>
        <w:spacing w:after="100"/>
      </w:pPr>
      <w:r>
        <w:rPr>
          <w:rFonts w:ascii="Arial" w:cs="Arial" w:eastAsia="Arial" w:hAnsi="Arial"/>
          <w:color w:val="2D2D2D"/>
          <w:sz w:val="24"/>
          <w:szCs w:val="24"/>
        </w:rPr>
        <w:t xml:space="preserve">Exhibit B: Equipment Inventory &amp; Serial Registry</w:t>
      </w:r>
      <w:r>
        <w:rPr>
          <w:rFonts w:ascii="Arial" w:cs="Arial" w:eastAsia="Arial" w:hAnsi="Arial"/>
          <w:color w:val="2D2D2D"/>
          <w:sz w:val="24"/>
          <w:szCs w:val="24"/>
        </w:rPr>
        <w:ptab w:alignment="right" w:relativeTo="margin" w:leader="dot"/>
        <w:t xml:space="preserve">6</w:t>
      </w:r>
    </w:p>
    <w:p>
      <w:pPr>
        <w:tabs>
          <w:tab w:val="right" w:pos="9026"/>
        </w:tabs>
        <w:spacing w:after="100"/>
      </w:pPr>
      <w:r>
        <w:rPr>
          <w:rFonts w:ascii="Arial" w:cs="Arial" w:eastAsia="Arial" w:hAnsi="Arial"/>
          <w:color w:val="2D2D2D"/>
          <w:sz w:val="24"/>
          <w:szCs w:val="24"/>
        </w:rPr>
        <w:t xml:space="preserve">Exhibit C: Reader Survey &amp; Condition Assessment</w:t>
      </w:r>
      <w:r>
        <w:rPr>
          <w:rFonts w:ascii="Arial" w:cs="Arial" w:eastAsia="Arial" w:hAnsi="Arial"/>
          <w:color w:val="2D2D2D"/>
          <w:sz w:val="24"/>
          <w:szCs w:val="24"/>
        </w:rPr>
        <w:ptab w:alignment="right" w:relativeTo="margin" w:leader="dot"/>
        <w:t xml:space="preserve">8</w:t>
      </w:r>
    </w:p>
    <w:p>
      <w:pPr>
        <w:tabs>
          <w:tab w:val="right" w:pos="9026"/>
        </w:tabs>
        <w:spacing w:after="100"/>
      </w:pPr>
      <w:r>
        <w:rPr>
          <w:rFonts w:ascii="Arial" w:cs="Arial" w:eastAsia="Arial" w:hAnsi="Arial"/>
          <w:color w:val="2D2D2D"/>
          <w:sz w:val="24"/>
          <w:szCs w:val="24"/>
        </w:rPr>
        <w:t xml:space="preserve">Exhibit D: Competitor Analysis</w:t>
      </w:r>
      <w:r>
        <w:rPr>
          <w:rFonts w:ascii="Arial" w:cs="Arial" w:eastAsia="Arial" w:hAnsi="Arial"/>
          <w:color w:val="2D2D2D"/>
          <w:sz w:val="24"/>
          <w:szCs w:val="24"/>
        </w:rPr>
        <w:ptab w:alignment="right" w:relativeTo="margin" w:leader="dot"/>
        <w:t xml:space="preserve">9</w:t>
      </w:r>
    </w:p>
    <w:p>
      <w:pPr>
        <w:tabs>
          <w:tab w:val="right" w:pos="9026"/>
        </w:tabs>
        <w:spacing w:after="100"/>
      </w:pPr>
      <w:r>
        <w:rPr>
          <w:rFonts w:ascii="Arial" w:cs="Arial" w:eastAsia="Arial" w:hAnsi="Arial"/>
          <w:color w:val="2D2D2D"/>
          <w:sz w:val="24"/>
          <w:szCs w:val="24"/>
        </w:rPr>
        <w:t xml:space="preserve">Exhibit E: Proposed Solution — Hybrid Architecture</w:t>
      </w:r>
      <w:r>
        <w:rPr>
          <w:rFonts w:ascii="Arial" w:cs="Arial" w:eastAsia="Arial" w:hAnsi="Arial"/>
          <w:color w:val="2D2D2D"/>
          <w:sz w:val="24"/>
          <w:szCs w:val="24"/>
        </w:rPr>
        <w:ptab w:alignment="right" w:relativeTo="margin" w:leader="dot"/>
        <w:t xml:space="preserve">10</w:t>
      </w:r>
    </w:p>
    <w:p>
      <w:pPr>
        <w:tabs>
          <w:tab w:val="right" w:pos="9026"/>
        </w:tabs>
        <w:spacing w:after="100"/>
      </w:pPr>
      <w:r>
        <w:rPr>
          <w:rFonts w:ascii="Arial" w:cs="Arial" w:eastAsia="Arial" w:hAnsi="Arial"/>
          <w:color w:val="2D2D2D"/>
          <w:sz w:val="24"/>
          <w:szCs w:val="24"/>
        </w:rPr>
        <w:t xml:space="preserve">Exhibit F: Fob Recycling &amp; Credential Workflow</w:t>
      </w:r>
      <w:r>
        <w:rPr>
          <w:rFonts w:ascii="Arial" w:cs="Arial" w:eastAsia="Arial" w:hAnsi="Arial"/>
          <w:color w:val="2D2D2D"/>
          <w:sz w:val="24"/>
          <w:szCs w:val="24"/>
        </w:rPr>
        <w:ptab w:alignment="right" w:relativeTo="margin" w:leader="dot"/>
        <w:t xml:space="preserve">12</w:t>
      </w:r>
    </w:p>
    <w:p>
      <w:pPr>
        <w:tabs>
          <w:tab w:val="right" w:pos="9026"/>
        </w:tabs>
        <w:spacing w:after="100"/>
      </w:pPr>
      <w:r>
        <w:rPr>
          <w:rFonts w:ascii="Arial" w:cs="Arial" w:eastAsia="Arial" w:hAnsi="Arial"/>
          <w:color w:val="2D2D2D"/>
          <w:sz w:val="24"/>
          <w:szCs w:val="24"/>
        </w:rPr>
        <w:t xml:space="preserve">Exhibit G: Investment Summary</w:t>
      </w:r>
      <w:r>
        <w:rPr>
          <w:rFonts w:ascii="Arial" w:cs="Arial" w:eastAsia="Arial" w:hAnsi="Arial"/>
          <w:color w:val="2D2D2D"/>
          <w:sz w:val="24"/>
          <w:szCs w:val="24"/>
        </w:rPr>
        <w:ptab w:alignment="right" w:relativeTo="margin" w:leader="dot"/>
        <w:t xml:space="preserve">13</w:t>
      </w:r>
    </w:p>
    <w:p>
      <w:pPr>
        <w:tabs>
          <w:tab w:val="right" w:pos="9026"/>
        </w:tabs>
        <w:spacing w:after="100"/>
      </w:pPr>
      <w:r>
        <w:rPr>
          <w:rFonts w:ascii="Arial" w:cs="Arial" w:eastAsia="Arial" w:hAnsi="Arial"/>
          <w:color w:val="2D2D2D"/>
          <w:sz w:val="24"/>
          <w:szCs w:val="24"/>
        </w:rPr>
        <w:t xml:space="preserve">Exhibit H: Migration Timeline</w:t>
      </w:r>
      <w:r>
        <w:rPr>
          <w:rFonts w:ascii="Arial" w:cs="Arial" w:eastAsia="Arial" w:hAnsi="Arial"/>
          <w:color w:val="2D2D2D"/>
          <w:sz w:val="24"/>
          <w:szCs w:val="24"/>
        </w:rPr>
        <w:ptab w:alignment="right" w:relativeTo="margin" w:leader="dot"/>
        <w:t xml:space="preserve">15</w:t>
      </w:r>
    </w:p>
    <w:p>
      <w:pPr>
        <w:tabs>
          <w:tab w:val="right" w:pos="9026"/>
        </w:tabs>
        <w:spacing w:after="100"/>
      </w:pPr>
      <w:r>
        <w:rPr>
          <w:rFonts w:ascii="Arial" w:cs="Arial" w:eastAsia="Arial" w:hAnsi="Arial"/>
          <w:color w:val="2D2D2D"/>
          <w:sz w:val="24"/>
          <w:szCs w:val="24"/>
        </w:rPr>
        <w:t xml:space="preserve">Exhibit I: Terms &amp; Conditions</w:t>
      </w:r>
      <w:r>
        <w:rPr>
          <w:rFonts w:ascii="Arial" w:cs="Arial" w:eastAsia="Arial" w:hAnsi="Arial"/>
          <w:color w:val="2D2D2D"/>
          <w:sz w:val="24"/>
          <w:szCs w:val="24"/>
        </w:rPr>
        <w:ptab w:alignment="right" w:relativeTo="margin" w:leader="dot"/>
        <w:t xml:space="preserve">16</w:t>
      </w:r>
    </w:p>
    <w:p>
      <w:pPr>
        <w:tabs>
          <w:tab w:val="right" w:pos="9026"/>
        </w:tabs>
        <w:spacing w:after="100"/>
      </w:pPr>
      <w:r>
        <w:rPr>
          <w:rFonts w:ascii="Arial" w:cs="Arial" w:eastAsia="Arial" w:hAnsi="Arial"/>
          <w:color w:val="2D2D2D"/>
          <w:sz w:val="24"/>
          <w:szCs w:val="24"/>
        </w:rPr>
        <w:t xml:space="preserve">Exhibit J: Acceptance</w:t>
      </w:r>
      <w:r>
        <w:rPr>
          <w:rFonts w:ascii="Arial" w:cs="Arial" w:eastAsia="Arial" w:hAnsi="Arial"/>
          <w:color w:val="2D2D2D"/>
          <w:sz w:val="24"/>
          <w:szCs w:val="24"/>
        </w:rPr>
        <w:ptab w:alignment="right" w:relativeTo="margin" w:leader="dot"/>
        <w:t xml:space="preserve">17</w:t>
      </w:r>
    </w:p>
    <w:p>
      <w:r>
        <w:br w:type="page"/>
      </w:r>
    </w:p>
    <w:p>
      <w:pPr>
        <w:pStyle w:val="Heading1"/>
        <w:spacing w:after="200" w:before="400"/>
      </w:pPr>
      <w:r>
        <w:rPr>
          <w:rFonts w:ascii="Arial" w:cs="Arial" w:eastAsia="Arial" w:hAnsi="Arial"/>
          <w:b/>
          <w:bCs/>
          <w:color w:val="1B3A5C"/>
          <w:sz w:val="32"/>
          <w:szCs w:val="32"/>
        </w:rPr>
        <w:t xml:space="preserve">Exhibit A: Problem Statement &amp; Current Conditions</w:t>
      </w:r>
    </w:p>
    <w:p>
      <w:pPr>
        <w:spacing w:after="100"/>
      </w:pPr>
    </w:p>
    <w:p>
      <w:pPr>
        <w:pStyle w:val="Heading2"/>
        <w:spacing w:after="200" w:before="200"/>
      </w:pPr>
      <w:r>
        <w:rPr>
          <w:rFonts w:ascii="Arial" w:cs="Arial" w:eastAsia="Arial" w:hAnsi="Arial"/>
          <w:b/>
          <w:bCs/>
          <w:color w:val="1B3A5C"/>
          <w:sz w:val="26"/>
          <w:szCs w:val="26"/>
        </w:rPr>
        <w:t xml:space="preserve">Client Statement (Verbatim)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DF4FC" w:color="EDF4FC" w:val="clear"/>
            <w:tcMar>
              <w:top w:type="dxa" w:w="160"/>
              <w:left w:type="dxa" w:w="240"/>
              <w:bottom w:type="dxa" w:w="160"/>
              <w:right w:type="dxa" w:w="240"/>
            </w:tcMar>
          </w:tcPr>
          <w:p>
            <w:pPr>
              <w:spacing w:after="80"/>
            </w:pPr>
            <w:r>
              <w:rPr>
                <w:rFonts w:ascii="Arial" w:cs="Arial" w:eastAsia="Arial" w:hAnsi="Arial"/>
                <w:i/>
                <w:iCs/>
                <w:color w:val="2D2D2D"/>
                <w:sz w:val="22"/>
                <w:szCs w:val="22"/>
              </w:rPr>
              <w:t xml:space="preserve">“The computer we previously used to program new fobs has been misplaced. We are looking to upgrade to Keri Cloud Borealis and program 1,000 new fobs. Please see the attached redacted proposal under ‘Work Station’ and provide a similar proposal if possible. We would also appreciate any additional proposals with alternative options if you are able to prepare them; however, we would like to receive the Keri Cloud Borealis proposal as soon as possible in order to review it at the Board Meeting next Wednesday.”</w:t>
            </w:r>
          </w:p>
          <w:p>
            <w:pPr>
              <w:spacing w:before="60"/>
              <w:jc w:val="right"/>
            </w:pPr>
            <w:r>
              <w:rPr>
                <w:rFonts w:ascii="Arial" w:cs="Arial" w:eastAsia="Arial" w:hAnsi="Arial"/>
                <w:b/>
                <w:bCs/>
                <w:i/>
                <w:iCs/>
                <w:color w:val="4A4A4A"/>
                <w:sz w:val="20"/>
                <w:szCs w:val="20"/>
              </w:rPr>
              <w:t xml:space="preserve">— Melissa Tolerton, Property Manager, PMP Management LLC</w:t>
            </w:r>
          </w:p>
        </w:tc>
      </w:tr>
    </w:tbl>
    <w:p>
      <w:pPr>
        <w:spacing w:after="200"/>
      </w:pPr>
    </w:p>
    <w:p>
      <w:pPr>
        <w:pStyle w:val="Heading2"/>
        <w:spacing w:after="200" w:before="200"/>
      </w:pPr>
      <w:r>
        <w:rPr>
          <w:rFonts w:ascii="Arial" w:cs="Arial" w:eastAsia="Arial" w:hAnsi="Arial"/>
          <w:b/>
          <w:bCs/>
          <w:color w:val="1B3A5C"/>
          <w:sz w:val="26"/>
          <w:szCs w:val="26"/>
        </w:rPr>
        <w:t xml:space="preserve">Assessment Summary</w:t>
      </w:r>
    </w:p>
    <w:p>
      <w:pPr>
        <w:spacing w:after="120" w:before="0"/>
        <w:jc w:val="left"/>
      </w:pPr>
      <w:r>
        <w:rPr>
          <w:rFonts w:ascii="Arial" w:cs="Arial" w:eastAsia="Arial" w:hAnsi="Arial"/>
          <w:b w:val="false"/>
          <w:bCs w:val="false"/>
          <w:i w:val="false"/>
          <w:iCs w:val="false"/>
          <w:color w:val="2D2D2D"/>
          <w:sz w:val="24"/>
          <w:szCs w:val="24"/>
        </w:rPr>
        <w:t xml:space="preserve">Following our remote site assessment, ASI 360 identified the following conditions:</w:t>
      </w:r>
    </w:p>
    <w:p>
      <w:pPr>
        <w:spacing w:after="60"/>
      </w:pPr>
    </w:p>
    <w:p>
      <w:pPr>
        <w:spacing w:after="60" w:before="0"/>
        <w:jc w:val="left"/>
      </w:pPr>
      <w:r>
        <w:rPr>
          <w:rFonts w:ascii="Arial" w:cs="Arial" w:eastAsia="Arial" w:hAnsi="Arial"/>
          <w:b/>
          <w:bCs/>
          <w:i w:val="false"/>
          <w:iCs w:val="false"/>
          <w:color w:val="2D2D2D"/>
          <w:sz w:val="24"/>
          <w:szCs w:val="24"/>
        </w:rPr>
        <w:t xml:space="preserve">Current System Status:</w:t>
      </w:r>
    </w:p>
    <w:p>
      <w:pPr>
        <w:pStyle w:val="ListParagraph"/>
        <w:numPr>
          <w:ilvl w:val="0"/>
          <w:numId w:val="3"/>
        </w:numPr>
        <w:spacing w:after="60"/>
      </w:pPr>
      <w:r>
        <w:rPr>
          <w:rFonts w:ascii="Arial" w:cs="Arial" w:eastAsia="Arial" w:hAnsi="Arial"/>
          <w:b w:val="false"/>
          <w:bCs w:val="false"/>
          <w:color w:val="2D2D2D"/>
          <w:sz w:val="24"/>
          <w:szCs w:val="24"/>
        </w:rPr>
        <w:t xml:space="preserve">Keri Systems PXL-500 access control platform — 5 controller boards (4 standard + 1 Tiger master)</w:t>
      </w:r>
    </w:p>
    <w:p>
      <w:pPr>
        <w:pStyle w:val="ListParagraph"/>
        <w:numPr>
          <w:ilvl w:val="0"/>
          <w:numId w:val="3"/>
        </w:numPr>
        <w:spacing w:after="60"/>
      </w:pPr>
      <w:r>
        <w:rPr>
          <w:rFonts w:ascii="Arial" w:cs="Arial" w:eastAsia="Arial" w:hAnsi="Arial"/>
          <w:b w:val="false"/>
          <w:bCs w:val="false"/>
          <w:color w:val="2D2D2D"/>
          <w:sz w:val="24"/>
          <w:szCs w:val="24"/>
        </w:rPr>
        <w:t xml:space="preserve">All controllers manufactured 2018-2019 — within expected service life</w:t>
      </w:r>
    </w:p>
    <w:p>
      <w:pPr>
        <w:pStyle w:val="ListParagraph"/>
        <w:numPr>
          <w:ilvl w:val="0"/>
          <w:numId w:val="3"/>
        </w:numPr>
        <w:spacing w:after="60"/>
      </w:pPr>
      <w:r>
        <w:rPr>
          <w:rFonts w:ascii="Arial" w:cs="Arial" w:eastAsia="Arial" w:hAnsi="Arial"/>
          <w:b w:val="false"/>
          <w:bCs w:val="false"/>
          <w:color w:val="2D2D2D"/>
          <w:sz w:val="24"/>
          <w:szCs w:val="24"/>
        </w:rPr>
        <w:t xml:space="preserve">All 10 proximity readers powered and responding (LED indicators active)</w:t>
      </w:r>
    </w:p>
    <w:p>
      <w:pPr>
        <w:pStyle w:val="ListParagraph"/>
        <w:numPr>
          <w:ilvl w:val="0"/>
          <w:numId w:val="3"/>
        </w:numPr>
        <w:spacing w:after="60"/>
      </w:pPr>
      <w:r>
        <w:rPr>
          <w:rFonts w:ascii="Arial" w:cs="Arial" w:eastAsia="Arial" w:hAnsi="Arial"/>
          <w:b w:val="false"/>
          <w:bCs w:val="false"/>
          <w:color w:val="2D2D2D"/>
          <w:sz w:val="24"/>
          <w:szCs w:val="24"/>
        </w:rPr>
        <w:t xml:space="preserve">All 10 controlled doors unlock without delay when valid credentials are presented</w:t>
      </w:r>
    </w:p>
    <w:p>
      <w:pPr>
        <w:pStyle w:val="ListParagraph"/>
        <w:numPr>
          <w:ilvl w:val="0"/>
          <w:numId w:val="3"/>
        </w:numPr>
        <w:spacing w:after="60"/>
      </w:pPr>
      <w:r>
        <w:rPr>
          <w:rFonts w:ascii="Arial" w:cs="Arial" w:eastAsia="Arial" w:hAnsi="Arial"/>
          <w:b w:val="false"/>
          <w:bCs w:val="false"/>
          <w:color w:val="2D2D2D"/>
          <w:sz w:val="24"/>
          <w:szCs w:val="24"/>
        </w:rPr>
        <w:t xml:space="preserve">KPS-11 power supply with dual battery backup — functional</w:t>
      </w:r>
    </w:p>
    <w:p>
      <w:pPr>
        <w:pStyle w:val="ListParagraph"/>
        <w:numPr>
          <w:ilvl w:val="0"/>
          <w:numId w:val="3"/>
        </w:numPr>
        <w:spacing w:after="60"/>
      </w:pPr>
      <w:r>
        <w:rPr>
          <w:rFonts w:ascii="Arial" w:cs="Arial" w:eastAsia="Arial" w:hAnsi="Arial"/>
          <w:b w:val="false"/>
          <w:bCs w:val="false"/>
          <w:color w:val="2D2D2D"/>
          <w:sz w:val="24"/>
          <w:szCs w:val="24"/>
        </w:rPr>
        <w:t xml:space="preserve">Network connectivity via Ethernet to Tiger controller — active</w:t>
      </w:r>
    </w:p>
    <w:p>
      <w:pPr>
        <w:spacing w:after="80"/>
      </w:pPr>
    </w:p>
    <w:p>
      <w:pPr>
        <w:spacing w:after="60" w:before="0"/>
        <w:jc w:val="left"/>
      </w:pPr>
      <w:r>
        <w:rPr>
          <w:rFonts w:ascii="Arial" w:cs="Arial" w:eastAsia="Arial" w:hAnsi="Arial"/>
          <w:b/>
          <w:bCs/>
          <w:i w:val="false"/>
          <w:iCs w:val="false"/>
          <w:color w:val="2D2D2D"/>
          <w:sz w:val="24"/>
          <w:szCs w:val="24"/>
        </w:rPr>
        <w:t xml:space="preserve">The Root Cause:</w:t>
      </w:r>
    </w:p>
    <w:p>
      <w:pPr>
        <w:pStyle w:val="ListParagraph"/>
        <w:numPr>
          <w:ilvl w:val="0"/>
          <w:numId w:val="3"/>
        </w:numPr>
        <w:spacing w:after="60"/>
      </w:pPr>
      <w:r>
        <w:rPr>
          <w:rFonts w:ascii="Arial" w:cs="Arial" w:eastAsia="Arial" w:hAnsi="Arial"/>
          <w:b w:val="false"/>
          <w:bCs w:val="false"/>
          <w:color w:val="2D2D2D"/>
          <w:sz w:val="24"/>
          <w:szCs w:val="24"/>
        </w:rPr>
        <w:t xml:space="preserve">The management workstation has been misplaced — this is the ONLY component that is non-functional</w:t>
      </w:r>
    </w:p>
    <w:p>
      <w:pPr>
        <w:pStyle w:val="ListParagraph"/>
        <w:numPr>
          <w:ilvl w:val="0"/>
          <w:numId w:val="3"/>
        </w:numPr>
        <w:spacing w:after="60"/>
      </w:pPr>
      <w:r>
        <w:rPr>
          <w:rFonts w:ascii="Arial" w:cs="Arial" w:eastAsia="Arial" w:hAnsi="Arial"/>
          <w:b w:val="false"/>
          <w:bCs w:val="false"/>
          <w:color w:val="2D2D2D"/>
          <w:sz w:val="24"/>
          <w:szCs w:val="24"/>
        </w:rPr>
        <w:t xml:space="preserve">Without the workstation, PMP cannot: issue new fobs, deactivate lost/stolen fobs, modify access schedules, run audit reports, or manage any credential lifecycle operations</w:t>
      </w:r>
    </w:p>
    <w:p>
      <w:pPr>
        <w:pStyle w:val="ListParagraph"/>
        <w:numPr>
          <w:ilvl w:val="0"/>
          <w:numId w:val="3"/>
        </w:numPr>
        <w:spacing w:after="60"/>
      </w:pPr>
      <w:r>
        <w:rPr>
          <w:rFonts w:ascii="Arial" w:cs="Arial" w:eastAsia="Arial" w:hAnsi="Arial"/>
          <w:b w:val="false"/>
          <w:bCs w:val="false"/>
          <w:color w:val="2D2D2D"/>
          <w:sz w:val="24"/>
          <w:szCs w:val="24"/>
        </w:rPr>
        <w:t xml:space="preserve">The system hardware itself is fully operational</w:t>
      </w:r>
    </w:p>
    <w:p>
      <w:pPr>
        <w:spacing w:after="100"/>
      </w:pPr>
    </w:p>
    <w:p>
      <w:pPr>
        <w:spacing w:after="120" w:before="0"/>
        <w:jc w:val="left"/>
      </w:pPr>
      <w:r>
        <w:rPr>
          <w:rFonts w:ascii="Arial" w:cs="Arial" w:eastAsia="Arial" w:hAnsi="Arial"/>
          <w:b/>
          <w:bCs/>
          <w:i w:val="false"/>
          <w:iCs w:val="false"/>
          <w:color w:val="1B3A5C"/>
          <w:sz w:val="26"/>
          <w:szCs w:val="26"/>
        </w:rPr>
        <w:t xml:space="preserve">Key Finding: </w:t>
      </w:r>
      <w:r>
        <w:rPr>
          <w:rFonts w:ascii="Arial" w:cs="Arial" w:eastAsia="Arial" w:hAnsi="Arial"/>
          <w:b w:val="false"/>
          <w:bCs w:val="false"/>
          <w:i w:val="false"/>
          <w:iCs w:val="false"/>
          <w:color w:val="2D2D2D"/>
          <w:sz w:val="24"/>
          <w:szCs w:val="24"/>
        </w:rPr>
        <w:t xml:space="preserve">This is a management problem, not a hardware problem. Replacing functional readers and controllers is unnecessary and wasteful.</w:t>
      </w:r>
    </w:p>
    <w:p>
      <w:r>
        <w:br w:type="page"/>
      </w:r>
    </w:p>
    <w:p>
      <w:pPr>
        <w:pStyle w:val="Heading1"/>
        <w:spacing w:after="200" w:before="400"/>
      </w:pPr>
      <w:r>
        <w:rPr>
          <w:rFonts w:ascii="Arial" w:cs="Arial" w:eastAsia="Arial" w:hAnsi="Arial"/>
          <w:b/>
          <w:bCs/>
          <w:color w:val="1B3A5C"/>
          <w:sz w:val="32"/>
          <w:szCs w:val="32"/>
        </w:rPr>
        <w:t xml:space="preserve">Exhibit B: Equipment Inventory &amp; Serial Registry</w:t>
      </w:r>
    </w:p>
    <w:p>
      <w:pPr>
        <w:spacing w:after="100"/>
      </w:pPr>
    </w:p>
    <w:p>
      <w:pPr>
        <w:pStyle w:val="Heading2"/>
        <w:spacing w:after="200" w:before="200"/>
      </w:pPr>
      <w:r>
        <w:rPr>
          <w:rFonts w:ascii="Arial" w:cs="Arial" w:eastAsia="Arial" w:hAnsi="Arial"/>
          <w:b/>
          <w:bCs/>
          <w:color w:val="1B3A5C"/>
          <w:sz w:val="26"/>
          <w:szCs w:val="26"/>
        </w:rPr>
        <w:t xml:space="preserve">Controller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1300"/>
        <w:gridCol w:w="2200"/>
        <w:gridCol w:w="2060"/>
      </w:tblGrid>
      <w:tr>
        <w:trPr>
          <w:tblHeader/>
        </w:trPr>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Serial Number</w:t>
            </w:r>
          </w:p>
        </w:tc>
        <w:tc>
          <w:tcPr>
            <w:tcW w:type="dxa" w:w="13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Manufactured</w:t>
            </w:r>
          </w:p>
        </w:tc>
        <w:tc>
          <w:tcPr>
            <w:tcW w:type="dxa" w:w="2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Condition</w:t>
            </w:r>
          </w:p>
        </w:tc>
        <w:tc>
          <w:tcPr>
            <w:tcW w:type="dxa" w:w="20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PXL500P190125385</w:t>
            </w:r>
          </w:p>
        </w:tc>
        <w:tc>
          <w:tcPr>
            <w:tcW w:type="dxa" w:w="13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2019</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Green LEDs active</w:t>
            </w:r>
          </w:p>
        </w:tc>
        <w:tc>
          <w:tcPr>
            <w:tcW w:type="dxa" w:w="20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w:t>
            </w:r>
          </w:p>
        </w:tc>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PXL500P182524043</w:t>
            </w:r>
          </w:p>
        </w:tc>
        <w:tc>
          <w:tcPr>
            <w:tcW w:type="dxa" w:w="13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2018</w:t>
            </w:r>
          </w:p>
        </w:tc>
        <w:tc>
          <w:tcPr>
            <w:tcW w:type="dxa" w:w="2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Green LEDs active</w:t>
            </w:r>
          </w:p>
        </w:tc>
        <w:tc>
          <w:tcPr>
            <w:tcW w:type="dxa" w:w="20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PXL500P190125385</w:t>
            </w:r>
          </w:p>
        </w:tc>
        <w:tc>
          <w:tcPr>
            <w:tcW w:type="dxa" w:w="13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2019</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Green LEDs active</w:t>
            </w:r>
          </w:p>
        </w:tc>
        <w:tc>
          <w:tcPr>
            <w:tcW w:type="dxa" w:w="20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 (verify ≠ #1)</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w:t>
            </w:r>
          </w:p>
        </w:tc>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PXL500P190125374</w:t>
            </w:r>
          </w:p>
        </w:tc>
        <w:tc>
          <w:tcPr>
            <w:tcW w:type="dxa" w:w="13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2019</w:t>
            </w:r>
          </w:p>
        </w:tc>
        <w:tc>
          <w:tcPr>
            <w:tcW w:type="dxa" w:w="2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Cables need tidying</w:t>
            </w:r>
          </w:p>
        </w:tc>
        <w:tc>
          <w:tcPr>
            <w:tcW w:type="dxa" w:w="20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 (Tiger)</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PXL500P190125373</w:t>
            </w:r>
          </w:p>
        </w:tc>
        <w:tc>
          <w:tcPr>
            <w:tcW w:type="dxa" w:w="13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2019</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SB-593 satellite board</w:t>
            </w:r>
          </w:p>
        </w:tc>
        <w:tc>
          <w:tcPr>
            <w:tcW w:type="dxa" w:w="20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 as master</w:t>
            </w:r>
          </w:p>
        </w:tc>
      </w:tr>
    </w:tbl>
    <w:p>
      <w:pPr>
        <w:spacing w:after="200"/>
      </w:pPr>
    </w:p>
    <w:p>
      <w:pPr>
        <w:pStyle w:val="Heading2"/>
        <w:spacing w:after="200" w:before="200"/>
      </w:pPr>
      <w:r>
        <w:rPr>
          <w:rFonts w:ascii="Arial" w:cs="Arial" w:eastAsia="Arial" w:hAnsi="Arial"/>
          <w:b/>
          <w:bCs/>
          <w:color w:val="1B3A5C"/>
          <w:sz w:val="26"/>
          <w:szCs w:val="26"/>
        </w:rPr>
        <w:t xml:space="preserve">Power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200"/>
        <w:gridCol w:w="1960"/>
      </w:tblGrid>
      <w:tr>
        <w:trPr>
          <w:tblHeader/>
        </w:trPr>
        <w:tc>
          <w:tcPr>
            <w:tcW w:type="dxa" w:w="20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P/N</w:t>
            </w:r>
          </w:p>
        </w:tc>
        <w:tc>
          <w:tcPr>
            <w:tcW w:type="dxa" w:w="2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Condition</w:t>
            </w:r>
          </w:p>
        </w:tc>
        <w:tc>
          <w:tcPr>
            <w:tcW w:type="dxa" w:w="19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Power Supply</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KPS-11</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05279-001</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Transformer</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ESD X-1656</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t>
            </w:r>
          </w:p>
        </w:tc>
        <w:tc>
          <w:tcPr>
            <w:tcW w:type="dxa" w:w="2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16VAC 3.5A</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Battery 1</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Interstate FAS1075</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Test on-site</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Replace if &gt;3 years</w:t>
            </w:r>
          </w:p>
        </w:tc>
      </w:tr>
      <w:tr>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Battery 2</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Interstate FAS1075</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t>
            </w:r>
          </w:p>
        </w:tc>
        <w:tc>
          <w:tcPr>
            <w:tcW w:type="dxa" w:w="2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Test on-site</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Replace if &gt;3 years</w:t>
            </w:r>
          </w:p>
        </w:tc>
      </w:tr>
    </w:tbl>
    <w:p>
      <w:pPr>
        <w:spacing w:after="100"/>
      </w:pPr>
    </w:p>
    <w:p>
      <w:pPr>
        <w:spacing w:after="120" w:before="0"/>
        <w:jc w:val="left"/>
      </w:pPr>
      <w:r>
        <w:rPr>
          <w:rFonts w:ascii="Arial" w:cs="Arial" w:eastAsia="Arial" w:hAnsi="Arial"/>
          <w:b w:val="false"/>
          <w:bCs w:val="false"/>
          <w:i/>
          <w:iCs/>
          <w:color w:val="4A4A4A"/>
          <w:sz w:val="20"/>
          <w:szCs w:val="20"/>
        </w:rPr>
        <w:t xml:space="preserve">Note: Figure references correspond to photos submitted via the ASI 360 Field Intelligence Brief on March 2026.</w:t>
      </w:r>
    </w:p>
    <w:p>
      <w:r>
        <w:br w:type="page"/>
      </w:r>
    </w:p>
    <w:p>
      <w:pPr>
        <w:pStyle w:val="Heading1"/>
        <w:spacing w:after="200" w:before="400"/>
      </w:pPr>
      <w:r>
        <w:rPr>
          <w:rFonts w:ascii="Arial" w:cs="Arial" w:eastAsia="Arial" w:hAnsi="Arial"/>
          <w:b/>
          <w:bCs/>
          <w:color w:val="1B3A5C"/>
          <w:sz w:val="32"/>
          <w:szCs w:val="32"/>
        </w:rPr>
        <w:t xml:space="preserve">Exhibit C: Reader Survey &amp; Condition Assessment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1400"/>
        <w:gridCol w:w="900"/>
        <w:gridCol w:w="3160"/>
      </w:tblGrid>
      <w:tr>
        <w:trPr>
          <w:tblHeader/>
        </w:trPr>
        <w:tc>
          <w:tcPr>
            <w:tcW w:type="dxa" w:w="7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Reader</w:t>
            </w:r>
          </w:p>
        </w:tc>
        <w:tc>
          <w:tcPr>
            <w:tcW w:type="dxa" w:w="14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Mount Location</w:t>
            </w:r>
          </w:p>
        </w:tc>
        <w:tc>
          <w:tcPr>
            <w:tcW w:type="dxa" w:w="14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Condition</w:t>
            </w:r>
          </w:p>
        </w:tc>
        <w:tc>
          <w:tcPr>
            <w:tcW w:type="dxa" w:w="9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LED</w:t>
            </w:r>
          </w:p>
        </w:tc>
        <w:tc>
          <w:tcPr>
            <w:tcW w:type="dxa" w:w="31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Wood/stucco exterior</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Green</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NXT-2R/3R</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Wood doorframe</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Poor — UV yellowed</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Replace with CSR-6.2L</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NXT-2R/3R</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Stucco exterior</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Poor — severe UV, dirty</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Replace with CSR-6.2L</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Stucco near gate</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scratched</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Off/dim</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Stucco near gate</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Off/dim</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6</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Stucco near railing</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7</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Metal gate frame</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weathered</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8</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Metal gate frame</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weathered</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9</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Metal gate frame</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edge wear</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10</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Metal gate frame</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debris</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bl>
    <w:p>
      <w:pPr>
        <w:spacing w:after="100"/>
      </w:pPr>
    </w:p>
    <w:p>
      <w:pPr>
        <w:spacing w:after="120" w:before="0"/>
        <w:jc w:val="left"/>
      </w:pPr>
      <w:r>
        <w:rPr>
          <w:rFonts w:ascii="Arial" w:cs="Arial" w:eastAsia="Arial" w:hAnsi="Arial"/>
          <w:b/>
          <w:bCs/>
          <w:i w:val="false"/>
          <w:iCs w:val="false"/>
          <w:color w:val="2D2D2D"/>
          <w:sz w:val="24"/>
          <w:szCs w:val="24"/>
        </w:rPr>
        <w:t xml:space="preserve">Summary: </w:t>
      </w:r>
      <w:r>
        <w:rPr>
          <w:rFonts w:ascii="Arial" w:cs="Arial" w:eastAsia="Arial" w:hAnsi="Arial"/>
          <w:b w:val="false"/>
          <w:bCs w:val="false"/>
          <w:i w:val="false"/>
          <w:iCs w:val="false"/>
          <w:color w:val="2D2D2D"/>
          <w:sz w:val="24"/>
          <w:szCs w:val="24"/>
        </w:rPr>
        <w:t xml:space="preserve">8 of 10 readers are functional and should be retained. Only Readers 2 and 3 (NXT-2R/3R type) show significant UV degradation requiring replacement. These two locations are recommended for upgrade to CSR-6.2L Connekt Smart Reader/Keypad units, adding keypad PIN and mobile credential capability at the main clubhouse entry and pool access point.</w:t>
      </w:r>
    </w:p>
    <w:p>
      <w:r>
        <w:br w:type="page"/>
      </w:r>
    </w:p>
    <w:p>
      <w:pPr>
        <w:pStyle w:val="Heading1"/>
        <w:spacing w:after="200" w:before="400"/>
      </w:pPr>
      <w:r>
        <w:rPr>
          <w:rFonts w:ascii="Arial" w:cs="Arial" w:eastAsia="Arial" w:hAnsi="Arial"/>
          <w:b/>
          <w:bCs/>
          <w:color w:val="1B3A5C"/>
          <w:sz w:val="32"/>
          <w:szCs w:val="32"/>
        </w:rPr>
        <w:t xml:space="preserve">Exhibit D: Competitor Analysis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30" w:before="30"/>
              <w:jc w:val="center"/>
            </w:pPr>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30" w:before="30"/>
              <w:jc w:val="center"/>
            </w:pPr>
            <w:r>
              <w:rPr>
                <w:rFonts w:ascii="Arial" w:cs="Arial" w:eastAsia="Arial" w:hAnsi="Arial"/>
                <w:b/>
                <w:bCs/>
                <w:color w:val="FFFFFF"/>
                <w:sz w:val="20"/>
                <w:szCs w:val="20"/>
              </w:rPr>
              <w:t xml:space="preserve">Competitor A</w:t>
            </w:r>
          </w:p>
        </w:tc>
        <w:tc>
          <w:tcPr>
            <w:tcW w:type="dxa" w:w="328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30" w:before="30"/>
              <w:jc w:val="center"/>
            </w:pPr>
            <w:r>
              <w:rPr>
                <w:rFonts w:ascii="Arial" w:cs="Arial" w:eastAsia="Arial" w:hAnsi="Arial"/>
                <w:b/>
                <w:bCs/>
                <w:color w:val="FFFFFF"/>
                <w:sz w:val="20"/>
                <w:szCs w:val="20"/>
              </w:rPr>
              <w:t xml:space="preserve">ASI 360</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Approach</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Replace all — cloud only</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bCs/>
                <w:color w:val="2D2D2D"/>
                <w:sz w:val="20"/>
                <w:szCs w:val="20"/>
              </w:rPr>
              <w:t xml:space="preserve">Smart Migration — hybrid</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Readers replaced</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All 10 (8 functional)</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2 only (UV damaged)</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Entry methods</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1 (fob)</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3 (fob + mobile + keypad)</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Mobile credentials</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C62828"/>
                <w:sz w:val="20"/>
                <w:szCs w:val="20"/>
              </w:rPr>
              <w:t xml:space="preserve">Not offered</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200 Connekt included</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Keypad PIN codes</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C62828"/>
                <w:sz w:val="20"/>
                <w:szCs w:val="20"/>
              </w:rPr>
              <w:t xml:space="preserve">Not offered</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At main entry + pool</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Local management</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None — cloud only</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Workstation (Doors.NET)</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Fob strategy</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Buy 1,000 new</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Recycle existing via USB reader</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Migration plan</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Day-one cutover</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6-week gradual transition</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Failover if internet down</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C62828"/>
                <w:sz w:val="20"/>
                <w:szCs w:val="20"/>
              </w:rPr>
              <w:t xml:space="preserve">No local backup</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8 doors run locally</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Monthly recurring</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$150/mo (10 doors)</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$39.90/mo (2 doors)</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bCs/>
                <w:color w:val="2D2D2D"/>
                <w:sz w:val="20"/>
                <w:szCs w:val="20"/>
              </w:rPr>
              <w:t xml:space="preserve">Year 1 total</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~$15,000</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bCs/>
                <w:color w:val="2E7D32"/>
                <w:sz w:val="20"/>
                <w:szCs w:val="20"/>
              </w:rPr>
              <w:t xml:space="preserve">$11,453</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bCs/>
                <w:color w:val="2D2D2D"/>
                <w:sz w:val="20"/>
                <w:szCs w:val="20"/>
              </w:rPr>
              <w:t xml:space="preserve">5-year total</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~$22,200</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bCs/>
                <w:color w:val="2E7D32"/>
                <w:sz w:val="20"/>
                <w:szCs w:val="20"/>
              </w:rPr>
              <w:t xml:space="preserve">$14,649</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bCs/>
                <w:color w:val="2D2D2D"/>
                <w:sz w:val="20"/>
                <w:szCs w:val="20"/>
              </w:rPr>
              <w:t xml:space="preserve">10-year total</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~$33,000</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bCs/>
                <w:color w:val="2E7D32"/>
                <w:sz w:val="20"/>
                <w:szCs w:val="20"/>
              </w:rPr>
              <w:t xml:space="preserve">$18,243</w:t>
            </w:r>
          </w:p>
        </w:tc>
      </w:tr>
    </w:tbl>
    <w:p>
      <w:r>
        <w:br w:type="page"/>
      </w:r>
    </w:p>
    <w:p>
      <w:pPr>
        <w:pStyle w:val="Heading1"/>
        <w:spacing w:after="200" w:before="400"/>
      </w:pPr>
      <w:r>
        <w:rPr>
          <w:rFonts w:ascii="Arial" w:cs="Arial" w:eastAsia="Arial" w:hAnsi="Arial"/>
          <w:b/>
          <w:bCs/>
          <w:color w:val="1B3A5C"/>
          <w:sz w:val="32"/>
          <w:szCs w:val="32"/>
        </w:rPr>
        <w:t xml:space="preserve">Exhibit E: Proposed Solution — Hybrid Architecture</w:t>
      </w:r>
    </w:p>
    <w:p>
      <w:pPr>
        <w:spacing w:after="100"/>
      </w:pPr>
    </w:p>
    <w:p>
      <w:pPr>
        <w:pStyle w:val="Heading2"/>
        <w:spacing w:after="200" w:before="200"/>
      </w:pPr>
      <w:r>
        <w:rPr>
          <w:rFonts w:ascii="Arial" w:cs="Arial" w:eastAsia="Arial" w:hAnsi="Arial"/>
          <w:b/>
          <w:bCs/>
          <w:color w:val="1B3A5C"/>
          <w:sz w:val="26"/>
          <w:szCs w:val="26"/>
        </w:rPr>
        <w:t xml:space="preserve">Architecture Overview</w:t>
      </w:r>
    </w:p>
    <w:p>
      <w:pPr>
        <w:spacing w:after="120" w:before="0"/>
        <w:jc w:val="left"/>
      </w:pPr>
      <w:r>
        <w:rPr>
          <w:rFonts w:ascii="Arial" w:cs="Arial" w:eastAsia="Arial" w:hAnsi="Arial"/>
          <w:b w:val="false"/>
          <w:bCs w:val="false"/>
          <w:i w:val="false"/>
          <w:iCs w:val="false"/>
          <w:color w:val="2D2D2D"/>
          <w:sz w:val="24"/>
          <w:szCs w:val="24"/>
        </w:rPr>
        <w:t xml:space="preserve">The ASI 360 Smart Migration uses a hybrid architecture where:</w:t>
      </w:r>
    </w:p>
    <w:p>
      <w:pPr>
        <w:pStyle w:val="ListParagraph"/>
        <w:numPr>
          <w:ilvl w:val="0"/>
          <w:numId w:val="3"/>
        </w:numPr>
        <w:spacing w:after="60"/>
      </w:pPr>
      <w:r>
        <w:rPr>
          <w:rFonts w:ascii="Arial" w:cs="Arial" w:eastAsia="Arial" w:hAnsi="Arial"/>
          <w:b w:val="false"/>
          <w:bCs w:val="false"/>
          <w:color w:val="2D2D2D"/>
          <w:sz w:val="24"/>
          <w:szCs w:val="24"/>
        </w:rPr>
        <w:t xml:space="preserve">8 existing doors continue operating on the proven PXL-500 platform, managed locally via Doors.NET</w:t>
      </w:r>
    </w:p>
    <w:p>
      <w:pPr>
        <w:pStyle w:val="ListParagraph"/>
        <w:numPr>
          <w:ilvl w:val="0"/>
          <w:numId w:val="3"/>
        </w:numPr>
        <w:spacing w:after="60"/>
      </w:pPr>
      <w:r>
        <w:rPr>
          <w:rFonts w:ascii="Arial" w:cs="Arial" w:eastAsia="Arial" w:hAnsi="Arial"/>
          <w:b w:val="false"/>
          <w:bCs w:val="false"/>
          <w:color w:val="2D2D2D"/>
          <w:sz w:val="24"/>
          <w:szCs w:val="24"/>
        </w:rPr>
        <w:t xml:space="preserve">2 key entry points (Main Clubhouse Entry + Pool Gate) upgrade to Keri Borealis cloud with Farpointe CSR-6.2L Connekt Smart Reader/Keypad units</w:t>
      </w:r>
    </w:p>
    <w:p>
      <w:pPr>
        <w:pStyle w:val="ListParagraph"/>
        <w:numPr>
          <w:ilvl w:val="0"/>
          <w:numId w:val="3"/>
        </w:numPr>
        <w:spacing w:after="60"/>
      </w:pPr>
      <w:r>
        <w:rPr>
          <w:rFonts w:ascii="Arial" w:cs="Arial" w:eastAsia="Arial" w:hAnsi="Arial"/>
          <w:b w:val="false"/>
          <w:bCs w:val="false"/>
          <w:color w:val="2D2D2D"/>
          <w:sz w:val="24"/>
          <w:szCs w:val="24"/>
        </w:rPr>
        <w:t xml:space="preserve">A single ASI 360-managed workstation provides unified management of both systems</w:t>
      </w:r>
    </w:p>
    <w:p>
      <w:pPr>
        <w:pStyle w:val="ListParagraph"/>
        <w:numPr>
          <w:ilvl w:val="0"/>
          <w:numId w:val="3"/>
        </w:numPr>
        <w:spacing w:after="60"/>
      </w:pPr>
      <w:r>
        <w:rPr>
          <w:rFonts w:ascii="Arial" w:cs="Arial" w:eastAsia="Arial" w:hAnsi="Arial"/>
          <w:b w:val="false"/>
          <w:bCs w:val="false"/>
          <w:color w:val="2D2D2D"/>
          <w:sz w:val="24"/>
          <w:szCs w:val="24"/>
        </w:rPr>
        <w:t xml:space="preserve">Neither system is a single point of failure — they back each other up</w:t>
      </w:r>
    </w:p>
    <w:p>
      <w:pPr>
        <w:spacing w:after="100"/>
      </w:pPr>
    </w:p>
    <w:p>
      <w:pPr>
        <w:pStyle w:val="Heading2"/>
        <w:spacing w:after="200" w:before="200"/>
      </w:pPr>
      <w:r>
        <w:rPr>
          <w:rFonts w:ascii="Arial" w:cs="Arial" w:eastAsia="Arial" w:hAnsi="Arial"/>
          <w:b/>
          <w:bCs/>
          <w:color w:val="1B3A5C"/>
          <w:sz w:val="26"/>
          <w:szCs w:val="26"/>
        </w:rPr>
        <w:t xml:space="preserve">Phase 1 — Restore Management (Immediate)</w:t>
      </w:r>
    </w:p>
    <w:p>
      <w:pPr>
        <w:pStyle w:val="ListParagraph"/>
        <w:numPr>
          <w:ilvl w:val="0"/>
          <w:numId w:val="3"/>
        </w:numPr>
        <w:spacing w:after="60"/>
      </w:pPr>
      <w:r>
        <w:rPr>
          <w:rFonts w:ascii="Arial" w:cs="Arial" w:eastAsia="Arial" w:hAnsi="Arial"/>
          <w:b w:val="false"/>
          <w:bCs w:val="false"/>
          <w:color w:val="2D2D2D"/>
          <w:sz w:val="24"/>
          <w:szCs w:val="24"/>
        </w:rPr>
        <w:t xml:space="preserve">Deploy ASI 360 managed workstation with Doors.NET software</w:t>
      </w:r>
    </w:p>
    <w:p>
      <w:pPr>
        <w:pStyle w:val="ListParagraph"/>
        <w:numPr>
          <w:ilvl w:val="0"/>
          <w:numId w:val="3"/>
        </w:numPr>
        <w:spacing w:after="60"/>
      </w:pPr>
      <w:r>
        <w:rPr>
          <w:rFonts w:ascii="Arial" w:cs="Arial" w:eastAsia="Arial" w:hAnsi="Arial"/>
          <w:b w:val="false"/>
          <w:bCs w:val="false"/>
          <w:color w:val="2D2D2D"/>
          <w:sz w:val="24"/>
          <w:szCs w:val="24"/>
        </w:rPr>
        <w:t xml:space="preserve">Connect to existing PXL-500 controllers via LAN-520AESP Ethernet module</w:t>
      </w:r>
    </w:p>
    <w:p>
      <w:pPr>
        <w:pStyle w:val="ListParagraph"/>
        <w:numPr>
          <w:ilvl w:val="0"/>
          <w:numId w:val="3"/>
        </w:numPr>
        <w:spacing w:after="60"/>
      </w:pPr>
      <w:r>
        <w:rPr>
          <w:rFonts w:ascii="Arial" w:cs="Arial" w:eastAsia="Arial" w:hAnsi="Arial"/>
          <w:b w:val="false"/>
          <w:bCs w:val="false"/>
          <w:color w:val="2D2D2D"/>
          <w:sz w:val="24"/>
          <w:szCs w:val="24"/>
        </w:rPr>
        <w:t xml:space="preserve">Extract all existing credentials from controller memory</w:t>
      </w:r>
    </w:p>
    <w:p>
      <w:pPr>
        <w:pStyle w:val="ListParagraph"/>
        <w:numPr>
          <w:ilvl w:val="0"/>
          <w:numId w:val="3"/>
        </w:numPr>
        <w:spacing w:after="60"/>
      </w:pPr>
      <w:r>
        <w:rPr>
          <w:rFonts w:ascii="Arial" w:cs="Arial" w:eastAsia="Arial" w:hAnsi="Arial"/>
          <w:b w:val="false"/>
          <w:bCs w:val="false"/>
          <w:color w:val="2D2D2D"/>
          <w:sz w:val="24"/>
          <w:szCs w:val="24"/>
        </w:rPr>
        <w:t xml:space="preserve">Build resident database from PMP records</w:t>
      </w:r>
    </w:p>
    <w:p>
      <w:pPr>
        <w:pStyle w:val="ListParagraph"/>
        <w:numPr>
          <w:ilvl w:val="0"/>
          <w:numId w:val="3"/>
        </w:numPr>
        <w:spacing w:after="60"/>
      </w:pPr>
      <w:r>
        <w:rPr>
          <w:rFonts w:ascii="Arial" w:cs="Arial" w:eastAsia="Arial" w:hAnsi="Arial"/>
          <w:b w:val="false"/>
          <w:bCs w:val="false"/>
          <w:color w:val="2D2D2D"/>
          <w:sz w:val="24"/>
          <w:szCs w:val="24"/>
        </w:rPr>
        <w:t xml:space="preserve">Install USB enrollment reader for fob recycling</w:t>
      </w:r>
    </w:p>
    <w:p>
      <w:pPr>
        <w:pStyle w:val="ListParagraph"/>
        <w:numPr>
          <w:ilvl w:val="0"/>
          <w:numId w:val="3"/>
        </w:numPr>
        <w:spacing w:after="60"/>
      </w:pPr>
      <w:r>
        <w:rPr>
          <w:rFonts w:ascii="Arial" w:cs="Arial" w:eastAsia="Arial" w:hAnsi="Arial"/>
          <w:b w:val="false"/>
          <w:bCs w:val="false"/>
          <w:color w:val="2D2D2D"/>
          <w:sz w:val="24"/>
          <w:szCs w:val="24"/>
        </w:rPr>
        <w:t xml:space="preserve">System becomes immediately manageable again</w:t>
      </w:r>
    </w:p>
    <w:p>
      <w:pPr>
        <w:spacing w:after="100"/>
      </w:pPr>
    </w:p>
    <w:p>
      <w:pPr>
        <w:pStyle w:val="Heading2"/>
        <w:spacing w:after="200" w:before="200"/>
      </w:pPr>
      <w:r>
        <w:rPr>
          <w:rFonts w:ascii="Arial" w:cs="Arial" w:eastAsia="Arial" w:hAnsi="Arial"/>
          <w:b/>
          <w:bCs/>
          <w:color w:val="1B3A5C"/>
          <w:sz w:val="26"/>
          <w:szCs w:val="26"/>
        </w:rPr>
        <w:t xml:space="preserve">Phase 2 — Add Modern Access at Key Doors (Weeks 3-4)</w:t>
      </w:r>
    </w:p>
    <w:p>
      <w:pPr>
        <w:pStyle w:val="ListParagraph"/>
        <w:numPr>
          <w:ilvl w:val="0"/>
          <w:numId w:val="3"/>
        </w:numPr>
        <w:spacing w:after="60"/>
      </w:pPr>
      <w:r>
        <w:rPr>
          <w:rFonts w:ascii="Arial" w:cs="Arial" w:eastAsia="Arial" w:hAnsi="Arial"/>
          <w:b w:val="false"/>
          <w:bCs w:val="false"/>
          <w:color w:val="2D2D2D"/>
          <w:sz w:val="24"/>
          <w:szCs w:val="24"/>
        </w:rPr>
        <w:t xml:space="preserve">Replace UV-damaged Readers 2 and 3 with CSR-6.2L Connekt Smart Reader/Keypad</w:t>
      </w:r>
    </w:p>
    <w:p>
      <w:pPr>
        <w:pStyle w:val="ListParagraph"/>
        <w:numPr>
          <w:ilvl w:val="0"/>
          <w:numId w:val="3"/>
        </w:numPr>
        <w:spacing w:after="60"/>
      </w:pPr>
      <w:r>
        <w:rPr>
          <w:rFonts w:ascii="Arial" w:cs="Arial" w:eastAsia="Arial" w:hAnsi="Arial"/>
          <w:b w:val="false"/>
          <w:bCs w:val="false"/>
          <w:color w:val="2D2D2D"/>
          <w:sz w:val="24"/>
          <w:szCs w:val="24"/>
        </w:rPr>
        <w:t xml:space="preserve">Install Borealis Hub for cloud management of 2 doors</w:t>
      </w:r>
    </w:p>
    <w:p>
      <w:pPr>
        <w:pStyle w:val="ListParagraph"/>
        <w:numPr>
          <w:ilvl w:val="0"/>
          <w:numId w:val="3"/>
        </w:numPr>
        <w:spacing w:after="60"/>
      </w:pPr>
      <w:r>
        <w:rPr>
          <w:rFonts w:ascii="Arial" w:cs="Arial" w:eastAsia="Arial" w:hAnsi="Arial"/>
          <w:b w:val="false"/>
          <w:bCs w:val="false"/>
          <w:color w:val="2D2D2D"/>
          <w:sz w:val="24"/>
          <w:szCs w:val="24"/>
        </w:rPr>
        <w:t xml:space="preserve">Enable three entry methods at main entry + pool: fob tap, mobile phone, keypad PIN</w:t>
      </w:r>
    </w:p>
    <w:p>
      <w:pPr>
        <w:pStyle w:val="ListParagraph"/>
        <w:numPr>
          <w:ilvl w:val="0"/>
          <w:numId w:val="3"/>
        </w:numPr>
        <w:spacing w:after="60"/>
      </w:pPr>
      <w:r>
        <w:rPr>
          <w:rFonts w:ascii="Arial" w:cs="Arial" w:eastAsia="Arial" w:hAnsi="Arial"/>
          <w:b w:val="false"/>
          <w:bCs w:val="false"/>
          <w:color w:val="2D2D2D"/>
          <w:sz w:val="24"/>
          <w:szCs w:val="24"/>
        </w:rPr>
        <w:t xml:space="preserve">Begin mobile credential enrollment via email</w:t>
      </w:r>
    </w:p>
    <w:p>
      <w:pPr>
        <w:pStyle w:val="ListParagraph"/>
        <w:numPr>
          <w:ilvl w:val="0"/>
          <w:numId w:val="3"/>
        </w:numPr>
        <w:spacing w:after="60"/>
      </w:pPr>
      <w:r>
        <w:rPr>
          <w:rFonts w:ascii="Arial" w:cs="Arial" w:eastAsia="Arial" w:hAnsi="Arial"/>
          <w:b w:val="false"/>
          <w:bCs w:val="false"/>
          <w:color w:val="2D2D2D"/>
          <w:sz w:val="24"/>
          <w:szCs w:val="24"/>
        </w:rPr>
        <w:t xml:space="preserve">Distribute business cards with temporary PIN codes to all 396 units</w:t>
      </w:r>
    </w:p>
    <w:p>
      <w:pPr>
        <w:spacing w:after="100"/>
      </w:pPr>
    </w:p>
    <w:p>
      <w:pPr>
        <w:pStyle w:val="Heading2"/>
        <w:spacing w:after="200" w:before="200"/>
      </w:pPr>
      <w:r>
        <w:rPr>
          <w:rFonts w:ascii="Arial" w:cs="Arial" w:eastAsia="Arial" w:hAnsi="Arial"/>
          <w:b/>
          <w:bCs/>
          <w:color w:val="1B3A5C"/>
          <w:sz w:val="26"/>
          <w:szCs w:val="26"/>
        </w:rPr>
        <w:t xml:space="preserve">Future Expansion (When Budget Allows)</w:t>
      </w:r>
    </w:p>
    <w:p>
      <w:pPr>
        <w:pStyle w:val="ListParagraph"/>
        <w:numPr>
          <w:ilvl w:val="0"/>
          <w:numId w:val="3"/>
        </w:numPr>
        <w:spacing w:after="60"/>
      </w:pPr>
      <w:r>
        <w:rPr>
          <w:rFonts w:ascii="Arial" w:cs="Arial" w:eastAsia="Arial" w:hAnsi="Arial"/>
          <w:b w:val="false"/>
          <w:bCs w:val="false"/>
          <w:color w:val="2D2D2D"/>
          <w:sz w:val="24"/>
          <w:szCs w:val="24"/>
        </w:rPr>
        <w:t xml:space="preserve">Add Borealis doors incrementally: $555/reader + $19.95/door/month</w:t>
      </w:r>
    </w:p>
    <w:p>
      <w:pPr>
        <w:pStyle w:val="ListParagraph"/>
        <w:numPr>
          <w:ilvl w:val="0"/>
          <w:numId w:val="3"/>
        </w:numPr>
        <w:spacing w:after="60"/>
      </w:pPr>
      <w:r>
        <w:rPr>
          <w:rFonts w:ascii="Arial" w:cs="Arial" w:eastAsia="Arial" w:hAnsi="Arial"/>
          <w:b w:val="false"/>
          <w:bCs w:val="false"/>
          <w:color w:val="2D2D2D"/>
          <w:sz w:val="24"/>
          <w:szCs w:val="24"/>
        </w:rPr>
        <w:t xml:space="preserve">Today: 8 NXT + 2 Borealis = $479/yr</w:t>
      </w:r>
    </w:p>
    <w:p>
      <w:pPr>
        <w:pStyle w:val="ListParagraph"/>
        <w:numPr>
          <w:ilvl w:val="0"/>
          <w:numId w:val="3"/>
        </w:numPr>
        <w:spacing w:after="60"/>
      </w:pPr>
      <w:r>
        <w:rPr>
          <w:rFonts w:ascii="Arial" w:cs="Arial" w:eastAsia="Arial" w:hAnsi="Arial"/>
          <w:b w:val="false"/>
          <w:bCs w:val="false"/>
          <w:color w:val="2D2D2D"/>
          <w:sz w:val="24"/>
          <w:szCs w:val="24"/>
        </w:rPr>
        <w:t xml:space="preserve">Future: 6 NXT + 4 Borealis = $958/yr</w:t>
      </w:r>
    </w:p>
    <w:p>
      <w:pPr>
        <w:pStyle w:val="ListParagraph"/>
        <w:numPr>
          <w:ilvl w:val="0"/>
          <w:numId w:val="3"/>
        </w:numPr>
        <w:spacing w:after="60"/>
      </w:pPr>
      <w:r>
        <w:rPr>
          <w:rFonts w:ascii="Arial" w:cs="Arial" w:eastAsia="Arial" w:hAnsi="Arial"/>
          <w:b w:val="false"/>
          <w:bCs w:val="false"/>
          <w:color w:val="2D2D2D"/>
          <w:sz w:val="24"/>
          <w:szCs w:val="24"/>
        </w:rPr>
        <w:t xml:space="preserve">Full cloud: 0 NXT + 10 Borealis = $2,394/yr</w:t>
      </w:r>
    </w:p>
    <w:p>
      <w:pPr>
        <w:pStyle w:val="ListParagraph"/>
        <w:numPr>
          <w:ilvl w:val="0"/>
          <w:numId w:val="3"/>
        </w:numPr>
        <w:spacing w:after="60"/>
      </w:pPr>
      <w:r>
        <w:rPr>
          <w:rFonts w:ascii="Arial" w:cs="Arial" w:eastAsia="Arial" w:hAnsi="Arial"/>
          <w:b w:val="false"/>
          <w:bCs w:val="false"/>
          <w:color w:val="2D2D2D"/>
          <w:sz w:val="24"/>
          <w:szCs w:val="24"/>
        </w:rPr>
        <w:t xml:space="preserve">Board controls the pace — no pressure to go all-cloud</w:t>
      </w:r>
    </w:p>
    <w:p>
      <w:r>
        <w:br w:type="page"/>
      </w:r>
    </w:p>
    <w:p>
      <w:pPr>
        <w:pStyle w:val="Heading1"/>
        <w:spacing w:after="200" w:before="400"/>
      </w:pPr>
      <w:r>
        <w:rPr>
          <w:rFonts w:ascii="Arial" w:cs="Arial" w:eastAsia="Arial" w:hAnsi="Arial"/>
          <w:b/>
          <w:bCs/>
          <w:color w:val="1B3A5C"/>
          <w:sz w:val="32"/>
          <w:szCs w:val="32"/>
        </w:rPr>
        <w:t xml:space="preserve">Exhibit F: Fob Recycling &amp; Credential Management Workflow</w:t>
      </w:r>
    </w:p>
    <w:p>
      <w:pPr>
        <w:spacing w:after="100"/>
      </w:pPr>
    </w:p>
    <w:p>
      <w:pPr>
        <w:pStyle w:val="Heading2"/>
        <w:spacing w:after="200" w:before="200"/>
      </w:pPr>
      <w:r>
        <w:rPr>
          <w:rFonts w:ascii="Arial" w:cs="Arial" w:eastAsia="Arial" w:hAnsi="Arial"/>
          <w:b/>
          <w:bCs/>
          <w:color w:val="1B3A5C"/>
          <w:sz w:val="26"/>
          <w:szCs w:val="26"/>
        </w:rPr>
        <w:t xml:space="preserve">The Transition Challenge</w:t>
      </w:r>
    </w:p>
    <w:p>
      <w:pPr>
        <w:spacing w:after="120" w:before="0"/>
        <w:jc w:val="left"/>
      </w:pPr>
      <w:r>
        <w:rPr>
          <w:rFonts w:ascii="Arial" w:cs="Arial" w:eastAsia="Arial" w:hAnsi="Arial"/>
          <w:b w:val="false"/>
          <w:bCs w:val="false"/>
          <w:i w:val="false"/>
          <w:iCs w:val="false"/>
          <w:color w:val="2D2D2D"/>
          <w:sz w:val="24"/>
          <w:szCs w:val="24"/>
        </w:rPr>
        <w:t xml:space="preserve">396 units × ~1.8 residents per unit = approximately 700 credential holders. Transitioning all 700 simultaneously is disruptive and expensive. Our approach:</w:t>
      </w:r>
    </w:p>
    <w:p>
      <w:pPr>
        <w:spacing w:after="80"/>
      </w:pPr>
    </w:p>
    <w:p>
      <w:pPr>
        <w:pStyle w:val="Heading2"/>
        <w:spacing w:after="200" w:before="200"/>
      </w:pPr>
      <w:r>
        <w:rPr>
          <w:rFonts w:ascii="Arial" w:cs="Arial" w:eastAsia="Arial" w:hAnsi="Arial"/>
          <w:b/>
          <w:bCs/>
          <w:color w:val="1B3A5C"/>
          <w:sz w:val="26"/>
          <w:szCs w:val="26"/>
        </w:rPr>
        <w:t xml:space="preserve">Fob Recycling Process</w:t>
      </w:r>
    </w:p>
    <w:p>
      <w:pPr>
        <w:pStyle w:val="ListParagraph"/>
        <w:numPr>
          <w:ilvl w:val="0"/>
          <w:numId w:val="4"/>
        </w:numPr>
        <w:spacing w:after="60"/>
      </w:pPr>
      <w:r>
        <w:rPr>
          <w:rFonts w:ascii="Arial" w:cs="Arial" w:eastAsia="Arial" w:hAnsi="Arial"/>
          <w:color w:val="2D2D2D"/>
          <w:sz w:val="24"/>
          <w:szCs w:val="24"/>
        </w:rPr>
        <w:t xml:space="preserve">Resident visits PMP office or “Fob Swap” event</w:t>
      </w:r>
    </w:p>
    <w:p>
      <w:pPr>
        <w:pStyle w:val="ListParagraph"/>
        <w:numPr>
          <w:ilvl w:val="0"/>
          <w:numId w:val="4"/>
        </w:numPr>
        <w:spacing w:after="60"/>
      </w:pPr>
      <w:r>
        <w:rPr>
          <w:rFonts w:ascii="Arial" w:cs="Arial" w:eastAsia="Arial" w:hAnsi="Arial"/>
          <w:color w:val="2D2D2D"/>
          <w:sz w:val="24"/>
          <w:szCs w:val="24"/>
        </w:rPr>
        <w:t xml:space="preserve">Staff plugs USB enrollment reader into workstation</w:t>
      </w:r>
    </w:p>
    <w:p>
      <w:pPr>
        <w:pStyle w:val="ListParagraph"/>
        <w:numPr>
          <w:ilvl w:val="0"/>
          <w:numId w:val="4"/>
        </w:numPr>
        <w:spacing w:after="60"/>
      </w:pPr>
      <w:r>
        <w:rPr>
          <w:rFonts w:ascii="Arial" w:cs="Arial" w:eastAsia="Arial" w:hAnsi="Arial"/>
          <w:color w:val="2D2D2D"/>
          <w:sz w:val="24"/>
          <w:szCs w:val="24"/>
        </w:rPr>
        <w:t xml:space="preserve">Scan existing fob → Doors.NET reads credential ID</w:t>
      </w:r>
    </w:p>
    <w:p>
      <w:pPr>
        <w:pStyle w:val="ListParagraph"/>
        <w:numPr>
          <w:ilvl w:val="0"/>
          <w:numId w:val="4"/>
        </w:numPr>
        <w:spacing w:after="60"/>
      </w:pPr>
      <w:r>
        <w:rPr>
          <w:rFonts w:ascii="Arial" w:cs="Arial" w:eastAsia="Arial" w:hAnsi="Arial"/>
          <w:color w:val="2D2D2D"/>
          <w:sz w:val="24"/>
          <w:szCs w:val="24"/>
        </w:rPr>
        <w:t xml:space="preserve">If resident is moving out: deactivate credential, fob enters recycle pool</w:t>
      </w:r>
    </w:p>
    <w:p>
      <w:pPr>
        <w:pStyle w:val="ListParagraph"/>
        <w:numPr>
          <w:ilvl w:val="0"/>
          <w:numId w:val="4"/>
        </w:numPr>
        <w:spacing w:after="60"/>
      </w:pPr>
      <w:r>
        <w:rPr>
          <w:rFonts w:ascii="Arial" w:cs="Arial" w:eastAsia="Arial" w:hAnsi="Arial"/>
          <w:color w:val="2D2D2D"/>
          <w:sz w:val="24"/>
          <w:szCs w:val="24"/>
        </w:rPr>
        <w:t xml:space="preserve">If new resident: assign recycled fob, program in Doors.NET, test at reader</w:t>
      </w:r>
    </w:p>
    <w:p>
      <w:pPr>
        <w:pStyle w:val="ListParagraph"/>
        <w:numPr>
          <w:ilvl w:val="0"/>
          <w:numId w:val="4"/>
        </w:numPr>
        <w:spacing w:after="60"/>
      </w:pPr>
      <w:r>
        <w:rPr>
          <w:rFonts w:ascii="Arial" w:cs="Arial" w:eastAsia="Arial" w:hAnsi="Arial"/>
          <w:color w:val="2D2D2D"/>
          <w:sz w:val="24"/>
          <w:szCs w:val="24"/>
        </w:rPr>
        <w:t xml:space="preserve">Cost per recycled fob: $0 (vs. $10.40 for new fob from stock)</w:t>
      </w:r>
    </w:p>
    <w:p>
      <w:pPr>
        <w:spacing w:after="80"/>
      </w:pPr>
    </w:p>
    <w:p>
      <w:pPr>
        <w:pStyle w:val="Heading2"/>
        <w:spacing w:after="200" w:before="200"/>
      </w:pPr>
      <w:r>
        <w:rPr>
          <w:rFonts w:ascii="Arial" w:cs="Arial" w:eastAsia="Arial" w:hAnsi="Arial"/>
          <w:b/>
          <w:bCs/>
          <w:color w:val="1B3A5C"/>
          <w:sz w:val="26"/>
          <w:szCs w:val="26"/>
        </w:rPr>
        <w:t xml:space="preserve">Business Card PIN Distribution</w:t>
      </w:r>
    </w:p>
    <w:p>
      <w:pPr>
        <w:pStyle w:val="ListParagraph"/>
        <w:numPr>
          <w:ilvl w:val="0"/>
          <w:numId w:val="3"/>
        </w:numPr>
        <w:spacing w:after="60"/>
      </w:pPr>
      <w:r>
        <w:rPr>
          <w:rFonts w:ascii="Arial" w:cs="Arial" w:eastAsia="Arial" w:hAnsi="Arial"/>
          <w:b w:val="false"/>
          <w:bCs w:val="false"/>
          <w:color w:val="2D2D2D"/>
          <w:sz w:val="24"/>
          <w:szCs w:val="24"/>
        </w:rPr>
        <w:t xml:space="preserve">Generate unique 6-digit PIN per unit from Doors.NET</w:t>
      </w:r>
    </w:p>
    <w:p>
      <w:pPr>
        <w:pStyle w:val="ListParagraph"/>
        <w:numPr>
          <w:ilvl w:val="0"/>
          <w:numId w:val="3"/>
        </w:numPr>
        <w:spacing w:after="60"/>
      </w:pPr>
      <w:r>
        <w:rPr>
          <w:rFonts w:ascii="Arial" w:cs="Arial" w:eastAsia="Arial" w:hAnsi="Arial"/>
          <w:b w:val="false"/>
          <w:bCs w:val="false"/>
          <w:color w:val="2D2D2D"/>
          <w:sz w:val="24"/>
          <w:szCs w:val="24"/>
        </w:rPr>
        <w:t xml:space="preserve">Print on professional business cards (1,000 cards = ~$150)</w:t>
      </w:r>
    </w:p>
    <w:p>
      <w:pPr>
        <w:pStyle w:val="ListParagraph"/>
        <w:numPr>
          <w:ilvl w:val="0"/>
          <w:numId w:val="3"/>
        </w:numPr>
        <w:spacing w:after="60"/>
      </w:pPr>
      <w:r>
        <w:rPr>
          <w:rFonts w:ascii="Arial" w:cs="Arial" w:eastAsia="Arial" w:hAnsi="Arial"/>
          <w:b w:val="false"/>
          <w:bCs w:val="false"/>
          <w:color w:val="2D2D2D"/>
          <w:sz w:val="24"/>
          <w:szCs w:val="24"/>
        </w:rPr>
        <w:t xml:space="preserve">Deliver to all units via door-drop or PMP office pickup</w:t>
      </w:r>
    </w:p>
    <w:p>
      <w:pPr>
        <w:pStyle w:val="ListParagraph"/>
        <w:numPr>
          <w:ilvl w:val="0"/>
          <w:numId w:val="3"/>
        </w:numPr>
        <w:spacing w:after="60"/>
      </w:pPr>
      <w:r>
        <w:rPr>
          <w:rFonts w:ascii="Arial" w:cs="Arial" w:eastAsia="Arial" w:hAnsi="Arial"/>
          <w:b w:val="false"/>
          <w:bCs w:val="false"/>
          <w:color w:val="2D2D2D"/>
          <w:sz w:val="24"/>
          <w:szCs w:val="24"/>
        </w:rPr>
        <w:t xml:space="preserve">PIN works immediately at CSR-6.2L readers (Main Entry + Pool)</w:t>
      </w:r>
    </w:p>
    <w:p>
      <w:pPr>
        <w:pStyle w:val="ListParagraph"/>
        <w:numPr>
          <w:ilvl w:val="0"/>
          <w:numId w:val="3"/>
        </w:numPr>
        <w:spacing w:after="60"/>
      </w:pPr>
      <w:r>
        <w:rPr>
          <w:rFonts w:ascii="Arial" w:cs="Arial" w:eastAsia="Arial" w:hAnsi="Arial"/>
          <w:b w:val="false"/>
          <w:bCs w:val="false"/>
          <w:color w:val="2D2D2D"/>
          <w:sz w:val="24"/>
          <w:szCs w:val="24"/>
        </w:rPr>
        <w:t xml:space="preserve">Valid for 30 days — renewable or converted to permanent</w:t>
      </w:r>
    </w:p>
    <w:p>
      <w:pPr>
        <w:pStyle w:val="ListParagraph"/>
        <w:numPr>
          <w:ilvl w:val="0"/>
          <w:numId w:val="3"/>
        </w:numPr>
        <w:spacing w:after="60"/>
      </w:pPr>
      <w:r>
        <w:rPr>
          <w:rFonts w:ascii="Arial" w:cs="Arial" w:eastAsia="Arial" w:hAnsi="Arial"/>
          <w:b w:val="false"/>
          <w:bCs w:val="false"/>
          <w:color w:val="2D2D2D"/>
          <w:sz w:val="24"/>
          <w:szCs w:val="24"/>
        </w:rPr>
        <w:t xml:space="preserve">Residents who prefer mobile: email enrollment link → phone becomes credential</w:t>
      </w:r>
    </w:p>
    <w:p>
      <w:pPr>
        <w:spacing w:after="100"/>
      </w:pPr>
    </w:p>
    <w:p>
      <w:pPr>
        <w:pStyle w:val="Heading2"/>
        <w:spacing w:after="200" w:before="200"/>
      </w:pPr>
      <w:r>
        <w:rPr>
          <w:rFonts w:ascii="Arial" w:cs="Arial" w:eastAsia="Arial" w:hAnsi="Arial"/>
          <w:b/>
          <w:bCs/>
          <w:color w:val="1B3A5C"/>
          <w:sz w:val="26"/>
          <w:szCs w:val="26"/>
        </w:rPr>
        <w:t xml:space="preserve">Credential Options per Resident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1960"/>
        <w:gridCol w:w="1600"/>
      </w:tblGrid>
      <w:tr>
        <w:trPr>
          <w:tblHeader/>
        </w:trPr>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How They Get It</w:t>
            </w:r>
          </w:p>
        </w:tc>
        <w:tc>
          <w:tcPr>
            <w:tcW w:type="dxa" w:w="1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Works At</w:t>
            </w:r>
          </w:p>
        </w:tc>
        <w:tc>
          <w:tcPr>
            <w:tcW w:type="dxa" w:w="19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Cost</w:t>
            </w:r>
          </w:p>
        </w:tc>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Existing fob</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Already have it</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All 10 doors</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$0</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No action needed</w:t>
            </w:r>
          </w:p>
        </w:tc>
      </w:tr>
      <w:tr>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Recycled fob</w:t>
            </w:r>
          </w:p>
        </w:tc>
        <w:tc>
          <w:tcPr>
            <w:tcW w:type="dxa" w:w="2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Swap at office</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All 10 doors</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$0</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From recycling pool</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New fob</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From stock</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All 10 doors</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$10.40</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If recycled unavailable</w:t>
            </w:r>
          </w:p>
        </w:tc>
      </w:tr>
      <w:tr>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Keypad PIN</w:t>
            </w:r>
          </w:p>
        </w:tc>
        <w:tc>
          <w:tcPr>
            <w:tcW w:type="dxa" w:w="2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Business card</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 key doors</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$0</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Immediate access</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Mobile phone</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Email enrollment</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 key doors</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$10/yr</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Connekt app</w:t>
            </w:r>
          </w:p>
        </w:tc>
      </w:tr>
    </w:tbl>
    <w:p>
      <w:r>
        <w:br w:type="page"/>
      </w:r>
    </w:p>
    <w:p>
      <w:pPr>
        <w:pStyle w:val="Heading1"/>
        <w:spacing w:after="200" w:before="400"/>
      </w:pPr>
      <w:r>
        <w:rPr>
          <w:rFonts w:ascii="Arial" w:cs="Arial" w:eastAsia="Arial" w:hAnsi="Arial"/>
          <w:b/>
          <w:bCs/>
          <w:color w:val="1B3A5C"/>
          <w:sz w:val="32"/>
          <w:szCs w:val="32"/>
        </w:rPr>
        <w:t xml:space="preserve">Exhibit G: Investment Summary</w:t>
      </w:r>
    </w:p>
    <w:p>
      <w:pPr>
        <w:spacing w:after="100"/>
      </w:pPr>
    </w:p>
    <w:p>
      <w:pPr>
        <w:pStyle w:val="Heading2"/>
        <w:spacing w:after="200" w:before="200"/>
      </w:pPr>
      <w:r>
        <w:rPr>
          <w:rFonts w:ascii="Arial" w:cs="Arial" w:eastAsia="Arial" w:hAnsi="Arial"/>
          <w:b/>
          <w:bCs/>
          <w:color w:val="1B3A5C"/>
          <w:sz w:val="26"/>
          <w:szCs w:val="26"/>
        </w:rPr>
        <w:t xml:space="preserve">Hardware &amp;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600"/>
        <w:gridCol w:w="1200"/>
        <w:gridCol w:w="1960"/>
      </w:tblGrid>
      <w:tr>
        <w:trPr>
          <w:tblHeader/>
        </w:trPr>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SKU</w:t>
            </w:r>
          </w:p>
        </w:tc>
        <w:tc>
          <w:tcPr>
            <w:tcW w:type="dxa" w:w="3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Unit Price</w:t>
            </w:r>
          </w:p>
        </w:tc>
        <w:tc>
          <w:tcPr>
            <w:tcW w:type="dxa" w:w="19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Total</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DELL-OPT7050</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ASI 360 Keri Hub — Managed Workstation (Dell i7/32GB/1TB)</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$625.00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$625.00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KERI-DNET-BASIC</w:t>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Doors.NET Basic Edition Software License</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$495.00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$495.00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SW-PGWM</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Keri Access Control Gateway License (ASI 360 remote support)</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$750.00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$750.00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LAN-520AESP</w:t>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Ethernet Communication Module</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$385.00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$385.00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USB-ENROLL</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USB Desktop Enrollment Reader (fob recycling)</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$95.00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$95.00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6</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CSR-6.2L</w:t>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Farpointe Connekt Smart Reader/Keypad — Mullion (BLE+Prox+PIN)</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$555.00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$1,110.00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7</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KB-HUB</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Keri Borealis Cloud Hub Controller</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$574.00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$574.00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8</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CMC-2</w:t>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Connekt Mobile Phone Credential (annual license)</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200</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$2,000.00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9</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12V-7AH-SLA</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Replacement Backup Battery (12V 7Ah SLA)</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$36.50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$73.00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Hardware Subtotal</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$6,107.00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CA Sales Tax (8.625%)</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$526.73</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Hardware Total</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$6,633.73</w:t>
            </w:r>
          </w:p>
        </w:tc>
      </w:tr>
    </w:tbl>
    <w:p>
      <w:pPr>
        <w:spacing w:after="200"/>
      </w:pPr>
    </w:p>
    <w:p>
      <w:pPr>
        <w:pStyle w:val="Heading2"/>
        <w:spacing w:after="200" w:before="200"/>
      </w:pPr>
      <w:r>
        <w:rPr>
          <w:rFonts w:ascii="Arial" w:cs="Arial" w:eastAsia="Arial" w:hAnsi="Arial"/>
          <w:b/>
          <w:bCs/>
          <w:color w:val="1B3A5C"/>
          <w:sz w:val="26"/>
          <w:szCs w:val="26"/>
        </w:rPr>
        <w:t xml:space="preserve">Services &amp;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400"/>
        <w:gridCol w:w="600"/>
        <w:gridCol w:w="1200"/>
        <w:gridCol w:w="1960"/>
      </w:tblGrid>
      <w:tr>
        <w:trPr>
          <w:tblHeader/>
        </w:trPr>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Item</w:t>
            </w:r>
          </w:p>
        </w:tc>
        <w:tc>
          <w:tcPr>
            <w:tcW w:type="dxa" w:w="34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Unit Price</w:t>
            </w:r>
          </w:p>
        </w:tc>
        <w:tc>
          <w:tcPr>
            <w:tcW w:type="dxa" w:w="19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Total</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Data Extraction</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Pull all existing credentials from PXL-500 controllers</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$450.00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$450.00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Workstation Setup</w:t>
            </w:r>
          </w:p>
        </w:tc>
        <w:tc>
          <w:tcPr>
            <w:tcW w:type="dxa" w:w="3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Doors.NET install, network config, LAN module, USB reader</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$950.00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$950.00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Reader Install</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Remove old NXT-2R/3R, mount CSR-6.2L, terminate wiring</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$185.00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$370.00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Borealis Config</w:t>
            </w:r>
          </w:p>
        </w:tc>
        <w:tc>
          <w:tcPr>
            <w:tcW w:type="dxa" w:w="3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Hub install, Connekt mobile setup, enrollment templates</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$750.00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$750.00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Database Build</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Import resident CSV, clean data, assign facility codes, PINs</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$500.00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$500.00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6</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Migration Support</w:t>
            </w:r>
          </w:p>
        </w:tc>
        <w:tc>
          <w:tcPr>
            <w:tcW w:type="dxa" w:w="3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Business card design, printing (1,000), distribution coordination</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$300.00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$300.00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7</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Training</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PMP staff training — 2 sessions (Doors.NET + Borealis portal)</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$500.00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$500.00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8</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PM + Documentation</w:t>
            </w:r>
          </w:p>
        </w:tc>
        <w:tc>
          <w:tcPr>
            <w:tcW w:type="dxa" w:w="3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Project management, as-builts, migration report</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$400.00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$400.00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Services Total</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$4,220.00</w:t>
            </w:r>
          </w:p>
        </w:tc>
      </w:tr>
    </w:tbl>
    <w:p>
      <w:pPr>
        <w:spacing w:after="200"/>
      </w:pPr>
    </w:p>
    <w:p>
      <w:pPr>
        <w:pStyle w:val="Heading2"/>
        <w:spacing w:after="200" w:before="200"/>
      </w:pPr>
      <w:r>
        <w:rPr>
          <w:rFonts w:ascii="Arial" w:cs="Arial" w:eastAsia="Arial" w:hAnsi="Arial"/>
          <w:b/>
          <w:bCs/>
          <w:color w:val="1B3A5C"/>
          <w:sz w:val="26"/>
          <w:szCs w:val="26"/>
        </w:rPr>
        <w:t xml:space="preserve">Annual Recurring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800"/>
        <w:gridCol w:w="1760"/>
      </w:tblGrid>
      <w:tr>
        <w:trPr>
          <w:tblHeader/>
        </w:trPr>
        <w:tc>
          <w:tcPr>
            <w:tcW w:type="dxa" w:w="20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Annual Cost</w:t>
            </w:r>
          </w:p>
        </w:tc>
        <w:tc>
          <w:tcPr>
            <w:tcW w:type="dxa" w:w="17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BOREALIS-1D-MO</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Borealis Cloud Subscription (2 doors × $19.95/mo)</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$479.04</w:t>
            </w:r>
          </w:p>
        </w:tc>
        <w:tc>
          <w:tcPr>
            <w:tcW w:type="dxa" w:w="1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$39.92</w:t>
            </w:r>
          </w:p>
        </w:tc>
      </w:tr>
      <w:tr>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TWILIO-LINE</w:t>
            </w:r>
          </w:p>
        </w:tc>
        <w:tc>
          <w:tcPr>
            <w:tcW w:type="dxa" w:w="3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Migration Hotline (optional, Year 1 only)</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$120.00</w:t>
            </w:r>
          </w:p>
        </w:tc>
        <w:tc>
          <w:tcPr>
            <w:tcW w:type="dxa" w:w="17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$10.00</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Total Annual Recurring</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$599.04</w:t>
            </w:r>
          </w:p>
        </w:tc>
        <w:tc>
          <w:tcPr>
            <w:tcW w:type="dxa" w:w="1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$49.92</w:t>
            </w:r>
          </w:p>
        </w:tc>
      </w:tr>
    </w:tbl>
    <w:p>
      <w:pPr>
        <w:spacing w:after="200"/>
      </w:pPr>
    </w:p>
    <w:p>
      <w:pPr>
        <w:pBdr>
          <w:top w:val="single" w:color="1B3A5C" w:sz="4" w:space="8"/>
          <w:bottom w:val="single" w:color="1B3A5C" w:sz="4" w:space="8"/>
        </w:pBdr>
        <w:spacing w:after="100" w:before="200"/>
        <w:jc w:val="center"/>
      </w:pPr>
      <w:r>
        <w:rPr>
          <w:rFonts w:ascii="Arial" w:cs="Arial" w:eastAsia="Arial" w:hAnsi="Arial"/>
          <w:b/>
          <w:bCs/>
          <w:color w:val="1B3A5C"/>
          <w:sz w:val="32"/>
          <w:szCs w:val="32"/>
        </w:rPr>
        <w:t xml:space="preserve">COMBINED YEAR 1 TOTAL:  $11,452.77</w:t>
      </w:r>
    </w:p>
    <w:p>
      <w:pPr>
        <w:spacing w:after="100"/>
      </w:pPr>
    </w:p>
    <w:p>
      <w:pPr>
        <w:spacing w:after="120" w:before="0"/>
        <w:jc w:val="center"/>
      </w:pPr>
      <w:r>
        <w:rPr>
          <w:rFonts w:ascii="Arial" w:cs="Arial" w:eastAsia="Arial" w:hAnsi="Arial"/>
          <w:b w:val="false"/>
          <w:bCs w:val="false"/>
          <w:i/>
          <w:iCs/>
          <w:color w:val="4A4A4A"/>
          <w:sz w:val="20"/>
          <w:szCs w:val="20"/>
        </w:rPr>
        <w:t xml:space="preserve">(Includes hardware with tax, all services, and first-year subscriptions. Monthly recurring of $49.92 begins upon commissioning.)</w:t>
      </w:r>
    </w:p>
    <w:p>
      <w:r>
        <w:br w:type="page"/>
      </w:r>
    </w:p>
    <w:p>
      <w:pPr>
        <w:pStyle w:val="Heading1"/>
        <w:spacing w:after="200" w:before="400"/>
      </w:pPr>
      <w:r>
        <w:rPr>
          <w:rFonts w:ascii="Arial" w:cs="Arial" w:eastAsia="Arial" w:hAnsi="Arial"/>
          <w:b/>
          <w:bCs/>
          <w:color w:val="1B3A5C"/>
          <w:sz w:val="32"/>
          <w:szCs w:val="32"/>
        </w:rPr>
        <w:t xml:space="preserve">Exhibit H: Migration Timeline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rPr>
          <w:tblHeader/>
        </w:trPr>
        <w:tc>
          <w:tcPr>
            <w:tcW w:type="dxa" w:w="9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Activities</w:t>
            </w:r>
          </w:p>
        </w:tc>
        <w:tc>
          <w:tcPr>
            <w:tcW w:type="dxa" w:w="34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Milestone</w:t>
            </w:r>
          </w:p>
        </w:tc>
      </w:tr>
      <w:tr>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5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Board approval → workstation procurement → credential extraction</w:t>
            </w:r>
          </w:p>
        </w:tc>
        <w:tc>
          <w:tcPr>
            <w:tcW w:type="dxa" w:w="34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System manageable</w:t>
            </w:r>
          </w:p>
        </w:tc>
      </w:tr>
      <w:tr>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5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Resident CSV import → PIN generation → business card design &amp; print</w:t>
            </w:r>
          </w:p>
        </w:tc>
        <w:tc>
          <w:tcPr>
            <w:tcW w:type="dxa" w:w="34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Database ready</w:t>
            </w:r>
          </w:p>
        </w:tc>
      </w:tr>
      <w:tr>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5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CSR-6.2L reader install → Borealis Hub commissioning</w:t>
            </w:r>
          </w:p>
        </w:tc>
        <w:tc>
          <w:tcPr>
            <w:tcW w:type="dxa" w:w="34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Modern access live</w:t>
            </w:r>
          </w:p>
        </w:tc>
      </w:tr>
      <w:tr>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5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Business card distribution → mobile enrollment email blast → Fob Swap event</w:t>
            </w:r>
          </w:p>
        </w:tc>
        <w:tc>
          <w:tcPr>
            <w:tcW w:type="dxa" w:w="34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Residents transitioning</w:t>
            </w:r>
          </w:p>
        </w:tc>
      </w:tr>
      <w:tr>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5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Follow-up calls → hotline active → chase stragglers</w:t>
            </w:r>
          </w:p>
        </w:tc>
        <w:tc>
          <w:tcPr>
            <w:tcW w:type="dxa" w:w="34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80%+ migrated</w:t>
            </w:r>
          </w:p>
        </w:tc>
      </w:tr>
      <w:tr>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6</w:t>
            </w:r>
          </w:p>
        </w:tc>
        <w:tc>
          <w:tcPr>
            <w:tcW w:type="dxa" w:w="5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Final cleanup → deactivate unclaimed → as-built docs → project closeout</w:t>
            </w:r>
          </w:p>
        </w:tc>
        <w:tc>
          <w:tcPr>
            <w:tcW w:type="dxa" w:w="34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100% complete</w:t>
            </w:r>
          </w:p>
        </w:tc>
      </w:tr>
    </w:tbl>
    <w:p>
      <w:r>
        <w:br w:type="page"/>
      </w:r>
    </w:p>
    <w:p>
      <w:pPr>
        <w:pStyle w:val="Heading1"/>
        <w:spacing w:after="200" w:before="400"/>
      </w:pPr>
      <w:r>
        <w:rPr>
          <w:rFonts w:ascii="Arial" w:cs="Arial" w:eastAsia="Arial" w:hAnsi="Arial"/>
          <w:b/>
          <w:bCs/>
          <w:color w:val="1B3A5C"/>
          <w:sz w:val="32"/>
          <w:szCs w:val="32"/>
        </w:rPr>
        <w:t xml:space="preserve">Exhibit I: Terms &amp; Conditions</w:t>
      </w:r>
    </w:p>
    <w:p>
      <w:pPr>
        <w:spacing w:after="100"/>
      </w:pPr>
    </w:p>
    <w:p>
      <w:pPr>
        <w:pStyle w:val="Heading2"/>
        <w:spacing w:after="200" w:before="200"/>
      </w:pPr>
      <w:r>
        <w:rPr>
          <w:rFonts w:ascii="Arial" w:cs="Arial" w:eastAsia="Arial" w:hAnsi="Arial"/>
          <w:b/>
          <w:bCs/>
          <w:color w:val="1B3A5C"/>
          <w:sz w:val="26"/>
          <w:szCs w:val="26"/>
        </w:rPr>
        <w:t xml:space="preserve">1. Payment Terms</w:t>
      </w:r>
    </w:p>
    <w:p>
      <w:pPr>
        <w:pStyle w:val="ListParagraph"/>
        <w:numPr>
          <w:ilvl w:val="0"/>
          <w:numId w:val="3"/>
        </w:numPr>
        <w:spacing w:after="60"/>
      </w:pPr>
      <w:r>
        <w:rPr>
          <w:rFonts w:ascii="Arial" w:cs="Arial" w:eastAsia="Arial" w:hAnsi="Arial"/>
          <w:b w:val="false"/>
          <w:bCs w:val="false"/>
          <w:color w:val="2D2D2D"/>
          <w:sz w:val="24"/>
          <w:szCs w:val="24"/>
        </w:rPr>
        <w:t xml:space="preserve">40% upon signed acceptance ($4,581.11)</w:t>
      </w:r>
    </w:p>
    <w:p>
      <w:pPr>
        <w:pStyle w:val="ListParagraph"/>
        <w:numPr>
          <w:ilvl w:val="0"/>
          <w:numId w:val="3"/>
        </w:numPr>
        <w:spacing w:after="60"/>
      </w:pPr>
      <w:r>
        <w:rPr>
          <w:rFonts w:ascii="Arial" w:cs="Arial" w:eastAsia="Arial" w:hAnsi="Arial"/>
          <w:b w:val="false"/>
          <w:bCs w:val="false"/>
          <w:color w:val="2D2D2D"/>
          <w:sz w:val="24"/>
          <w:szCs w:val="24"/>
        </w:rPr>
        <w:t xml:space="preserve">30% upon system commissioning ($3,435.83)</w:t>
      </w:r>
    </w:p>
    <w:p>
      <w:pPr>
        <w:pStyle w:val="ListParagraph"/>
        <w:numPr>
          <w:ilvl w:val="0"/>
          <w:numId w:val="3"/>
        </w:numPr>
        <w:spacing w:after="60"/>
      </w:pPr>
      <w:r>
        <w:rPr>
          <w:rFonts w:ascii="Arial" w:cs="Arial" w:eastAsia="Arial" w:hAnsi="Arial"/>
          <w:b w:val="false"/>
          <w:bCs w:val="false"/>
          <w:color w:val="2D2D2D"/>
          <w:sz w:val="24"/>
          <w:szCs w:val="24"/>
        </w:rPr>
        <w:t xml:space="preserve">30% upon project completion ($3,435.83)</w:t>
      </w:r>
    </w:p>
    <w:p>
      <w:pPr>
        <w:spacing w:after="60"/>
      </w:pPr>
    </w:p>
    <w:p>
      <w:pPr>
        <w:pStyle w:val="Heading2"/>
        <w:spacing w:after="200" w:before="200"/>
      </w:pPr>
      <w:r>
        <w:rPr>
          <w:rFonts w:ascii="Arial" w:cs="Arial" w:eastAsia="Arial" w:hAnsi="Arial"/>
          <w:b/>
          <w:bCs/>
          <w:color w:val="1B3A5C"/>
          <w:sz w:val="26"/>
          <w:szCs w:val="26"/>
        </w:rPr>
        <w:t xml:space="preserve">2. Warranty</w:t>
      </w:r>
    </w:p>
    <w:p>
      <w:pPr>
        <w:pStyle w:val="ListParagraph"/>
        <w:numPr>
          <w:ilvl w:val="0"/>
          <w:numId w:val="3"/>
        </w:numPr>
        <w:spacing w:after="60"/>
      </w:pPr>
      <w:r>
        <w:rPr>
          <w:rFonts w:ascii="Arial" w:cs="Arial" w:eastAsia="Arial" w:hAnsi="Arial"/>
          <w:b w:val="false"/>
          <w:bCs w:val="false"/>
          <w:color w:val="2D2D2D"/>
          <w:sz w:val="24"/>
          <w:szCs w:val="24"/>
        </w:rPr>
        <w:t xml:space="preserve">1-year labor warranty on all installation work</w:t>
      </w:r>
    </w:p>
    <w:p>
      <w:pPr>
        <w:pStyle w:val="ListParagraph"/>
        <w:numPr>
          <w:ilvl w:val="0"/>
          <w:numId w:val="3"/>
        </w:numPr>
        <w:spacing w:after="60"/>
      </w:pPr>
      <w:r>
        <w:rPr>
          <w:rFonts w:ascii="Arial" w:cs="Arial" w:eastAsia="Arial" w:hAnsi="Arial"/>
          <w:b w:val="false"/>
          <w:bCs w:val="false"/>
          <w:color w:val="2D2D2D"/>
          <w:sz w:val="24"/>
          <w:szCs w:val="24"/>
        </w:rPr>
        <w:t xml:space="preserve">Manufacturer warranty on all equipment (Keri: 2 years, Farpointe: lifetime, Dell: 1 year)</w:t>
      </w:r>
    </w:p>
    <w:p>
      <w:pPr>
        <w:spacing w:after="60"/>
      </w:pPr>
    </w:p>
    <w:p>
      <w:pPr>
        <w:pStyle w:val="Heading2"/>
        <w:spacing w:after="200" w:before="200"/>
      </w:pPr>
      <w:r>
        <w:rPr>
          <w:rFonts w:ascii="Arial" w:cs="Arial" w:eastAsia="Arial" w:hAnsi="Arial"/>
          <w:b/>
          <w:bCs/>
          <w:color w:val="1B3A5C"/>
          <w:sz w:val="26"/>
          <w:szCs w:val="26"/>
        </w:rPr>
        <w:t xml:space="preserve">3. Validity</w:t>
      </w:r>
    </w:p>
    <w:p>
      <w:pPr>
        <w:spacing w:after="120" w:before="0"/>
        <w:jc w:val="left"/>
      </w:pPr>
      <w:r>
        <w:rPr>
          <w:rFonts w:ascii="Arial" w:cs="Arial" w:eastAsia="Arial" w:hAnsi="Arial"/>
          <w:b w:val="false"/>
          <w:bCs w:val="false"/>
          <w:i w:val="false"/>
          <w:iCs w:val="false"/>
          <w:color w:val="2D2D2D"/>
          <w:sz w:val="24"/>
          <w:szCs w:val="24"/>
        </w:rPr>
        <w:t xml:space="preserve">This proposal is valid for 30 days from date of issue (expires April 17, 2026).</w:t>
      </w:r>
    </w:p>
    <w:p>
      <w:pPr>
        <w:spacing w:after="60"/>
      </w:pPr>
    </w:p>
    <w:p>
      <w:pPr>
        <w:pStyle w:val="Heading2"/>
        <w:spacing w:after="200" w:before="200"/>
      </w:pPr>
      <w:r>
        <w:rPr>
          <w:rFonts w:ascii="Arial" w:cs="Arial" w:eastAsia="Arial" w:hAnsi="Arial"/>
          <w:b/>
          <w:bCs/>
          <w:color w:val="1B3A5C"/>
          <w:sz w:val="26"/>
          <w:szCs w:val="26"/>
        </w:rPr>
        <w:t xml:space="preserve">4. Scope Exclusions</w:t>
      </w:r>
    </w:p>
    <w:p>
      <w:pPr>
        <w:pStyle w:val="ListParagraph"/>
        <w:numPr>
          <w:ilvl w:val="0"/>
          <w:numId w:val="3"/>
        </w:numPr>
        <w:spacing w:after="60"/>
      </w:pPr>
      <w:r>
        <w:rPr>
          <w:rFonts w:ascii="Arial" w:cs="Arial" w:eastAsia="Arial" w:hAnsi="Arial"/>
          <w:b w:val="false"/>
          <w:bCs w:val="false"/>
          <w:color w:val="2D2D2D"/>
          <w:sz w:val="24"/>
          <w:szCs w:val="24"/>
        </w:rPr>
        <w:t xml:space="preserve">Structural modifications, fire alarm integration, elevator controls</w:t>
      </w:r>
    </w:p>
    <w:p>
      <w:pPr>
        <w:pStyle w:val="ListParagraph"/>
        <w:numPr>
          <w:ilvl w:val="0"/>
          <w:numId w:val="3"/>
        </w:numPr>
        <w:spacing w:after="60"/>
      </w:pPr>
      <w:r>
        <w:rPr>
          <w:rFonts w:ascii="Arial" w:cs="Arial" w:eastAsia="Arial" w:hAnsi="Arial"/>
          <w:b w:val="false"/>
          <w:bCs w:val="false"/>
          <w:color w:val="2D2D2D"/>
          <w:sz w:val="24"/>
          <w:szCs w:val="24"/>
        </w:rPr>
        <w:t xml:space="preserve">Door hardware replacement (hinges, closers, strikes)</w:t>
      </w:r>
    </w:p>
    <w:p>
      <w:pPr>
        <w:pStyle w:val="ListParagraph"/>
        <w:numPr>
          <w:ilvl w:val="0"/>
          <w:numId w:val="3"/>
        </w:numPr>
        <w:spacing w:after="60"/>
      </w:pPr>
      <w:r>
        <w:rPr>
          <w:rFonts w:ascii="Arial" w:cs="Arial" w:eastAsia="Arial" w:hAnsi="Arial"/>
          <w:b w:val="false"/>
          <w:bCs w:val="false"/>
          <w:color w:val="2D2D2D"/>
          <w:sz w:val="24"/>
          <w:szCs w:val="24"/>
        </w:rPr>
        <w:t xml:space="preserve">Exterior painting or surface restoration</w:t>
      </w:r>
    </w:p>
    <w:p>
      <w:pPr>
        <w:spacing w:after="60"/>
      </w:pPr>
    </w:p>
    <w:p>
      <w:pPr>
        <w:pStyle w:val="Heading2"/>
        <w:spacing w:after="200" w:before="200"/>
      </w:pPr>
      <w:r>
        <w:rPr>
          <w:rFonts w:ascii="Arial" w:cs="Arial" w:eastAsia="Arial" w:hAnsi="Arial"/>
          <w:b/>
          <w:bCs/>
          <w:color w:val="1B3A5C"/>
          <w:sz w:val="26"/>
          <w:szCs w:val="26"/>
        </w:rPr>
        <w:t xml:space="preserve">5. Timeline</w:t>
      </w:r>
    </w:p>
    <w:p>
      <w:pPr>
        <w:spacing w:after="120" w:before="0"/>
        <w:jc w:val="left"/>
      </w:pPr>
      <w:r>
        <w:rPr>
          <w:rFonts w:ascii="Arial" w:cs="Arial" w:eastAsia="Arial" w:hAnsi="Arial"/>
          <w:b w:val="false"/>
          <w:bCs w:val="false"/>
          <w:i w:val="false"/>
          <w:iCs w:val="false"/>
          <w:color w:val="2D2D2D"/>
          <w:sz w:val="24"/>
          <w:szCs w:val="24"/>
        </w:rPr>
        <w:t xml:space="preserve">6 weeks from signed acceptance and deposit to project completion, subject to equipment availability.</w:t>
      </w:r>
    </w:p>
    <w:p>
      <w:pPr>
        <w:spacing w:after="60"/>
      </w:pPr>
    </w:p>
    <w:p>
      <w:pPr>
        <w:pStyle w:val="Heading2"/>
        <w:spacing w:after="200" w:before="200"/>
      </w:pPr>
      <w:r>
        <w:rPr>
          <w:rFonts w:ascii="Arial" w:cs="Arial" w:eastAsia="Arial" w:hAnsi="Arial"/>
          <w:b/>
          <w:bCs/>
          <w:color w:val="1B3A5C"/>
          <w:sz w:val="26"/>
          <w:szCs w:val="26"/>
        </w:rPr>
        <w:t xml:space="preserve">6. Recurring Costs</w:t>
      </w:r>
    </w:p>
    <w:p>
      <w:pPr>
        <w:spacing w:after="120" w:before="0"/>
        <w:jc w:val="left"/>
      </w:pPr>
      <w:r>
        <w:rPr>
          <w:rFonts w:ascii="Arial" w:cs="Arial" w:eastAsia="Arial" w:hAnsi="Arial"/>
          <w:b w:val="false"/>
          <w:bCs w:val="false"/>
          <w:i w:val="false"/>
          <w:iCs w:val="false"/>
          <w:color w:val="2D2D2D"/>
          <w:sz w:val="24"/>
          <w:szCs w:val="24"/>
        </w:rPr>
        <w:t xml:space="preserve">Borealis subscription begins upon hub commissioning. Connekt mobile credentials are annual licenses, renewable.</w:t>
      </w:r>
    </w:p>
    <w:p>
      <w:pPr>
        <w:spacing w:after="60"/>
      </w:pPr>
    </w:p>
    <w:p>
      <w:pPr>
        <w:pStyle w:val="Heading2"/>
        <w:spacing w:after="200" w:before="200"/>
      </w:pPr>
      <w:r>
        <w:rPr>
          <w:rFonts w:ascii="Arial" w:cs="Arial" w:eastAsia="Arial" w:hAnsi="Arial"/>
          <w:b/>
          <w:bCs/>
          <w:color w:val="1B3A5C"/>
          <w:sz w:val="26"/>
          <w:szCs w:val="26"/>
        </w:rPr>
        <w:t xml:space="preserve">7. Change Orders</w:t>
      </w:r>
    </w:p>
    <w:p>
      <w:pPr>
        <w:spacing w:after="120" w:before="0"/>
        <w:jc w:val="left"/>
      </w:pPr>
      <w:r>
        <w:rPr>
          <w:rFonts w:ascii="Arial" w:cs="Arial" w:eastAsia="Arial" w:hAnsi="Arial"/>
          <w:b w:val="false"/>
          <w:bCs w:val="false"/>
          <w:i w:val="false"/>
          <w:iCs w:val="false"/>
          <w:color w:val="2D2D2D"/>
          <w:sz w:val="24"/>
          <w:szCs w:val="24"/>
        </w:rPr>
        <w:t xml:space="preserve">Any work outside the scope described herein will be quoted separately and requires written approval.</w:t>
      </w:r>
    </w:p>
    <w:p>
      <w:pPr>
        <w:spacing w:after="60"/>
      </w:pPr>
    </w:p>
    <w:p>
      <w:pPr>
        <w:pStyle w:val="Heading2"/>
        <w:spacing w:after="200" w:before="200"/>
      </w:pPr>
      <w:r>
        <w:rPr>
          <w:rFonts w:ascii="Arial" w:cs="Arial" w:eastAsia="Arial" w:hAnsi="Arial"/>
          <w:b/>
          <w:bCs/>
          <w:color w:val="1B3A5C"/>
          <w:sz w:val="26"/>
          <w:szCs w:val="26"/>
        </w:rPr>
        <w:t xml:space="preserve">8. Insurance</w:t>
      </w:r>
    </w:p>
    <w:p>
      <w:pPr>
        <w:spacing w:after="120" w:before="0"/>
        <w:jc w:val="left"/>
      </w:pPr>
      <w:r>
        <w:rPr>
          <w:rFonts w:ascii="Arial" w:cs="Arial" w:eastAsia="Arial" w:hAnsi="Arial"/>
          <w:b w:val="false"/>
          <w:bCs w:val="false"/>
          <w:i w:val="false"/>
          <w:iCs w:val="false"/>
          <w:color w:val="2D2D2D"/>
          <w:sz w:val="24"/>
          <w:szCs w:val="24"/>
        </w:rPr>
        <w:t xml:space="preserve">ASI 360 maintains general liability, workers’ compensation, and professional liability insurance. Certificates available upon request.</w:t>
      </w:r>
    </w:p>
    <w:p>
      <w:r>
        <w:br w:type="page"/>
      </w:r>
    </w:p>
    <w:p>
      <w:pPr>
        <w:pStyle w:val="Heading1"/>
        <w:spacing w:after="200" w:before="400"/>
      </w:pPr>
      <w:r>
        <w:rPr>
          <w:rFonts w:ascii="Arial" w:cs="Arial" w:eastAsia="Arial" w:hAnsi="Arial"/>
          <w:b/>
          <w:bCs/>
          <w:color w:val="1B3A5C"/>
          <w:sz w:val="32"/>
          <w:szCs w:val="32"/>
        </w:rPr>
        <w:t xml:space="preserve">Exhibit J: Acceptance</w:t>
      </w:r>
    </w:p>
    <w:p>
      <w:pPr>
        <w:spacing w:after="100"/>
      </w:pPr>
    </w:p>
    <w:p>
      <w:pPr>
        <w:spacing w:after="120" w:before="0"/>
        <w:jc w:val="left"/>
      </w:pPr>
      <w:r>
        <w:rPr>
          <w:rFonts w:ascii="Arial" w:cs="Arial" w:eastAsia="Arial" w:hAnsi="Arial"/>
          <w:b w:val="false"/>
          <w:bCs w:val="false"/>
          <w:i w:val="false"/>
          <w:iCs w:val="false"/>
          <w:color w:val="2D2D2D"/>
          <w:sz w:val="24"/>
          <w:szCs w:val="24"/>
        </w:rPr>
        <w:t xml:space="preserve">By signing below, the authorized representative of Diamond Heights Village Association accepts this proposal and authorizes ASI 360 to proceed with the described scope of work.</w:t>
      </w:r>
    </w:p>
    <w:p>
      <w:pPr>
        <w:spacing w:after="100"/>
      </w:pPr>
    </w:p>
    <w:p>
      <w:pPr>
        <w:spacing w:after="120" w:before="0"/>
        <w:jc w:val="left"/>
      </w:pPr>
      <w:r>
        <w:rPr>
          <w:rFonts w:ascii="Arial" w:cs="Arial" w:eastAsia="Arial" w:hAnsi="Arial"/>
          <w:b/>
          <w:bCs/>
          <w:i w:val="false"/>
          <w:iCs w:val="false"/>
          <w:color w:val="2D2D2D"/>
          <w:sz w:val="26"/>
          <w:szCs w:val="26"/>
        </w:rPr>
        <w:t xml:space="preserve">Total Investment: </w:t>
      </w:r>
      <w:r>
        <w:rPr>
          <w:rFonts w:ascii="Arial" w:cs="Arial" w:eastAsia="Arial" w:hAnsi="Arial"/>
          <w:b/>
          <w:bCs/>
          <w:i w:val="false"/>
          <w:iCs w:val="false"/>
          <w:color w:val="1B3A5C"/>
          <w:sz w:val="26"/>
          <w:szCs w:val="26"/>
        </w:rPr>
        <w:t xml:space="preserve">$11,452.77 </w:t>
      </w:r>
      <w:r>
        <w:rPr>
          <w:rFonts w:ascii="Arial" w:cs="Arial" w:eastAsia="Arial" w:hAnsi="Arial"/>
          <w:b w:val="false"/>
          <w:bCs w:val="false"/>
          <w:i w:val="false"/>
          <w:iCs w:val="false"/>
          <w:color w:val="2D2D2D"/>
          <w:sz w:val="22"/>
          <w:szCs w:val="22"/>
        </w:rPr>
        <w:t xml:space="preserve">(Year 1, inclusive of hardware, services, and first-year subscriptions)</w:t>
      </w:r>
    </w:p>
    <w:p>
      <w:pPr>
        <w:spacing w:after="120" w:before="0"/>
        <w:jc w:val="left"/>
      </w:pPr>
      <w:r>
        <w:rPr>
          <w:rFonts w:ascii="Arial" w:cs="Arial" w:eastAsia="Arial" w:hAnsi="Arial"/>
          <w:b/>
          <w:bCs/>
          <w:i w:val="false"/>
          <w:iCs w:val="false"/>
          <w:color w:val="2D2D2D"/>
          <w:sz w:val="26"/>
          <w:szCs w:val="26"/>
        </w:rPr>
        <w:t xml:space="preserve">Deposit Due Upon Signing: </w:t>
      </w:r>
      <w:r>
        <w:rPr>
          <w:rFonts w:ascii="Arial" w:cs="Arial" w:eastAsia="Arial" w:hAnsi="Arial"/>
          <w:b/>
          <w:bCs/>
          <w:i w:val="false"/>
          <w:iCs w:val="false"/>
          <w:color w:val="1B3A5C"/>
          <w:sz w:val="26"/>
          <w:szCs w:val="26"/>
        </w:rPr>
        <w:t xml:space="preserve">$4,581.11 </w:t>
      </w:r>
      <w:r>
        <w:rPr>
          <w:rFonts w:ascii="Arial" w:cs="Arial" w:eastAsia="Arial" w:hAnsi="Arial"/>
          <w:b w:val="false"/>
          <w:bCs w:val="false"/>
          <w:i w:val="false"/>
          <w:iCs w:val="false"/>
          <w:color w:val="2D2D2D"/>
          <w:sz w:val="22"/>
          <w:szCs w:val="22"/>
        </w:rPr>
        <w:t xml:space="preserve">(40%)</w:t>
      </w:r>
    </w:p>
    <w:p>
      <w:pPr>
        <w:spacing w:after="300"/>
      </w:pPr>
    </w:p>
    <w:p>
      <w:pPr>
        <w:spacing w:after="120" w:before="0"/>
        <w:jc w:val="left"/>
      </w:pPr>
      <w:r>
        <w:rPr>
          <w:rFonts w:ascii="Arial" w:cs="Arial" w:eastAsia="Arial" w:hAnsi="Arial"/>
          <w:b/>
          <w:bCs/>
          <w:i w:val="false"/>
          <w:iCs w:val="false"/>
          <w:color w:val="1B3A5C"/>
          <w:sz w:val="24"/>
          <w:szCs w:val="24"/>
        </w:rPr>
        <w:t xml:space="preserve">ACCEPTED AND AGREED:</w:t>
      </w:r>
    </w:p>
    <w:p>
      <w:pPr>
        <w:spacing w:after="60"/>
      </w:pPr>
    </w:p>
    <w:p>
      <w:pPr>
        <w:spacing w:after="120" w:before="0"/>
        <w:jc w:val="left"/>
      </w:pPr>
      <w:r>
        <w:rPr>
          <w:rFonts w:ascii="Arial" w:cs="Arial" w:eastAsia="Arial" w:hAnsi="Arial"/>
          <w:b/>
          <w:bCs/>
          <w:i w:val="false"/>
          <w:iCs w:val="false"/>
          <w:color w:val="2D2D2D"/>
          <w:sz w:val="24"/>
          <w:szCs w:val="24"/>
        </w:rPr>
        <w:t xml:space="preserve">Diamond Heights Village Association</w:t>
      </w:r>
    </w:p>
    <w:p>
      <w:pPr>
        <w:spacing w:after="300"/>
      </w:pPr>
    </w:p>
    <w:p>
      <w:pPr>
        <w:spacing w:after="40"/>
      </w:pPr>
      <w:r>
        <w:rPr>
          <w:rFonts w:ascii="Arial" w:cs="Arial" w:eastAsia="Arial" w:hAnsi="Arial"/>
          <w:color w:val="2D2D2D"/>
          <w:sz w:val="24"/>
          <w:szCs w:val="24"/>
        </w:rPr>
        <w:t xml:space="preserve">Authorized Signature: _________________________________________</w:t>
      </w:r>
      <w:r>
        <w:rPr>
          <w:rFonts w:ascii="Arial" w:cs="Arial" w:eastAsia="Arial" w:hAnsi="Arial"/>
          <w:color w:val="2D2D2D"/>
          <w:sz w:val="24"/>
          <w:szCs w:val="24"/>
        </w:rPr>
        <w:t xml:space="preserve">     Date: ________________</w:t>
      </w:r>
    </w:p>
    <w:p>
      <w:pPr>
        <w:spacing w:after="100"/>
      </w:pPr>
    </w:p>
    <w:p>
      <w:pPr>
        <w:spacing w:after="40"/>
      </w:pPr>
      <w:r>
        <w:rPr>
          <w:rFonts w:ascii="Arial" w:cs="Arial" w:eastAsia="Arial" w:hAnsi="Arial"/>
          <w:color w:val="2D2D2D"/>
          <w:sz w:val="24"/>
          <w:szCs w:val="24"/>
        </w:rPr>
        <w:t xml:space="preserve">Printed Name: ________________________________________________</w:t>
      </w:r>
    </w:p>
    <w:p>
      <w:pPr>
        <w:spacing w:after="80"/>
      </w:pPr>
    </w:p>
    <w:p>
      <w:pPr>
        <w:spacing w:after="40"/>
      </w:pPr>
      <w:r>
        <w:rPr>
          <w:rFonts w:ascii="Arial" w:cs="Arial" w:eastAsia="Arial" w:hAnsi="Arial"/>
          <w:color w:val="2D2D2D"/>
          <w:sz w:val="24"/>
          <w:szCs w:val="24"/>
        </w:rPr>
        <w:t xml:space="preserve">Title: ________________________________________________________</w:t>
      </w:r>
    </w:p>
    <w:p>
      <w:pPr>
        <w:spacing w:after="300"/>
      </w:pPr>
    </w:p>
    <w:p>
      <w:pPr>
        <w:spacing w:after="120" w:before="0"/>
        <w:jc w:val="left"/>
      </w:pPr>
      <w:r>
        <w:rPr>
          <w:rFonts w:ascii="Arial" w:cs="Arial" w:eastAsia="Arial" w:hAnsi="Arial"/>
          <w:b/>
          <w:bCs/>
          <w:i w:val="false"/>
          <w:iCs w:val="false"/>
          <w:color w:val="1B3A5C"/>
          <w:sz w:val="24"/>
          <w:szCs w:val="24"/>
        </w:rPr>
        <w:t xml:space="preserve">ASI 360 — Allied Systems Integrations</w:t>
      </w:r>
    </w:p>
    <w:p>
      <w:pPr>
        <w:spacing w:after="300"/>
      </w:pPr>
    </w:p>
    <w:p>
      <w:pPr>
        <w:spacing w:after="40"/>
      </w:pPr>
      <w:r>
        <w:rPr>
          <w:rFonts w:ascii="Arial" w:cs="Arial" w:eastAsia="Arial" w:hAnsi="Arial"/>
          <w:color w:val="2D2D2D"/>
          <w:sz w:val="24"/>
          <w:szCs w:val="24"/>
        </w:rPr>
        <w:t xml:space="preserve">Authorized Signature: _________________________________________</w:t>
      </w:r>
      <w:r>
        <w:rPr>
          <w:rFonts w:ascii="Arial" w:cs="Arial" w:eastAsia="Arial" w:hAnsi="Arial"/>
          <w:color w:val="2D2D2D"/>
          <w:sz w:val="24"/>
          <w:szCs w:val="24"/>
        </w:rPr>
        <w:t xml:space="preserve">     Date: ________________</w:t>
      </w:r>
    </w:p>
    <w:p>
      <w:pPr>
        <w:spacing w:after="80"/>
      </w:pPr>
    </w:p>
    <w:p>
      <w:pPr>
        <w:spacing w:after="120" w:before="0"/>
        <w:jc w:val="left"/>
      </w:pPr>
      <w:r>
        <w:rPr>
          <w:rFonts w:ascii="Arial" w:cs="Arial" w:eastAsia="Arial" w:hAnsi="Arial"/>
          <w:b w:val="false"/>
          <w:bCs w:val="false"/>
          <w:i w:val="false"/>
          <w:iCs w:val="false"/>
          <w:color w:val="2D2D2D"/>
          <w:sz w:val="24"/>
          <w:szCs w:val="24"/>
        </w:rPr>
        <w:t xml:space="preserve">Don Bucknor, CEO</w:t>
      </w:r>
    </w:p>
    <w:p>
      <w:pPr>
        <w:spacing w:after="120" w:before="0"/>
        <w:jc w:val="left"/>
      </w:pPr>
      <w:r>
        <w:rPr>
          <w:rFonts w:ascii="Arial" w:cs="Arial" w:eastAsia="Arial" w:hAnsi="Arial"/>
          <w:b w:val="false"/>
          <w:bCs w:val="false"/>
          <w:i w:val="false"/>
          <w:iCs w:val="false"/>
          <w:color w:val="2D2D2D"/>
          <w:sz w:val="24"/>
          <w:szCs w:val="24"/>
        </w:rPr>
        <w:t xml:space="preserve">don@asi360.co | (510) 495-0905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ASI 360 — Allied Systems Integrations  |  Confidential  |  DHV-PROP-2026-004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1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487faeb1668f4c660b930abf07d4583606887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2026-03-19T03:13:37.200Z</dcterms:created>
  <dcterms:modified xsi:type="dcterms:W3CDTF">2026-03-19T03:13:37.205Z</dcterms:modified>
</cp:coreProperties>
</file>

<file path=docProps/custom.xml><?xml version="1.0" encoding="utf-8"?>
<Properties xmlns="http://schemas.openxmlformats.org/officeDocument/2006/custom-properties" xmlns:vt="http://schemas.openxmlformats.org/officeDocument/2006/docPropsVTypes"/>
</file>