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BAB6B" w14:textId="2C00E2E8"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Dr. Strauss: Welcome, Mr. Schulte. Please introduce yourself and describe your role in energy price determination at our firm.</w:t>
      </w:r>
    </w:p>
    <w:p w14:paraId="640C205B"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00:00:15 Mr. Schulte: Hi, I'm Dieter Schulte, a Senior Energy Trader here. I’m responsible for determining energy prices and managing trading strategies in our European markets. My role involves analyzing market trends, negotiating contracts, and ensuring that our pricing reflects both current supply-demand dynamics and regulatory factors – though sometimes our reports come out with transcription errors like “enerjy price detrmnation” citeturn0file0.</w:t>
      </w:r>
    </w:p>
    <w:p w14:paraId="40421FE5"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00:00:35 Dr. Strauss: Can you share your thoughts on the current trends affecting energy prices, especially regarding automation and digital tools?</w:t>
      </w:r>
    </w:p>
    <w:p w14:paraId="43CE700E"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00:00:40 Mr. Schulte: Absolutely. Right now, we’re seeing a significant shift toward automated trading systems and real-time data analytics. However, legacy interfaces sometimes misreport data—I've seen alerts like "pric update misread" due to transcription slips. This makes it challenging to react swiftly in a volatile market.</w:t>
      </w:r>
    </w:p>
    <w:p w14:paraId="61AD9716" w14:textId="77777777" w:rsidR="00533CA3" w:rsidRPr="00533CA3" w:rsidRDefault="00B36876" w:rsidP="00533CA3">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0FC7572">
          <v:rect id="_x0000_i1030" alt="" style="width:468pt;height:.05pt;mso-width-percent:0;mso-height-percent:0;mso-width-percent:0;mso-height-percent:0" o:hralign="center" o:hrstd="t" o:hr="t" fillcolor="#a0a0a0" stroked="f"/>
        </w:pict>
      </w:r>
    </w:p>
    <w:p w14:paraId="5B8A0434"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00:01:20 Dr. Strauss: Let's talk about automation in energy price determination. What are the major challenges you encounter in this area?</w:t>
      </w:r>
    </w:p>
    <w:p w14:paraId="58D0173B"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00:01:25 Mr. Schulte: Automation has its perks, but it also brings issues. Our systems, built years ago, are not fully compatible with today's high-speed trading demands. We often see errors like “auto-trde fail” or “digitl input error,” which can delay price updates and distort our trading signals.</w:t>
      </w:r>
    </w:p>
    <w:p w14:paraId="42181231"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00:01:45 Mr. Schulte: In addition, the new digital tools sometimes output data that isn’t fully standardized. This forces us to spend extra time verifying and cross-checking figures manually, which is not ideal when market conditions shift rapidly.</w:t>
      </w:r>
    </w:p>
    <w:p w14:paraId="307EC0E3"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00:02:00 Dr. Strauss: Could you provide an example of how these issues have impacted a trading decision recently?</w:t>
      </w:r>
    </w:p>
    <w:p w14:paraId="09BA8B33"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00:02:05 Mr. Schulte: Sure. At around 00:03:00, our system flagged an unusual price drop with a message reading “teh sudden plunge.” It turned out that a legacy sensor misinterpreted market feed data. This miscommunication delayed our response, leading to a brief period of suboptimal pricing decisions. citeturn0file0</w:t>
      </w:r>
    </w:p>
    <w:p w14:paraId="547AE8FC" w14:textId="77777777" w:rsidR="00533CA3" w:rsidRPr="00533CA3" w:rsidRDefault="00B36876" w:rsidP="00533CA3">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03278DF">
          <v:rect id="_x0000_i1029" alt="" style="width:468pt;height:.05pt;mso-width-percent:0;mso-height-percent:0;mso-width-percent:0;mso-height-percent:0" o:hralign="center" o:hrstd="t" o:hr="t" fillcolor="#a0a0a0" stroked="f"/>
        </w:pict>
      </w:r>
    </w:p>
    <w:p w14:paraId="0A48F400"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00:02:45 Dr. Strauss: Switching gears to digitalization, what strategies are you using to modernize energy price determination?</w:t>
      </w:r>
    </w:p>
    <w:p w14:paraId="2BC55F6B"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 xml:space="preserve">00:02:50 Mr. Schulte: We’re implementing a multi-layered digitalization plan. First, we conducted a comprehensive audit of our trading systems and found that only about 30% are fully </w:t>
      </w:r>
      <w:r w:rsidRPr="00533CA3">
        <w:rPr>
          <w:rFonts w:ascii="Times New Roman" w:eastAsia="Times New Roman" w:hAnsi="Times New Roman" w:cs="Times New Roman"/>
          <w:kern w:val="0"/>
          <w14:ligatures w14:val="none"/>
        </w:rPr>
        <w:lastRenderedPageBreak/>
        <w:t>compatible with modern digital platforms. The rest require significant upgrades or complete overhauls.</w:t>
      </w:r>
    </w:p>
    <w:p w14:paraId="4DEA6748"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00:03:10 Mr. Schulte: Next, we're integrating a centralized trading dashboard. This dashboard consolidates real-time data from various markets and provides us with a unified view, which should help in making faster and more accurate price determinations.</w:t>
      </w:r>
    </w:p>
    <w:p w14:paraId="34892613"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00:03:25 Mr. Schulte: Still, there are occasional glitches. For example, sometimes our system outputs a “digiatl mismatch” error, causing us to double-check figures manually. We're collaborating closely with our IT department and external vendors to resolve these issues.</w:t>
      </w:r>
    </w:p>
    <w:p w14:paraId="0C86767B"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00:03:40 Dr. Strauss: How are these digital enhancements communicated to your trading counterparts and other stakeholders?</w:t>
      </w:r>
    </w:p>
    <w:p w14:paraId="1D7BFC6A"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00:03:45 Mr. Schulte: We use regular email briefings, live trading updates via our dashboard, and quarterly review meetings. Occasionally, transcription errors slip into our communications—like one update that mistakenly read “Enerjy Dashbord 2025”—but overall, our message remains consistent and transparent.</w:t>
      </w:r>
    </w:p>
    <w:p w14:paraId="388F3D09" w14:textId="77777777" w:rsidR="00533CA3" w:rsidRPr="00533CA3" w:rsidRDefault="00B36876" w:rsidP="00533CA3">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B53D06A">
          <v:rect id="_x0000_i1028" alt="" style="width:468pt;height:.05pt;mso-width-percent:0;mso-height-percent:0;mso-width-percent:0;mso-height-percent:0" o:hralign="center" o:hrstd="t" o:hr="t" fillcolor="#a0a0a0" stroked="f"/>
        </w:pict>
      </w:r>
    </w:p>
    <w:p w14:paraId="6A254388"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00:04:20 Dr. Strauss: Regarding risk management, how do you mitigate risks when dealing with these legacy systems during volatile market conditions?</w:t>
      </w:r>
    </w:p>
    <w:p w14:paraId="329C9A44"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00:04:25 Mr. Schulte: We run both legacy and new systems in parallel during transition periods. This dual system approach helps ensure that if one system misfires due to errors, the other can still provide reliable data, minimizing the risk of making erroneous trading decisions.</w:t>
      </w:r>
    </w:p>
    <w:p w14:paraId="3CD6DEB9"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00:04:40 Mr. Schulte: Our risk management team constantly monitors the systems using advanced algorithms. However, transcription errors like “erroR in modl” occasionally trigger false alarms, so manual validation is always a crucial step before executing any major trade.</w:t>
      </w:r>
    </w:p>
    <w:p w14:paraId="1A2B25A4"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00:04:55 Dr. Strauss: And how do these trading incidents and system upgrades affect the firm’s financial performance?</w:t>
      </w:r>
    </w:p>
    <w:p w14:paraId="044FD488"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00:05:00 Mr. Schulte: Trading incidents can have a significant financial impact, especially when they cause delays in capturing favorable market movements. Our investments in new digital tools aim to improve efficiency and reduce these risks, though the upfront costs and occasional manual overrides due to data misreads have put a temporary strain on our margins.</w:t>
      </w:r>
    </w:p>
    <w:p w14:paraId="0599119E"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00:05:15 Mr. Schulte: We’re confident that once our new systems fully stabilize, the improved accuracy and speed will yield long-term financial benefits.</w:t>
      </w:r>
    </w:p>
    <w:p w14:paraId="5C459451" w14:textId="77777777" w:rsidR="00533CA3" w:rsidRPr="00533CA3" w:rsidRDefault="00B36876" w:rsidP="00533CA3">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96F3E57">
          <v:rect id="_x0000_i1027" alt="" style="width:468pt;height:.05pt;mso-width-percent:0;mso-height-percent:0;mso-width-percent:0;mso-height-percent:0" o:hralign="center" o:hrstd="t" o:hr="t" fillcolor="#a0a0a0" stroked="f"/>
        </w:pict>
      </w:r>
    </w:p>
    <w:p w14:paraId="7457D0EC"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lastRenderedPageBreak/>
        <w:t>00:05:40 Dr. Strauss: Let’s now discuss client communication. How do you handle stakeholder queries during these periods of system transition?</w:t>
      </w:r>
    </w:p>
    <w:p w14:paraId="67F6E458"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00:05:45 Mr. Schulte: We have a robust communication strategy. Automated alerts are sent out immediately during any significant market movements, though sometimes they contain errors like “prce update pending.” These are quickly followed up with direct calls from our trading desk to provide accurate details and reassurance.</w:t>
      </w:r>
    </w:p>
    <w:p w14:paraId="05A2F27E"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00:06:00 Mr. Schulte: Additionally, we hold regular webinars and publish detailed reports that address any discrepancies noted in our automated messages, ensuring our stakeholders are well-informed despite the occasional transcription error.</w:t>
      </w:r>
    </w:p>
    <w:p w14:paraId="573D7C2D" w14:textId="77777777" w:rsidR="00533CA3" w:rsidRPr="00533CA3" w:rsidRDefault="00B36876" w:rsidP="00533CA3">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BB73C30">
          <v:rect id="_x0000_i1026" alt="" style="width:468pt;height:.05pt;mso-width-percent:0;mso-height-percent:0;mso-width-percent:0;mso-height-percent:0" o:hralign="center" o:hrstd="t" o:hr="t" fillcolor="#a0a0a0" stroked="f"/>
        </w:pict>
      </w:r>
    </w:p>
    <w:p w14:paraId="6CD1B139"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00:06:20 Dr. Strauss: Finally, from a trader's perspective, what is the biggest challenge in energy price determination right now?</w:t>
      </w:r>
    </w:p>
    <w:p w14:paraId="4388C09B"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00:06:25 Mr. Schulte: The biggest challenge is integrating high-speed automation with our legacy systems. It’s not merely a technological upgrade; it involves a comprehensive overhaul of our processes and a cultural shift within the trading desk. The frequent transcription errors and data misinterpretations add an extra layer of complexity, but overcoming these is essential for achieving reliable and competitive pricing.</w:t>
      </w:r>
    </w:p>
    <w:p w14:paraId="7051DF89"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00:06:40 Mr. Schulte: Thank you, Dr. Strauss, for this discussion. Our ongoing commitment to digital innovation and process improvement remains our top priority, even as we work through these challenges with the occasional “typo” in our reports.</w:t>
      </w:r>
    </w:p>
    <w:p w14:paraId="0FF973D2" w14:textId="77777777" w:rsidR="00533CA3" w:rsidRPr="00533CA3" w:rsidRDefault="00B36876" w:rsidP="00533CA3">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F8CDA33">
          <v:rect id="_x0000_i1025" alt="" style="width:468pt;height:.05pt;mso-width-percent:0;mso-height-percent:0;mso-width-percent:0;mso-height-percent:0" o:hralign="center" o:hrstd="t" o:hr="t" fillcolor="#a0a0a0" stroked="f"/>
        </w:pict>
      </w:r>
    </w:p>
    <w:p w14:paraId="6FDD0C17" w14:textId="77777777"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[End of Transcript – Raw MS Teams/Co-Pilot Format]</w:t>
      </w:r>
    </w:p>
    <w:p w14:paraId="0E25AF2B" w14:textId="713064AE" w:rsidR="00533CA3" w:rsidRPr="00533CA3" w:rsidRDefault="00533CA3" w:rsidP="00533CA3">
      <w:pPr>
        <w:spacing w:before="100" w:beforeAutospacing="1" w:after="100" w:afterAutospacing="1"/>
        <w:rPr>
          <w:rFonts w:ascii="Times New Roman" w:eastAsia="Times New Roman" w:hAnsi="Times New Roman" w:cs="Times New Roman"/>
          <w:kern w:val="0"/>
          <w14:ligatures w14:val="none"/>
        </w:rPr>
      </w:pPr>
      <w:r w:rsidRPr="00533CA3">
        <w:rPr>
          <w:rFonts w:ascii="Times New Roman" w:eastAsia="Times New Roman" w:hAnsi="Times New Roman" w:cs="Times New Roman"/>
          <w:kern w:val="0"/>
          <w14:ligatures w14:val="none"/>
        </w:rPr>
        <w:t>Note: This transcript includes natural transcription errors and varied message lengths to mimic a realistic MS Teams post-interview output.</w:t>
      </w:r>
    </w:p>
    <w:p w14:paraId="12DD1A9A" w14:textId="10928B73" w:rsidR="00FF74AB" w:rsidRPr="00533CA3" w:rsidRDefault="00FF74AB" w:rsidP="00533CA3"/>
    <w:sectPr w:rsidR="00FF74AB" w:rsidRPr="00533C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883"/>
    <w:rsid w:val="000E4AAE"/>
    <w:rsid w:val="00205C95"/>
    <w:rsid w:val="0022001E"/>
    <w:rsid w:val="003D1E53"/>
    <w:rsid w:val="00460759"/>
    <w:rsid w:val="00533CA3"/>
    <w:rsid w:val="00540237"/>
    <w:rsid w:val="006373AD"/>
    <w:rsid w:val="00742E8A"/>
    <w:rsid w:val="007D43EA"/>
    <w:rsid w:val="008210EC"/>
    <w:rsid w:val="00B36876"/>
    <w:rsid w:val="00BD0883"/>
    <w:rsid w:val="00CA3639"/>
    <w:rsid w:val="00FF7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15A0B"/>
  <w15:chartTrackingRefBased/>
  <w15:docId w15:val="{E2586EA0-7F41-4E45-B329-C8DEFA639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8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8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8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8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883"/>
    <w:rPr>
      <w:rFonts w:eastAsiaTheme="majorEastAsia" w:cstheme="majorBidi"/>
      <w:color w:val="272727" w:themeColor="text1" w:themeTint="D8"/>
    </w:rPr>
  </w:style>
  <w:style w:type="paragraph" w:styleId="Title">
    <w:name w:val="Title"/>
    <w:basedOn w:val="Normal"/>
    <w:next w:val="Normal"/>
    <w:link w:val="TitleChar"/>
    <w:uiPriority w:val="10"/>
    <w:qFormat/>
    <w:rsid w:val="00BD08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88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8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0883"/>
    <w:rPr>
      <w:i/>
      <w:iCs/>
      <w:color w:val="404040" w:themeColor="text1" w:themeTint="BF"/>
    </w:rPr>
  </w:style>
  <w:style w:type="paragraph" w:styleId="ListParagraph">
    <w:name w:val="List Paragraph"/>
    <w:basedOn w:val="Normal"/>
    <w:uiPriority w:val="34"/>
    <w:qFormat/>
    <w:rsid w:val="00BD0883"/>
    <w:pPr>
      <w:ind w:left="720"/>
      <w:contextualSpacing/>
    </w:pPr>
  </w:style>
  <w:style w:type="character" w:styleId="IntenseEmphasis">
    <w:name w:val="Intense Emphasis"/>
    <w:basedOn w:val="DefaultParagraphFont"/>
    <w:uiPriority w:val="21"/>
    <w:qFormat/>
    <w:rsid w:val="00BD0883"/>
    <w:rPr>
      <w:i/>
      <w:iCs/>
      <w:color w:val="0F4761" w:themeColor="accent1" w:themeShade="BF"/>
    </w:rPr>
  </w:style>
  <w:style w:type="paragraph" w:styleId="IntenseQuote">
    <w:name w:val="Intense Quote"/>
    <w:basedOn w:val="Normal"/>
    <w:next w:val="Normal"/>
    <w:link w:val="IntenseQuoteChar"/>
    <w:uiPriority w:val="30"/>
    <w:qFormat/>
    <w:rsid w:val="00BD0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883"/>
    <w:rPr>
      <w:i/>
      <w:iCs/>
      <w:color w:val="0F4761" w:themeColor="accent1" w:themeShade="BF"/>
    </w:rPr>
  </w:style>
  <w:style w:type="character" w:styleId="IntenseReference">
    <w:name w:val="Intense Reference"/>
    <w:basedOn w:val="DefaultParagraphFont"/>
    <w:uiPriority w:val="32"/>
    <w:qFormat/>
    <w:rsid w:val="00BD0883"/>
    <w:rPr>
      <w:b/>
      <w:bCs/>
      <w:smallCaps/>
      <w:color w:val="0F4761" w:themeColor="accent1" w:themeShade="BF"/>
      <w:spacing w:val="5"/>
    </w:rPr>
  </w:style>
  <w:style w:type="paragraph" w:styleId="NormalWeb">
    <w:name w:val="Normal (Web)"/>
    <w:basedOn w:val="Normal"/>
    <w:uiPriority w:val="99"/>
    <w:semiHidden/>
    <w:unhideWhenUsed/>
    <w:rsid w:val="00533CA3"/>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684127">
      <w:bodyDiv w:val="1"/>
      <w:marLeft w:val="0"/>
      <w:marRight w:val="0"/>
      <w:marTop w:val="0"/>
      <w:marBottom w:val="0"/>
      <w:divBdr>
        <w:top w:val="none" w:sz="0" w:space="0" w:color="auto"/>
        <w:left w:val="none" w:sz="0" w:space="0" w:color="auto"/>
        <w:bottom w:val="none" w:sz="0" w:space="0" w:color="auto"/>
        <w:right w:val="none" w:sz="0" w:space="0" w:color="auto"/>
      </w:divBdr>
    </w:div>
    <w:div w:id="1928146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987</Words>
  <Characters>5630</Characters>
  <Application>Microsoft Office Word</Application>
  <DocSecurity>0</DocSecurity>
  <Lines>46</Lines>
  <Paragraphs>13</Paragraphs>
  <ScaleCrop>false</ScaleCrop>
  <Company/>
  <LinksUpToDate>false</LinksUpToDate>
  <CharactersWithSpaces>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GEORG ROTOV</dc:creator>
  <cp:keywords/>
  <dc:description/>
  <cp:lastModifiedBy>DENIS GEORG ROTOV</cp:lastModifiedBy>
  <cp:revision>8</cp:revision>
  <dcterms:created xsi:type="dcterms:W3CDTF">2025-04-04T12:21:00Z</dcterms:created>
  <dcterms:modified xsi:type="dcterms:W3CDTF">2025-04-04T16:35:00Z</dcterms:modified>
</cp:coreProperties>
</file>