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6A090A34" w14:textId="2572F189" w:rsidR="00C60395" w:rsidRPr="00A4086B" w:rsidRDefault="0035578D" w:rsidP="007243A1">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a Simpl</w:t>
      </w:r>
      <w:r w:rsidR="00AF56C1">
        <w:rPr>
          <w:rFonts w:cs="Times New Roman"/>
          <w:sz w:val="24"/>
          <w:szCs w:val="24"/>
        </w:rPr>
        <w:t xml:space="preserve">e Interaction Format (SIF) </w:t>
      </w:r>
      <w:r w:rsidR="00B82A62">
        <w:rPr>
          <w:rFonts w:cs="Times New Roman"/>
          <w:sz w:val="24"/>
          <w:szCs w:val="24"/>
        </w:rPr>
        <w:t xml:space="preserve">text </w:t>
      </w:r>
      <w:r w:rsidR="00AF56C1">
        <w:rPr>
          <w:rFonts w:cs="Times New Roman"/>
          <w:sz w:val="24"/>
          <w:szCs w:val="24"/>
        </w:rPr>
        <w:t xml:space="preserve">file, or a GraphML </w:t>
      </w:r>
      <w:r w:rsidR="00B82A62">
        <w:rPr>
          <w:rFonts w:cs="Times New Roman"/>
          <w:sz w:val="24"/>
          <w:szCs w:val="24"/>
        </w:rPr>
        <w:t xml:space="preserve">XML </w:t>
      </w:r>
      <w:r w:rsidR="00672237">
        <w:rPr>
          <w:rFonts w:cs="Times New Roman"/>
          <w:sz w:val="24"/>
          <w:szCs w:val="24"/>
        </w:rPr>
        <w:t>file</w:t>
      </w:r>
      <w:r w:rsidRPr="002B2DCB">
        <w:rPr>
          <w:rFonts w:cs="Times New Roman"/>
          <w:sz w:val="24"/>
          <w:szCs w:val="24"/>
        </w:rPr>
        <w:t>. When a user uploads a</w:t>
      </w:r>
      <w:r w:rsidR="00CF3DA0">
        <w:rPr>
          <w:rFonts w:cs="Times New Roman"/>
          <w:sz w:val="24"/>
          <w:szCs w:val="24"/>
        </w:rPr>
        <w:t xml:space="preserve">n input file </w:t>
      </w:r>
      <w:r w:rsidR="00672237">
        <w:rPr>
          <w:rFonts w:cs="Times New Roman"/>
          <w:sz w:val="24"/>
          <w:szCs w:val="24"/>
        </w:rPr>
        <w:t>specifying an</w:t>
      </w:r>
      <w:r w:rsidRPr="002B2DCB">
        <w:rPr>
          <w:rFonts w:cs="Times New Roman"/>
          <w:sz w:val="24"/>
          <w:szCs w:val="24"/>
        </w:rPr>
        <w:t xml:space="preserve"> unweighted </w:t>
      </w:r>
      <w:r w:rsidR="00672237">
        <w:rPr>
          <w:rFonts w:cs="Times New Roman"/>
          <w:sz w:val="24"/>
          <w:szCs w:val="24"/>
        </w:rPr>
        <w:t>network</w:t>
      </w:r>
      <w:r w:rsidRPr="002B2DCB">
        <w:rPr>
          <w:rFonts w:cs="Times New Roman"/>
          <w:sz w:val="24"/>
          <w:szCs w:val="24"/>
        </w:rPr>
        <w:t xml:space="preserve">, GRNsight automatically lays out the graph using black lines and pointed arrowheads.  </w:t>
      </w:r>
      <w:r w:rsidR="006A6268">
        <w:rPr>
          <w:rFonts w:cs="Times New Roman"/>
          <w:sz w:val="24"/>
          <w:szCs w:val="24"/>
        </w:rPr>
        <w:t>For</w:t>
      </w:r>
      <w:r w:rsidRPr="002B2DCB">
        <w:rPr>
          <w:rFonts w:cs="Times New Roman"/>
          <w:sz w:val="24"/>
          <w:szCs w:val="24"/>
        </w:rPr>
        <w:t xml:space="preserve"> a weighted </w:t>
      </w:r>
      <w:r w:rsidR="00672237">
        <w:rPr>
          <w:rFonts w:cs="Times New Roman"/>
          <w:sz w:val="24"/>
          <w:szCs w:val="24"/>
        </w:rPr>
        <w:t>network</w:t>
      </w:r>
      <w:r w:rsidRPr="002B2DCB">
        <w:rPr>
          <w:rFonts w:cs="Times New Roman"/>
          <w:sz w:val="24"/>
          <w:szCs w:val="24"/>
        </w:rPr>
        <w:t>,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and complying with FAIR Principles</w:t>
      </w:r>
      <w:r w:rsidRPr="003B7C8C">
        <w:rPr>
          <w:rFonts w:cs="Times New Roman"/>
          <w:sz w:val="24"/>
          <w:szCs w:val="24"/>
        </w:rPr>
        <w:t>,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w:t>
      </w:r>
      <w:r w:rsidR="00672237">
        <w:rPr>
          <w:sz w:val="24"/>
          <w:szCs w:val="24"/>
        </w:rPr>
        <w:t xml:space="preserve">The </w:t>
      </w:r>
      <w:r w:rsidRPr="002B2DCB">
        <w:rPr>
          <w:sz w:val="24"/>
          <w:szCs w:val="24"/>
        </w:rPr>
        <w:t xml:space="preserve">GRNsight </w:t>
      </w:r>
      <w:r w:rsidR="00672237">
        <w:rPr>
          <w:sz w:val="24"/>
          <w:szCs w:val="24"/>
        </w:rPr>
        <w:t>application (</w:t>
      </w:r>
      <w:r w:rsidR="00672237" w:rsidRPr="00672237">
        <w:rPr>
          <w:sz w:val="24"/>
          <w:szCs w:val="24"/>
        </w:rPr>
        <w:t>http://dondi.github.io/GRNsight/</w:t>
      </w:r>
      <w:r w:rsidR="00672237">
        <w:rPr>
          <w:sz w:val="24"/>
          <w:szCs w:val="24"/>
        </w:rPr>
        <w:t>) and code (</w:t>
      </w:r>
      <w:r w:rsidR="00672237" w:rsidRPr="00672237">
        <w:rPr>
          <w:sz w:val="24"/>
          <w:szCs w:val="24"/>
        </w:rPr>
        <w:t>https://github.com/dondi/GRNsight</w:t>
      </w:r>
      <w:r w:rsidR="00672237">
        <w:rPr>
          <w:sz w:val="24"/>
          <w:szCs w:val="24"/>
        </w:rPr>
        <w:t>) are</w:t>
      </w:r>
      <w:r w:rsidRPr="002B2DCB">
        <w:rPr>
          <w:sz w:val="24"/>
          <w:szCs w:val="24"/>
        </w:rPr>
        <w:t xml:space="preserve"> available </w:t>
      </w:r>
      <w:r>
        <w:rPr>
          <w:sz w:val="24"/>
          <w:szCs w:val="24"/>
        </w:rPr>
        <w:t>under the open source BSD license</w:t>
      </w:r>
      <w:r w:rsidR="00672237">
        <w:rPr>
          <w:sz w:val="24"/>
          <w:szCs w:val="24"/>
        </w:rPr>
        <w:t>.</w:t>
      </w:r>
      <w:r w:rsidR="00C60395"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56B9BE3D" w:rsidR="000B7F94" w:rsidRDefault="000B7F94" w:rsidP="007243A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w:t>
      </w:r>
      <w:r w:rsidR="00A35A8B">
        <w:rPr>
          <w:sz w:val="24"/>
          <w:szCs w:val="24"/>
        </w:rPr>
        <w:t xml:space="preserve">also </w:t>
      </w:r>
      <w:r w:rsidR="005E48B1">
        <w:rPr>
          <w:sz w:val="24"/>
          <w:szCs w:val="24"/>
        </w:rPr>
        <w:t xml:space="preserve">make </w:t>
      </w:r>
      <w:r w:rsidR="00A35A8B">
        <w:rPr>
          <w:sz w:val="24"/>
          <w:szCs w:val="24"/>
        </w:rPr>
        <w:t xml:space="preserve">our tool </w:t>
      </w:r>
      <w:r w:rsidR="00D10AB4">
        <w:rPr>
          <w:sz w:val="24"/>
          <w:szCs w:val="24"/>
        </w:rPr>
        <w:t>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1348C13A"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Prlic and Procter</w:t>
      </w:r>
      <w:r w:rsidR="00297070">
        <w:rPr>
          <w:sz w:val="24"/>
          <w:szCs w:val="24"/>
        </w:rPr>
        <w:t>, 2012</w:t>
      </w:r>
      <w:r>
        <w:rPr>
          <w:sz w:val="24"/>
          <w:szCs w:val="24"/>
        </w:rPr>
        <w:t xml:space="preserve">; </w:t>
      </w:r>
      <w:r w:rsidRPr="00F23987">
        <w:rPr>
          <w:sz w:val="24"/>
          <w:szCs w:val="24"/>
        </w:rPr>
        <w:t>Wilson et al., 2014)</w:t>
      </w:r>
      <w:r w:rsidR="00297070">
        <w:rPr>
          <w:sz w:val="24"/>
          <w:szCs w:val="24"/>
        </w:rPr>
        <w:t>;</w:t>
      </w:r>
    </w:p>
    <w:p w14:paraId="3884672F" w14:textId="21C9637F"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297070">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396D1F9F"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sidRPr="00C533CB">
        <w:rPr>
          <w:rFonts w:cs="Times New Roman"/>
          <w:sz w:val="24"/>
          <w:szCs w:val="24"/>
        </w:rPr>
        <w:t>GraphML</w:t>
      </w:r>
      <w:r w:rsidR="00297070" w:rsidRPr="00C533CB">
        <w:rPr>
          <w:rFonts w:cs="Times New Roman"/>
          <w:sz w:val="24"/>
          <w:szCs w:val="24"/>
        </w:rPr>
        <w:t xml:space="preserve"> (.graphml;</w:t>
      </w:r>
      <w:r w:rsidR="00F342E4" w:rsidRPr="00C533CB">
        <w:rPr>
          <w:rFonts w:cs="Times New Roman"/>
          <w:sz w:val="24"/>
          <w:szCs w:val="24"/>
        </w:rPr>
        <w:t xml:space="preserve"> </w:t>
      </w:r>
      <w:r w:rsidR="00B17856" w:rsidRPr="00C533CB">
        <w:rPr>
          <w:rFonts w:cs="Times New Roman"/>
          <w:sz w:val="24"/>
          <w:szCs w:val="24"/>
        </w:rPr>
        <w:t>Brandes et al.</w:t>
      </w:r>
      <w:r w:rsidR="00297070" w:rsidRPr="00C533CB">
        <w:rPr>
          <w:rFonts w:cs="Times New Roman"/>
          <w:sz w:val="24"/>
          <w:szCs w:val="24"/>
        </w:rPr>
        <w:t>,</w:t>
      </w:r>
      <w:r w:rsidR="00B17856" w:rsidRPr="00C533CB">
        <w:rPr>
          <w:rFonts w:cs="Times New Roman"/>
          <w:sz w:val="24"/>
          <w:szCs w:val="24"/>
        </w:rPr>
        <w:t xml:space="preserve"> 2001</w:t>
      </w:r>
      <w:r w:rsidR="00297070" w:rsidRPr="00C533CB">
        <w:rPr>
          <w:rFonts w:cs="Times New Roman"/>
          <w:sz w:val="24"/>
          <w:szCs w:val="24"/>
        </w:rPr>
        <w:t>;</w:t>
      </w:r>
      <w:r w:rsidR="00B17856" w:rsidRPr="00C533CB">
        <w:rPr>
          <w:rFonts w:cs="Times New Roman"/>
          <w:sz w:val="24"/>
          <w:szCs w:val="24"/>
        </w:rPr>
        <w:t xml:space="preserve"> </w:t>
      </w:r>
      <w:r w:rsidR="00F342E4" w:rsidRPr="00C533CB">
        <w:rPr>
          <w:rFonts w:cs="Times New Roman"/>
          <w:i/>
          <w:sz w:val="24"/>
          <w:szCs w:val="24"/>
        </w:rPr>
        <w:t>http://graphml.graphdrawing.org/</w:t>
      </w:r>
      <w:r w:rsidR="00F342E4" w:rsidRPr="00C533CB">
        <w:rPr>
          <w:rFonts w:cs="Times New Roman"/>
          <w:sz w:val="24"/>
          <w:szCs w:val="24"/>
        </w:rPr>
        <w:t>) files and export</w:t>
      </w:r>
      <w:r w:rsidR="00F342E4" w:rsidRPr="00771E30">
        <w:rPr>
          <w:rFonts w:cs="Times New Roman"/>
          <w:sz w:val="24"/>
          <w:szCs w:val="24"/>
        </w:rPr>
        <w:t xml:space="preserve">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297070">
        <w:rPr>
          <w:rFonts w:cs="Times New Roman"/>
          <w:sz w:val="24"/>
          <w:szCs w:val="24"/>
        </w:rPr>
        <w:t>the GRNsight D</w:t>
      </w:r>
      <w:r w:rsidR="0053275F">
        <w:rPr>
          <w:rFonts w:cs="Times New Roman"/>
          <w:sz w:val="24"/>
          <w:szCs w:val="24"/>
        </w:rPr>
        <w:t>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764E1E3E"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w:t>
      </w:r>
      <w:r w:rsidR="00297070">
        <w:rPr>
          <w:sz w:val="24"/>
          <w:szCs w:val="24"/>
        </w:rPr>
        <w:t>,</w:t>
      </w:r>
      <w:r w:rsidRPr="00F23987">
        <w:rPr>
          <w:sz w:val="24"/>
          <w:szCs w:val="24"/>
        </w:rPr>
        <w:t xml:space="preserve">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19C3A54B"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w:t>
      </w:r>
      <w:r w:rsidR="00297070">
        <w:rPr>
          <w:sz w:val="24"/>
          <w:szCs w:val="24"/>
        </w:rPr>
        <w:t>,</w:t>
      </w:r>
      <w:r w:rsidR="00D53AD5">
        <w:rPr>
          <w:sz w:val="24"/>
          <w:szCs w:val="24"/>
        </w:rPr>
        <w:t xml:space="preserve">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w:t>
      </w:r>
      <w:r w:rsidR="00DE2224">
        <w:rPr>
          <w:sz w:val="24"/>
          <w:szCs w:val="24"/>
        </w:rPr>
        <w:t xml:space="preserve"> visualization engine was</w:t>
      </w:r>
      <w:r w:rsidR="00E94267">
        <w:rPr>
          <w:sz w:val="24"/>
          <w:szCs w:val="24"/>
        </w:rPr>
        <w:t xml:space="preserve"> made </w:t>
      </w:r>
      <w:r w:rsidR="00DE2224">
        <w:rPr>
          <w:sz w:val="24"/>
          <w:szCs w:val="24"/>
        </w:rPr>
        <w:t xml:space="preserve">simply </w:t>
      </w:r>
      <w:r w:rsidR="00E94267">
        <w:rPr>
          <w:sz w:val="24"/>
          <w:szCs w:val="24"/>
        </w:rPr>
        <w:t>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58F94B5A"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Nielsen</w:t>
      </w:r>
      <w:r w:rsidR="00297070">
        <w:rPr>
          <w:sz w:val="24"/>
          <w:szCs w:val="24"/>
        </w:rPr>
        <w:t>,</w:t>
      </w:r>
      <w:r w:rsidR="00F2081F" w:rsidRPr="00F23987">
        <w:rPr>
          <w:sz w:val="24"/>
          <w:szCs w:val="24"/>
        </w:rPr>
        <w:t xml:space="preserve">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w:t>
      </w:r>
      <w:r w:rsidR="00297070">
        <w:rPr>
          <w:sz w:val="24"/>
          <w:szCs w:val="24"/>
        </w:rPr>
        <w:t>,</w:t>
      </w:r>
      <w:r w:rsidR="006801CB" w:rsidRPr="00F23987">
        <w:rPr>
          <w:sz w:val="24"/>
          <w:szCs w:val="24"/>
        </w:rPr>
        <w:t xml:space="preserve">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5360E43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w:t>
      </w:r>
      <w:r w:rsidR="00297070">
        <w:rPr>
          <w:sz w:val="24"/>
          <w:szCs w:val="24"/>
        </w:rPr>
        <w:t>,</w:t>
      </w:r>
      <w:r w:rsidR="00FA03A2" w:rsidRPr="00F23987">
        <w:rPr>
          <w:sz w:val="24"/>
          <w:szCs w:val="24"/>
        </w:rPr>
        <w:t xml:space="preserve">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30D7B830" w:rsidR="007052B5" w:rsidRPr="005E4D1B" w:rsidRDefault="007052B5" w:rsidP="009F7917">
      <w:pPr>
        <w:spacing w:before="240" w:after="240" w:line="480" w:lineRule="auto"/>
        <w:ind w:firstLine="720"/>
        <w:rPr>
          <w:sz w:val="24"/>
          <w:szCs w:val="24"/>
        </w:rPr>
      </w:pPr>
      <w:r w:rsidRPr="00F23987">
        <w:rPr>
          <w:sz w:val="24"/>
          <w:szCs w:val="24"/>
        </w:rPr>
        <w:t>GRNsight</w:t>
      </w:r>
      <w:r w:rsidR="00297070">
        <w:rPr>
          <w:sz w:val="24"/>
          <w:szCs w:val="24"/>
        </w:rPr>
        <w:t xml:space="preserve"> (currently version 1.18.1)</w:t>
      </w:r>
      <w:r w:rsidRPr="00F23987">
        <w:rPr>
          <w:sz w:val="24"/>
          <w:szCs w:val="24"/>
        </w:rPr>
        <w:t xml:space="preserve">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t>
      </w:r>
      <w:r w:rsidR="000D5CB0">
        <w:rPr>
          <w:sz w:val="24"/>
          <w:szCs w:val="24"/>
        </w:rPr>
        <w:t>website</w:t>
      </w:r>
      <w:r w:rsidR="00656478" w:rsidRPr="00FA0331">
        <w:rPr>
          <w:sz w:val="24"/>
          <w:szCs w:val="24"/>
        </w:rPr>
        <w:t xml:space="preserve"> is free and open to all users, and there is no login requirement.  </w:t>
      </w:r>
      <w:r w:rsidR="000D5CB0">
        <w:rPr>
          <w:sz w:val="24"/>
          <w:szCs w:val="24"/>
        </w:rPr>
        <w:t>Web</w:t>
      </w:r>
      <w:r w:rsidRPr="00FA0331">
        <w:rPr>
          <w:sz w:val="24"/>
          <w:szCs w:val="24"/>
        </w:rPr>
        <w:t>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50FF2C43"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w:t>
      </w:r>
      <w:r w:rsidR="00C10415">
        <w:rPr>
          <w:sz w:val="24"/>
          <w:szCs w:val="24"/>
        </w:rPr>
        <w:t>ive</w:t>
      </w:r>
      <w:r>
        <w:rPr>
          <w:sz w:val="24"/>
          <w:szCs w:val="24"/>
        </w:rPr>
        <w:t xml:space="preserve">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0BD49764" w:rsidR="00FA0331" w:rsidRDefault="00FA0331" w:rsidP="00FA0331">
      <w:pPr>
        <w:pStyle w:val="ListParagraph"/>
        <w:numPr>
          <w:ilvl w:val="0"/>
          <w:numId w:val="6"/>
        </w:numPr>
        <w:spacing w:before="240" w:after="240" w:line="480" w:lineRule="auto"/>
        <w:rPr>
          <w:sz w:val="24"/>
          <w:szCs w:val="24"/>
        </w:rPr>
      </w:pPr>
      <w:r>
        <w:rPr>
          <w:sz w:val="24"/>
          <w:szCs w:val="24"/>
        </w:rPr>
        <w:t>It reads a weighted</w:t>
      </w:r>
      <w:r w:rsidR="00297070">
        <w:rPr>
          <w:sz w:val="24"/>
          <w:szCs w:val="24"/>
        </w:rPr>
        <w:t xml:space="preserve"> or unweighted adjacency matrix </w:t>
      </w:r>
      <w:r>
        <w:rPr>
          <w:sz w:val="24"/>
          <w:szCs w:val="24"/>
        </w:rPr>
        <w:t>where the regulatory transcription factors are in columns and the target genes are in rows</w:t>
      </w:r>
      <w:r w:rsidR="00297070">
        <w:rPr>
          <w:sz w:val="24"/>
          <w:szCs w:val="24"/>
        </w:rPr>
        <w:t xml:space="preserve"> (Excel format-only)</w:t>
      </w:r>
      <w:r>
        <w:rPr>
          <w:sz w:val="24"/>
          <w:szCs w:val="24"/>
        </w:rPr>
        <w:t>;</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2B3203E2"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w:t>
      </w:r>
      <w:r w:rsidR="00BD0B4B">
        <w:rPr>
          <w:sz w:val="24"/>
          <w:szCs w:val="24"/>
        </w:rPr>
        <w:t>,</w:t>
      </w:r>
      <w:r w:rsidR="0054786B" w:rsidRPr="00F76A5A">
        <w:rPr>
          <w:sz w:val="24"/>
          <w:szCs w:val="24"/>
        </w:rPr>
        <w:t xml:space="preserve">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0F06D7BF" w:rsidR="00CA20D5" w:rsidRPr="00C533CB"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w:t>
      </w:r>
      <w:r w:rsidR="00C564A3" w:rsidRPr="00C533CB">
        <w:rPr>
          <w:sz w:val="24"/>
          <w:szCs w:val="24"/>
        </w:rPr>
        <w:t>network.  For each of these</w:t>
      </w:r>
      <w:r w:rsidR="005B5790" w:rsidRPr="00C533CB">
        <w:rPr>
          <w:sz w:val="24"/>
          <w:szCs w:val="24"/>
        </w:rPr>
        <w:t xml:space="preserve"> regulators</w:t>
      </w:r>
      <w:r w:rsidR="00C564A3" w:rsidRPr="00C533CB">
        <w:rPr>
          <w:sz w:val="24"/>
          <w:szCs w:val="24"/>
        </w:rPr>
        <w:t>, there is experimental evidence to support their opposite effects on gene expression, although not necessarily</w:t>
      </w:r>
      <w:r w:rsidR="00212750" w:rsidRPr="00C533CB">
        <w:rPr>
          <w:sz w:val="24"/>
          <w:szCs w:val="24"/>
        </w:rPr>
        <w:t xml:space="preserve"> for these particular target gen</w:t>
      </w:r>
      <w:r w:rsidR="00C564A3" w:rsidRPr="00C533CB">
        <w:rPr>
          <w:sz w:val="24"/>
          <w:szCs w:val="24"/>
        </w:rPr>
        <w:t>es (</w:t>
      </w:r>
      <w:r w:rsidR="00655BF8" w:rsidRPr="00C533CB">
        <w:rPr>
          <w:sz w:val="24"/>
          <w:szCs w:val="24"/>
        </w:rPr>
        <w:t>RAP1</w:t>
      </w:r>
      <w:r w:rsidR="00C564A3" w:rsidRPr="00C533CB">
        <w:rPr>
          <w:sz w:val="24"/>
          <w:szCs w:val="24"/>
        </w:rPr>
        <w:t xml:space="preserve">:  </w:t>
      </w:r>
      <w:r w:rsidR="00A41A64" w:rsidRPr="00C533CB">
        <w:rPr>
          <w:sz w:val="24"/>
          <w:szCs w:val="24"/>
        </w:rPr>
        <w:t>Shore and Nasmyth, 1987</w:t>
      </w:r>
      <w:r w:rsidR="00C564A3" w:rsidRPr="00C533CB">
        <w:rPr>
          <w:sz w:val="24"/>
          <w:szCs w:val="24"/>
        </w:rPr>
        <w:t>; PHD1:  Borneman et al. 2006, ABF1:  Buchman and Kornberg</w:t>
      </w:r>
      <w:r w:rsidR="00BD0B4B" w:rsidRPr="00C533CB">
        <w:rPr>
          <w:sz w:val="24"/>
          <w:szCs w:val="24"/>
        </w:rPr>
        <w:t>, 1990 and</w:t>
      </w:r>
      <w:r w:rsidR="00C564A3" w:rsidRPr="00C533CB">
        <w:rPr>
          <w:sz w:val="24"/>
          <w:szCs w:val="24"/>
        </w:rPr>
        <w:t xml:space="preserve"> Miyake et al.</w:t>
      </w:r>
      <w:r w:rsidR="00BD0B4B" w:rsidRPr="00C533CB">
        <w:rPr>
          <w:sz w:val="24"/>
          <w:szCs w:val="24"/>
        </w:rPr>
        <w:t>,</w:t>
      </w:r>
      <w:r w:rsidR="00C564A3" w:rsidRPr="00C533CB">
        <w:rPr>
          <w:sz w:val="24"/>
          <w:szCs w:val="24"/>
        </w:rPr>
        <w:t xml:space="preserve"> 2004; CIN5 and SKN7:  Ni et al.</w:t>
      </w:r>
      <w:r w:rsidR="00BD0B4B" w:rsidRPr="00C533CB">
        <w:rPr>
          <w:sz w:val="24"/>
          <w:szCs w:val="24"/>
        </w:rPr>
        <w:t>,</w:t>
      </w:r>
      <w:r w:rsidR="00C564A3" w:rsidRPr="00C533CB">
        <w:rPr>
          <w:sz w:val="24"/>
          <w:szCs w:val="24"/>
        </w:rPr>
        <w:t xml:space="preserve"> 2009</w:t>
      </w:r>
      <w:r w:rsidR="00A41A64" w:rsidRPr="00C533CB">
        <w:rPr>
          <w:sz w:val="24"/>
          <w:szCs w:val="24"/>
        </w:rPr>
        <w:t>)</w:t>
      </w:r>
      <w:r w:rsidR="00655BF8" w:rsidRPr="00C533CB">
        <w:rPr>
          <w:sz w:val="24"/>
          <w:szCs w:val="24"/>
        </w:rPr>
        <w:t xml:space="preserve">. </w:t>
      </w:r>
      <w:r w:rsidR="00CA20D5" w:rsidRPr="00C533CB">
        <w:rPr>
          <w:sz w:val="24"/>
          <w:szCs w:val="24"/>
        </w:rPr>
        <w:t xml:space="preserve"> Except for CIN5, what these genes have in common is that they themselves have no inputs in the network.  The remaining no-input genes (ACE2, MAC1, and HAL9) have only one outgoing edge in this network.</w:t>
      </w:r>
      <w:r w:rsidR="00ED1CDF" w:rsidRPr="00C533CB">
        <w:rPr>
          <w:sz w:val="24"/>
          <w:szCs w:val="24"/>
        </w:rPr>
        <w:t xml:space="preserve">  Because these</w:t>
      </w:r>
      <w:r w:rsidR="00ED1CDF">
        <w:rPr>
          <w:sz w:val="24"/>
          <w:szCs w:val="24"/>
        </w:rPr>
        <w:t xml:space="preserve"> genes have no in</w:t>
      </w:r>
      <w:r w:rsidR="00C564A3">
        <w:rPr>
          <w:sz w:val="24"/>
          <w:szCs w:val="24"/>
        </w:rPr>
        <w:t>puts and, in some sense, have been artific</w:t>
      </w:r>
      <w:r w:rsidR="002C1819">
        <w:rPr>
          <w:sz w:val="24"/>
          <w:szCs w:val="24"/>
        </w:rPr>
        <w:t>i</w:t>
      </w:r>
      <w:r w:rsidR="00C564A3">
        <w:rPr>
          <w:sz w:val="24"/>
          <w:szCs w:val="24"/>
        </w:rPr>
        <w:t xml:space="preserve">ally disconnected from the larger </w:t>
      </w:r>
      <w:r w:rsidR="00C564A3" w:rsidRPr="00C533CB">
        <w:rPr>
          <w:sz w:val="24"/>
          <w:szCs w:val="24"/>
        </w:rPr>
        <w:t xml:space="preserve">GRN </w:t>
      </w:r>
      <w:r w:rsidR="00ED1CDF" w:rsidRPr="00C533CB">
        <w:rPr>
          <w:sz w:val="24"/>
          <w:szCs w:val="24"/>
        </w:rPr>
        <w:t>of</w:t>
      </w:r>
      <w:r w:rsidR="00C564A3" w:rsidRPr="00C533CB">
        <w:rPr>
          <w:sz w:val="24"/>
          <w:szCs w:val="24"/>
        </w:rPr>
        <w:t xml:space="preserve">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C533CB">
        <w:rPr>
          <w:sz w:val="24"/>
          <w:szCs w:val="24"/>
        </w:rPr>
        <w:t>Thus, GRNsight enables one to interpret the weight parameters more easily than one could from the adjacency matrix alone.</w:t>
      </w:r>
      <w:r w:rsidR="00F2557D" w:rsidRPr="00C533CB">
        <w:rPr>
          <w:sz w:val="24"/>
          <w:szCs w:val="24"/>
        </w:rPr>
        <w:t xml:space="preserve">  </w:t>
      </w:r>
      <w:r w:rsidR="005B5790" w:rsidRPr="00C533CB">
        <w:rPr>
          <w:sz w:val="24"/>
          <w:szCs w:val="24"/>
        </w:rPr>
        <w:t xml:space="preserve">Visual inspection has long been recognized by experts such as Tufte (1983) and Card, Mackinlay, and Shneiderman (1999) as distinct from other forms of purely </w:t>
      </w:r>
      <w:r w:rsidR="002C1819" w:rsidRPr="00C533CB">
        <w:rPr>
          <w:sz w:val="24"/>
          <w:szCs w:val="24"/>
        </w:rPr>
        <w:t xml:space="preserve">numeric, </w:t>
      </w:r>
      <w:r w:rsidR="005B5790" w:rsidRPr="00C533CB">
        <w:rPr>
          <w:sz w:val="24"/>
          <w:szCs w:val="24"/>
        </w:rPr>
        <w:t>computational</w:t>
      </w:r>
      <w:r w:rsidR="002C1819" w:rsidRPr="00C533CB">
        <w:rPr>
          <w:sz w:val="24"/>
          <w:szCs w:val="24"/>
        </w:rPr>
        <w:t>,</w:t>
      </w:r>
      <w:r w:rsidR="005B5790" w:rsidRPr="00C533CB">
        <w:rPr>
          <w:sz w:val="24"/>
          <w:szCs w:val="24"/>
        </w:rPr>
        <w:t xml:space="preserve"> or algorithmic data analysis, and </w:t>
      </w:r>
      <w:r w:rsidR="001D7136" w:rsidRPr="00C533CB">
        <w:rPr>
          <w:sz w:val="24"/>
          <w:szCs w:val="24"/>
        </w:rPr>
        <w:t xml:space="preserve">as the preceding discussion highlights, </w:t>
      </w:r>
      <w:r w:rsidR="005B5790" w:rsidRPr="00C533CB">
        <w:rPr>
          <w:sz w:val="24"/>
          <w:szCs w:val="24"/>
        </w:rPr>
        <w:t>it is this potential that can be derived specifically by vi</w:t>
      </w:r>
      <w:r w:rsidR="001D7136" w:rsidRPr="00C533CB">
        <w:rPr>
          <w:sz w:val="24"/>
          <w:szCs w:val="24"/>
        </w:rPr>
        <w:t>sual inspection that is enabled</w:t>
      </w:r>
      <w:r w:rsidR="005B5790" w:rsidRPr="00C533CB">
        <w:rPr>
          <w:sz w:val="24"/>
          <w:szCs w:val="24"/>
        </w:rPr>
        <w:t xml:space="preserve"> by GRNsight.  Card, Mackinlay, and Shneiderman </w:t>
      </w:r>
      <w:r w:rsidR="00637660" w:rsidRPr="00C533CB">
        <w:rPr>
          <w:sz w:val="24"/>
          <w:szCs w:val="24"/>
        </w:rPr>
        <w:t xml:space="preserve">(1999) </w:t>
      </w:r>
      <w:r w:rsidR="005B5790" w:rsidRPr="00C533CB">
        <w:rPr>
          <w:sz w:val="24"/>
          <w:szCs w:val="24"/>
        </w:rPr>
        <w:t>have identified six major ways,</w:t>
      </w:r>
      <w:r w:rsidR="005B5790" w:rsidRPr="005B5790">
        <w:rPr>
          <w:sz w:val="24"/>
          <w:szCs w:val="24"/>
        </w:rPr>
        <w:t xml:space="preserve">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2D706A53"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w:t>
      </w:r>
      <w:r w:rsidR="00ED1CDF">
        <w:rPr>
          <w:sz w:val="24"/>
          <w:szCs w:val="24"/>
        </w:rPr>
        <w:t>,</w:t>
      </w:r>
      <w:r w:rsidR="001F7C7C" w:rsidRPr="00F23987">
        <w:rPr>
          <w:sz w:val="24"/>
          <w:szCs w:val="24"/>
        </w:rPr>
        <w:t xml:space="preserve">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0E0D3486"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open development (Prlic and Procter</w:t>
      </w:r>
      <w:r w:rsidR="00ED1CDF">
        <w:rPr>
          <w:sz w:val="24"/>
          <w:szCs w:val="24"/>
        </w:rPr>
        <w:t>,</w:t>
      </w:r>
      <w:r w:rsidR="000B4703">
        <w:rPr>
          <w:sz w:val="24"/>
          <w:szCs w:val="24"/>
        </w:rPr>
        <w:t xml:space="preserve"> 2012), </w:t>
      </w:r>
      <w:r w:rsidR="00773FE9" w:rsidRPr="00F23987">
        <w:rPr>
          <w:sz w:val="24"/>
          <w:szCs w:val="24"/>
        </w:rPr>
        <w:t xml:space="preserve">scientific computing </w:t>
      </w:r>
      <w:r w:rsidR="000B4703">
        <w:rPr>
          <w:sz w:val="24"/>
          <w:szCs w:val="24"/>
        </w:rPr>
        <w:t>(Wilson et al.</w:t>
      </w:r>
      <w:r w:rsidR="00ED1CDF">
        <w:rPr>
          <w:sz w:val="24"/>
          <w:szCs w:val="24"/>
        </w:rPr>
        <w:t>,</w:t>
      </w:r>
      <w:r w:rsidR="000B4703">
        <w:rPr>
          <w:sz w:val="24"/>
          <w:szCs w:val="24"/>
        </w:rPr>
        <w:t xml:space="preserve"> </w:t>
      </w:r>
      <w:r w:rsidR="00773FE9" w:rsidRPr="00F23987">
        <w:rPr>
          <w:sz w:val="24"/>
          <w:szCs w:val="24"/>
        </w:rPr>
        <w:t>2014)</w:t>
      </w:r>
      <w:r w:rsidR="000B4703">
        <w:rPr>
          <w:sz w:val="24"/>
          <w:szCs w:val="24"/>
        </w:rPr>
        <w:t xml:space="preserve">, </w:t>
      </w:r>
      <w:r w:rsidR="00773FE9" w:rsidRPr="00F23987">
        <w:rPr>
          <w:sz w:val="24"/>
          <w:szCs w:val="24"/>
        </w:rPr>
        <w:t xml:space="preserve">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w:t>
      </w:r>
      <w:r w:rsidR="00ED1CDF">
        <w:rPr>
          <w:sz w:val="24"/>
          <w:szCs w:val="24"/>
        </w:rPr>
        <w:t>,</w:t>
      </w:r>
      <w:r w:rsidR="000B4703">
        <w:rPr>
          <w:sz w:val="24"/>
          <w:szCs w:val="24"/>
        </w:rPr>
        <w:t xml:space="preserve">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065D48CB"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sidR="00ED1CDF">
        <w:rPr>
          <w:sz w:val="24"/>
          <w:szCs w:val="24"/>
        </w:rPr>
        <w:t>“release early, release</w:t>
      </w:r>
      <w:r>
        <w:rPr>
          <w:sz w:val="24"/>
          <w:szCs w:val="24"/>
        </w:rPr>
        <w:t xml:space="preserve"> </w:t>
      </w:r>
      <w:r w:rsidRPr="00C533CB">
        <w:rPr>
          <w:sz w:val="24"/>
          <w:szCs w:val="24"/>
        </w:rPr>
        <w:t xml:space="preserve">often” </w:t>
      </w:r>
      <w:r w:rsidR="00ED1CDF" w:rsidRPr="00C533CB">
        <w:rPr>
          <w:sz w:val="24"/>
          <w:szCs w:val="24"/>
        </w:rPr>
        <w:t xml:space="preserve">(Torvalds in Raymond, 1999) </w:t>
      </w:r>
      <w:r w:rsidRPr="00C533CB">
        <w:rPr>
          <w:sz w:val="24"/>
          <w:szCs w:val="24"/>
        </w:rPr>
        <w:t xml:space="preserve">and </w:t>
      </w:r>
      <w:r w:rsidR="006C5787" w:rsidRPr="00C533CB">
        <w:rPr>
          <w:sz w:val="24"/>
          <w:szCs w:val="24"/>
        </w:rPr>
        <w:t>also track requirements, issues, and bugs</w:t>
      </w:r>
      <w:r w:rsidR="00837D17" w:rsidRPr="00C533CB">
        <w:rPr>
          <w:sz w:val="24"/>
          <w:szCs w:val="24"/>
        </w:rPr>
        <w:t xml:space="preserve">.  </w:t>
      </w:r>
      <w:r w:rsidR="00875BC2" w:rsidRPr="00C533CB">
        <w:rPr>
          <w:sz w:val="24"/>
          <w:szCs w:val="24"/>
        </w:rPr>
        <w:t>Indeed, our</w:t>
      </w:r>
      <w:r w:rsidR="00875BC2" w:rsidRPr="00F23987">
        <w:rPr>
          <w:sz w:val="24"/>
          <w:szCs w:val="24"/>
        </w:rPr>
        <w:t xml:space="preserve">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w:t>
      </w:r>
      <w:r>
        <w:rPr>
          <w:sz w:val="24"/>
          <w:szCs w:val="24"/>
        </w:rPr>
        <w:lastRenderedPageBreak/>
        <w:t xml:space="preserve">Procter (2012), open development 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w:t>
      </w:r>
      <w:r w:rsidR="00ED1CDF">
        <w:rPr>
          <w:sz w:val="24"/>
          <w:szCs w:val="24"/>
        </w:rPr>
        <w:t xml:space="preserve">es with all twelve requirements, providing: </w:t>
      </w:r>
      <w:r w:rsidR="0095584C">
        <w:rPr>
          <w:sz w:val="24"/>
          <w:szCs w:val="24"/>
        </w:rPr>
        <w:t xml:space="preserve"> </w:t>
      </w:r>
      <w:r w:rsidR="00ED1CDF">
        <w:rPr>
          <w:sz w:val="24"/>
          <w:szCs w:val="24"/>
        </w:rPr>
        <w:t xml:space="preserve">a stable </w:t>
      </w:r>
      <w:r w:rsidR="0095584C">
        <w:rPr>
          <w:sz w:val="24"/>
          <w:szCs w:val="24"/>
        </w:rPr>
        <w:t xml:space="preserve">web address (using the github.io domain to host the </w:t>
      </w:r>
      <w:r w:rsidR="000D5CB0">
        <w:rPr>
          <w:sz w:val="24"/>
          <w:szCs w:val="24"/>
        </w:rPr>
        <w:t>website</w:t>
      </w:r>
      <w:r w:rsidR="0095584C">
        <w:rPr>
          <w:sz w:val="24"/>
          <w:szCs w:val="24"/>
        </w:rPr>
        <w:t xml:space="preserve"> and Amazon Cloud Services to host the server help to ensure long-term availability), version information, hosting country and institution, last updated date</w:t>
      </w:r>
      <w:r w:rsidR="00ED1CDF">
        <w:rPr>
          <w:sz w:val="24"/>
          <w:szCs w:val="24"/>
        </w:rPr>
        <w:t>,</w:t>
      </w:r>
      <w:r w:rsidR="0095584C">
        <w:rPr>
          <w:sz w:val="24"/>
          <w:szCs w:val="24"/>
        </w:rPr>
        <w:t xml:space="preserve"> contact information, high usability, </w:t>
      </w:r>
      <w:r w:rsidR="00ED1CDF">
        <w:rPr>
          <w:sz w:val="24"/>
          <w:szCs w:val="24"/>
        </w:rPr>
        <w:t xml:space="preserve">no </w:t>
      </w:r>
      <w:r w:rsidR="0095584C">
        <w:rPr>
          <w:sz w:val="24"/>
          <w:szCs w:val="24"/>
        </w:rPr>
        <w:t xml:space="preserve">registration </w:t>
      </w:r>
      <w:r w:rsidR="00ED1CDF">
        <w:rPr>
          <w:sz w:val="24"/>
          <w:szCs w:val="24"/>
        </w:rPr>
        <w:t>requirement</w:t>
      </w:r>
      <w:r w:rsidR="0095584C">
        <w:rPr>
          <w:sz w:val="24"/>
          <w:szCs w:val="24"/>
        </w:rPr>
        <w:t xml:space="preserve">, </w:t>
      </w:r>
      <w:r w:rsidR="00ED1CDF">
        <w:rPr>
          <w:sz w:val="24"/>
          <w:szCs w:val="24"/>
        </w:rPr>
        <w:t xml:space="preserve">no </w:t>
      </w:r>
      <w:r w:rsidR="0095584C">
        <w:rPr>
          <w:sz w:val="24"/>
          <w:szCs w:val="24"/>
        </w:rPr>
        <w:t>download required, example</w:t>
      </w:r>
      <w:r w:rsidR="00ED1CDF">
        <w:rPr>
          <w:sz w:val="24"/>
          <w:szCs w:val="24"/>
        </w:rPr>
        <w:t xml:space="preserve"> data</w:t>
      </w:r>
      <w:r w:rsidR="0095584C">
        <w:rPr>
          <w:sz w:val="24"/>
          <w:szCs w:val="24"/>
        </w:rPr>
        <w:t xml:space="preserve">, fair testing possibility (both with demonstration Excel workbooks and standard SIF and GraphML </w:t>
      </w:r>
      <w:r w:rsidR="00560DC0">
        <w:rPr>
          <w:sz w:val="24"/>
          <w:szCs w:val="24"/>
        </w:rPr>
        <w:t>file types</w:t>
      </w:r>
      <w:r w:rsidR="0095584C">
        <w:rPr>
          <w:sz w:val="24"/>
          <w:szCs w:val="24"/>
        </w:rPr>
        <w:t xml:space="preserve">), and </w:t>
      </w:r>
      <w:r w:rsidR="00ED1CDF">
        <w:rPr>
          <w:sz w:val="24"/>
          <w:szCs w:val="24"/>
        </w:rPr>
        <w:t xml:space="preserve">a functional </w:t>
      </w:r>
      <w:r w:rsidR="0095584C">
        <w:rPr>
          <w:sz w:val="24"/>
          <w:szCs w:val="24"/>
        </w:rPr>
        <w:t>service.</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1FAA3D7D" w:rsidR="009B4CA5" w:rsidRDefault="00212AC2" w:rsidP="00212AC2">
      <w:pPr>
        <w:spacing w:before="240" w:after="240" w:line="480" w:lineRule="auto"/>
        <w:rPr>
          <w:sz w:val="24"/>
          <w:szCs w:val="24"/>
        </w:rPr>
      </w:pPr>
      <w:r w:rsidRPr="00685533">
        <w:rPr>
          <w:sz w:val="24"/>
          <w:szCs w:val="24"/>
        </w:rPr>
        <w:tab/>
      </w:r>
      <w:r w:rsidRPr="00C533CB">
        <w:rPr>
          <w:sz w:val="24"/>
          <w:szCs w:val="24"/>
        </w:rPr>
        <w:t xml:space="preserve">The FAIR Guiding Principles </w:t>
      </w:r>
      <w:r w:rsidR="0088107C" w:rsidRPr="00C533CB">
        <w:rPr>
          <w:sz w:val="24"/>
          <w:szCs w:val="24"/>
        </w:rPr>
        <w:t xml:space="preserve">for scientific data and stewardship </w:t>
      </w:r>
      <w:r w:rsidR="006B3BAB" w:rsidRPr="00C533CB">
        <w:rPr>
          <w:sz w:val="24"/>
          <w:szCs w:val="24"/>
        </w:rPr>
        <w:t>state</w:t>
      </w:r>
      <w:r w:rsidRPr="00C533CB">
        <w:rPr>
          <w:sz w:val="24"/>
          <w:szCs w:val="24"/>
        </w:rPr>
        <w:t xml:space="preserve"> that data should be Findable, Accessible, Interoperable, and Reusable by both humans and machines (Wilkinson et </w:t>
      </w:r>
      <w:r w:rsidR="0088107C" w:rsidRPr="00C533CB">
        <w:rPr>
          <w:sz w:val="24"/>
          <w:szCs w:val="24"/>
        </w:rPr>
        <w:t>al.</w:t>
      </w:r>
      <w:r w:rsidR="00A23C80" w:rsidRPr="00C533CB">
        <w:rPr>
          <w:sz w:val="24"/>
          <w:szCs w:val="24"/>
        </w:rPr>
        <w:t>,</w:t>
      </w:r>
      <w:r w:rsidR="0088107C" w:rsidRPr="00C533CB">
        <w:rPr>
          <w:sz w:val="24"/>
          <w:szCs w:val="24"/>
        </w:rPr>
        <w:t xml:space="preserve"> 2016), with “data” loosely construed as any scholarly digital research object</w:t>
      </w:r>
      <w:r w:rsidR="006B3BAB" w:rsidRPr="00C533CB">
        <w:rPr>
          <w:sz w:val="24"/>
          <w:szCs w:val="24"/>
        </w:rPr>
        <w:t>, including</w:t>
      </w:r>
      <w:r w:rsidR="006B3BAB">
        <w:rPr>
          <w:sz w:val="24"/>
          <w:szCs w:val="24"/>
        </w:rPr>
        <w:t xml:space="preserve">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4A97856C" w:rsidR="00E4369C" w:rsidRDefault="00A23C80" w:rsidP="00E4369C">
      <w:pPr>
        <w:spacing w:before="240" w:after="240" w:line="480" w:lineRule="auto"/>
        <w:ind w:firstLine="720"/>
        <w:rPr>
          <w:sz w:val="24"/>
          <w:szCs w:val="24"/>
        </w:rPr>
      </w:pPr>
      <w:r>
        <w:rPr>
          <w:sz w:val="24"/>
          <w:szCs w:val="24"/>
        </w:rPr>
        <w:t>The Findable</w:t>
      </w:r>
      <w:r w:rsidR="00B346FD">
        <w:rPr>
          <w:sz w:val="24"/>
          <w:szCs w:val="24"/>
        </w:rPr>
        <w:t xml:space="preserve"> principle states that metadata and data should have a globally unique and persistent identifier, and that metadata and data should be registered or indexed in a searchable </w:t>
      </w:r>
      <w:r w:rsidR="00B346FD" w:rsidRPr="00C533CB">
        <w:rPr>
          <w:sz w:val="24"/>
          <w:szCs w:val="24"/>
        </w:rPr>
        <w:t>resource (Wilkinson et al.</w:t>
      </w:r>
      <w:r w:rsidRPr="00C533CB">
        <w:rPr>
          <w:sz w:val="24"/>
          <w:szCs w:val="24"/>
        </w:rPr>
        <w:t>,</w:t>
      </w:r>
      <w:r w:rsidR="00B346FD" w:rsidRPr="00C533CB">
        <w:rPr>
          <w:sz w:val="24"/>
          <w:szCs w:val="24"/>
        </w:rPr>
        <w:t xml:space="preserve"> 2016).  In terms of software, the identifier is the name and version.  Because we utilize the GitHub release mechanism, GRNsight code is tagged with a version</w:t>
      </w:r>
      <w:r w:rsidR="006B382F" w:rsidRPr="00C533CB">
        <w:rPr>
          <w:sz w:val="24"/>
          <w:szCs w:val="24"/>
        </w:rPr>
        <w:t xml:space="preserve"> (currently v1.18.1)</w:t>
      </w:r>
      <w:r w:rsidR="00B346FD" w:rsidRPr="00C533CB">
        <w:rPr>
          <w:sz w:val="24"/>
          <w:szCs w:val="24"/>
        </w:rPr>
        <w:t xml:space="preserve"> and each version is available from the release page (</w:t>
      </w:r>
      <w:r w:rsidR="00B346FD" w:rsidRPr="00C533CB">
        <w:rPr>
          <w:i/>
          <w:sz w:val="24"/>
          <w:szCs w:val="24"/>
        </w:rPr>
        <w:t>https://github.com/dondi/GRNsight/releases</w:t>
      </w:r>
      <w:r w:rsidR="00B346FD" w:rsidRPr="00C533CB">
        <w:rPr>
          <w:sz w:val="24"/>
          <w:szCs w:val="24"/>
        </w:rPr>
        <w:t xml:space="preserve">).  </w:t>
      </w:r>
      <w:r w:rsidR="009B4CA5" w:rsidRPr="00C533CB">
        <w:rPr>
          <w:sz w:val="24"/>
          <w:szCs w:val="24"/>
        </w:rPr>
        <w:t xml:space="preserve">We have </w:t>
      </w:r>
      <w:r w:rsidR="0035369C" w:rsidRPr="00C533CB">
        <w:rPr>
          <w:sz w:val="24"/>
          <w:szCs w:val="24"/>
        </w:rPr>
        <w:t xml:space="preserve">registered GRNsight </w:t>
      </w:r>
      <w:r w:rsidR="00212AC2" w:rsidRPr="00C533CB">
        <w:rPr>
          <w:sz w:val="24"/>
          <w:szCs w:val="24"/>
        </w:rPr>
        <w:t xml:space="preserve">with well-known </w:t>
      </w:r>
      <w:r w:rsidR="009B4CA5" w:rsidRPr="00C533CB">
        <w:rPr>
          <w:sz w:val="24"/>
          <w:szCs w:val="24"/>
        </w:rPr>
        <w:t xml:space="preserve">bioinformatics tools registries: </w:t>
      </w:r>
      <w:r w:rsidR="00212AC2" w:rsidRPr="00C533CB">
        <w:rPr>
          <w:sz w:val="24"/>
          <w:szCs w:val="24"/>
        </w:rPr>
        <w:t xml:space="preserve"> the BioJS Repository (</w:t>
      </w:r>
      <w:r w:rsidR="001E1DC9" w:rsidRPr="00C533CB">
        <w:rPr>
          <w:sz w:val="24"/>
          <w:szCs w:val="24"/>
        </w:rPr>
        <w:t>Yachdav et al.</w:t>
      </w:r>
      <w:r w:rsidRPr="00C533CB">
        <w:rPr>
          <w:sz w:val="24"/>
          <w:szCs w:val="24"/>
        </w:rPr>
        <w:t>,</w:t>
      </w:r>
      <w:r w:rsidR="001E1DC9" w:rsidRPr="00C533CB">
        <w:rPr>
          <w:sz w:val="24"/>
          <w:szCs w:val="24"/>
        </w:rPr>
        <w:t xml:space="preserve"> 2015</w:t>
      </w:r>
      <w:r w:rsidRPr="00C533CB">
        <w:rPr>
          <w:sz w:val="24"/>
          <w:szCs w:val="24"/>
        </w:rPr>
        <w:t>;</w:t>
      </w:r>
      <w:r w:rsidR="009B4CA5" w:rsidRPr="00C533CB">
        <w:rPr>
          <w:sz w:val="24"/>
          <w:szCs w:val="24"/>
        </w:rPr>
        <w:t xml:space="preserve"> </w:t>
      </w:r>
      <w:r w:rsidR="00212AC2" w:rsidRPr="00C533CB">
        <w:rPr>
          <w:i/>
          <w:sz w:val="24"/>
          <w:szCs w:val="24"/>
        </w:rPr>
        <w:t>http://biojs.io/</w:t>
      </w:r>
      <w:r w:rsidR="00212AC2" w:rsidRPr="00C533CB">
        <w:rPr>
          <w:sz w:val="24"/>
          <w:szCs w:val="24"/>
        </w:rPr>
        <w:t>), the Elixir Tools and Data Services Registry (</w:t>
      </w:r>
      <w:r w:rsidR="00322BF8" w:rsidRPr="00C533CB">
        <w:rPr>
          <w:sz w:val="24"/>
          <w:szCs w:val="24"/>
        </w:rPr>
        <w:t>Ison et al.</w:t>
      </w:r>
      <w:r w:rsidRPr="00C533CB">
        <w:rPr>
          <w:sz w:val="24"/>
          <w:szCs w:val="24"/>
        </w:rPr>
        <w:t>,</w:t>
      </w:r>
      <w:r w:rsidR="00322BF8" w:rsidRPr="00C533CB">
        <w:rPr>
          <w:sz w:val="24"/>
          <w:szCs w:val="24"/>
        </w:rPr>
        <w:t xml:space="preserve"> 2016</w:t>
      </w:r>
      <w:r w:rsidRPr="00C533CB">
        <w:rPr>
          <w:sz w:val="24"/>
          <w:szCs w:val="24"/>
        </w:rPr>
        <w:t>;</w:t>
      </w:r>
      <w:r w:rsidR="009B4CA5" w:rsidRPr="00C533CB">
        <w:rPr>
          <w:sz w:val="24"/>
          <w:szCs w:val="24"/>
        </w:rPr>
        <w:t xml:space="preserve"> </w:t>
      </w:r>
      <w:r w:rsidR="00212AC2" w:rsidRPr="00C533CB">
        <w:rPr>
          <w:i/>
          <w:sz w:val="24"/>
          <w:szCs w:val="24"/>
        </w:rPr>
        <w:t>https://bio.tools/</w:t>
      </w:r>
      <w:r w:rsidR="00212AC2" w:rsidRPr="00C533CB">
        <w:rPr>
          <w:sz w:val="24"/>
          <w:szCs w:val="24"/>
        </w:rPr>
        <w:t>), Bioinformatics.org (</w:t>
      </w:r>
      <w:r w:rsidR="00212AC2" w:rsidRPr="00C533CB">
        <w:rPr>
          <w:i/>
          <w:sz w:val="24"/>
          <w:szCs w:val="24"/>
        </w:rPr>
        <w:t>http://www.bioinformatics.org/wiki/</w:t>
      </w:r>
      <w:r w:rsidR="00212AC2" w:rsidRPr="00C533CB">
        <w:rPr>
          <w:sz w:val="24"/>
          <w:szCs w:val="24"/>
        </w:rPr>
        <w:t>), and the Links Directory at Bioinformatics.ca (</w:t>
      </w:r>
      <w:r w:rsidR="00322BF8" w:rsidRPr="00C533CB">
        <w:rPr>
          <w:sz w:val="24"/>
          <w:szCs w:val="24"/>
        </w:rPr>
        <w:t>Brazas, Yamada</w:t>
      </w:r>
      <w:r w:rsidRPr="00C533CB">
        <w:rPr>
          <w:sz w:val="24"/>
          <w:szCs w:val="24"/>
        </w:rPr>
        <w:t>, and</w:t>
      </w:r>
      <w:r w:rsidR="00322BF8" w:rsidRPr="00C533CB">
        <w:rPr>
          <w:sz w:val="24"/>
          <w:szCs w:val="24"/>
        </w:rPr>
        <w:t xml:space="preserve"> Ouellette</w:t>
      </w:r>
      <w:r w:rsidRPr="00C533CB">
        <w:rPr>
          <w:sz w:val="24"/>
          <w:szCs w:val="24"/>
        </w:rPr>
        <w:t>,</w:t>
      </w:r>
      <w:r w:rsidR="00322BF8" w:rsidRPr="00C533CB">
        <w:rPr>
          <w:sz w:val="24"/>
          <w:szCs w:val="24"/>
        </w:rPr>
        <w:t xml:space="preserve"> 2010)</w:t>
      </w:r>
      <w:r w:rsidR="009B4CA5" w:rsidRPr="00C533CB">
        <w:rPr>
          <w:sz w:val="24"/>
          <w:szCs w:val="24"/>
        </w:rPr>
        <w:t xml:space="preserve">, </w:t>
      </w:r>
      <w:r w:rsidR="00212AC2" w:rsidRPr="00C533CB">
        <w:rPr>
          <w:i/>
          <w:sz w:val="24"/>
          <w:szCs w:val="24"/>
        </w:rPr>
        <w:t>https://bioinformatics.ca/links_directory/</w:t>
      </w:r>
      <w:r w:rsidR="00212AC2" w:rsidRPr="00C533CB">
        <w:rPr>
          <w:sz w:val="24"/>
          <w:szCs w:val="24"/>
        </w:rPr>
        <w:t>)</w:t>
      </w:r>
      <w:r w:rsidR="00C3575F" w:rsidRPr="00C533CB">
        <w:rPr>
          <w:sz w:val="24"/>
          <w:szCs w:val="24"/>
        </w:rPr>
        <w:t xml:space="preserve">, as well as NPM (Node Package Manager, </w:t>
      </w:r>
      <w:r w:rsidR="00C3575F" w:rsidRPr="00C533CB">
        <w:rPr>
          <w:i/>
          <w:sz w:val="24"/>
          <w:szCs w:val="24"/>
        </w:rPr>
        <w:t>https://www.npmjs.com/</w:t>
      </w:r>
      <w:r w:rsidR="00C3575F" w:rsidRPr="00C533CB">
        <w:rPr>
          <w:sz w:val="24"/>
          <w:szCs w:val="24"/>
        </w:rPr>
        <w:t>)</w:t>
      </w:r>
      <w:r w:rsidR="00212AC2" w:rsidRPr="00C533CB">
        <w:rPr>
          <w:sz w:val="24"/>
          <w:szCs w:val="24"/>
        </w:rPr>
        <w:t xml:space="preserve">.  </w:t>
      </w:r>
      <w:r w:rsidR="009B4CA5" w:rsidRPr="00C533CB">
        <w:rPr>
          <w:sz w:val="24"/>
          <w:szCs w:val="24"/>
        </w:rPr>
        <w:t xml:space="preserve">GRNsight has </w:t>
      </w:r>
      <w:r w:rsidR="0035369C" w:rsidRPr="00C533CB">
        <w:rPr>
          <w:sz w:val="24"/>
          <w:szCs w:val="24"/>
        </w:rPr>
        <w:t xml:space="preserve">also </w:t>
      </w:r>
      <w:r w:rsidR="009B4CA5" w:rsidRPr="00C533CB">
        <w:rPr>
          <w:sz w:val="24"/>
          <w:szCs w:val="24"/>
        </w:rPr>
        <w:t>been presented at scientific</w:t>
      </w:r>
      <w:r w:rsidR="009B4CA5">
        <w:rPr>
          <w:sz w:val="24"/>
          <w:szCs w:val="24"/>
        </w:rPr>
        <w:t xml:space="preserve"> </w:t>
      </w:r>
      <w:r w:rsidR="009B4CA5" w:rsidRPr="00C533CB">
        <w:rPr>
          <w:sz w:val="24"/>
          <w:szCs w:val="24"/>
        </w:rPr>
        <w:t>conferences, with slide</w:t>
      </w:r>
      <w:r w:rsidR="00F96A87" w:rsidRPr="00C533CB">
        <w:rPr>
          <w:sz w:val="24"/>
          <w:szCs w:val="24"/>
        </w:rPr>
        <w:t xml:space="preserve">s and posters available via </w:t>
      </w:r>
      <w:r w:rsidR="009B4CA5" w:rsidRPr="00C533CB">
        <w:rPr>
          <w:sz w:val="24"/>
          <w:szCs w:val="24"/>
        </w:rPr>
        <w:t>SlideShare (</w:t>
      </w:r>
      <w:r w:rsidR="00F96A87" w:rsidRPr="00C533CB">
        <w:rPr>
          <w:i/>
          <w:sz w:val="24"/>
          <w:szCs w:val="24"/>
        </w:rPr>
        <w:t>http://www.slideshare.net/GRNsight</w:t>
      </w:r>
      <w:r w:rsidR="00F96A87" w:rsidRPr="00C533CB">
        <w:rPr>
          <w:sz w:val="24"/>
          <w:szCs w:val="24"/>
        </w:rPr>
        <w:t xml:space="preserve">) and with a recent talk and poster at the 2016 Bioinformatics Open Source Conference available via </w:t>
      </w:r>
      <w:r w:rsidR="00F96A87" w:rsidRPr="00C533CB">
        <w:rPr>
          <w:i/>
          <w:sz w:val="24"/>
          <w:szCs w:val="24"/>
        </w:rPr>
        <w:t>F1000 Research</w:t>
      </w:r>
      <w:r w:rsidR="00F96A87" w:rsidRPr="00C533CB">
        <w:rPr>
          <w:sz w:val="24"/>
          <w:szCs w:val="24"/>
        </w:rPr>
        <w:t xml:space="preserve"> </w:t>
      </w:r>
      <w:r w:rsidRPr="00C533CB">
        <w:rPr>
          <w:sz w:val="24"/>
          <w:szCs w:val="24"/>
        </w:rPr>
        <w:t>(Dahlquist</w:t>
      </w:r>
      <w:r w:rsidR="00F96A87" w:rsidRPr="00C533CB">
        <w:rPr>
          <w:sz w:val="24"/>
          <w:szCs w:val="24"/>
        </w:rPr>
        <w:t xml:space="preserve"> </w:t>
      </w:r>
      <w:r w:rsidR="00BD5061" w:rsidRPr="00C533CB">
        <w:rPr>
          <w:sz w:val="24"/>
          <w:szCs w:val="24"/>
        </w:rPr>
        <w:t>et al.</w:t>
      </w:r>
      <w:r w:rsidRPr="00C533CB">
        <w:rPr>
          <w:sz w:val="24"/>
          <w:szCs w:val="24"/>
        </w:rPr>
        <w:t>,</w:t>
      </w:r>
      <w:r w:rsidR="00BD5061" w:rsidRPr="00C533CB">
        <w:rPr>
          <w:sz w:val="24"/>
          <w:szCs w:val="24"/>
        </w:rPr>
        <w:t xml:space="preserve"> 2016a; 2016b)</w:t>
      </w:r>
      <w:r w:rsidR="00633B1E" w:rsidRPr="00C533CB">
        <w:rPr>
          <w:sz w:val="24"/>
          <w:szCs w:val="24"/>
        </w:rPr>
        <w:t>.  We have paid special attention</w:t>
      </w:r>
      <w:r w:rsidR="00F96A87" w:rsidRPr="00C533CB">
        <w:rPr>
          <w:sz w:val="24"/>
          <w:szCs w:val="24"/>
        </w:rPr>
        <w:t xml:space="preserve"> to the metadata associated with our </w:t>
      </w:r>
      <w:r w:rsidR="000D5CB0" w:rsidRPr="00C533CB">
        <w:rPr>
          <w:sz w:val="24"/>
          <w:szCs w:val="24"/>
        </w:rPr>
        <w:t>website</w:t>
      </w:r>
      <w:r w:rsidR="00F96A87" w:rsidRPr="00C533CB">
        <w:rPr>
          <w:sz w:val="24"/>
          <w:szCs w:val="24"/>
        </w:rPr>
        <w:t xml:space="preserve"> to increase</w:t>
      </w:r>
      <w:r w:rsidR="00F96A87">
        <w:rPr>
          <w:sz w:val="24"/>
          <w:szCs w:val="24"/>
        </w:rPr>
        <w:t xml:space="preserve"> </w:t>
      </w:r>
      <w:r w:rsidR="00F96A87">
        <w:rPr>
          <w:sz w:val="24"/>
          <w:szCs w:val="24"/>
        </w:rPr>
        <w:lastRenderedPageBreak/>
        <w:t>its Findability via Google search.  And</w:t>
      </w:r>
      <w:r w:rsidR="00B346FD">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w:t>
      </w:r>
      <w:r w:rsidR="00560DC0">
        <w:rPr>
          <w:sz w:val="24"/>
          <w:szCs w:val="24"/>
        </w:rPr>
        <w:t>everyday</w:t>
      </w:r>
      <w:r w:rsidR="008E474E">
        <w:rPr>
          <w:sz w:val="24"/>
          <w:szCs w:val="24"/>
        </w:rPr>
        <w:t xml:space="preserve"> sense of the word “findable</w:t>
      </w:r>
      <w:r w:rsidR="008E3FF1">
        <w:rPr>
          <w:sz w:val="24"/>
          <w:szCs w:val="24"/>
        </w:rPr>
        <w:t>,</w:t>
      </w:r>
      <w:r w:rsidR="008E474E">
        <w:rPr>
          <w:sz w:val="24"/>
          <w:szCs w:val="24"/>
        </w:rPr>
        <w:t xml:space="preserve">” </w:t>
      </w:r>
      <w:r w:rsidR="00E4369C">
        <w:rPr>
          <w:sz w:val="24"/>
          <w:szCs w:val="24"/>
        </w:rPr>
        <w:t>one could argue that by being “yet another” network visualization tool in a crowded domain (recall 47 other tools recorded by Pavlopoulos et al.</w:t>
      </w:r>
      <w:r w:rsidR="00633B1E">
        <w:rPr>
          <w:sz w:val="24"/>
          <w:szCs w:val="24"/>
        </w:rPr>
        <w:t>,</w:t>
      </w:r>
      <w:r w:rsidR="00E4369C">
        <w:rPr>
          <w:sz w:val="24"/>
          <w:szCs w:val="24"/>
        </w:rPr>
        <w:t xml:space="preserve"> 2015), GRNsight is contributing to a Findability problem for users in the sense that it contributes more “hay” to the “needle in a haystack” problem of finding the right tool for the job.  However, we hope that by the actions we have taken and the specificity of our </w:t>
      </w:r>
      <w:r w:rsidR="00633B1E">
        <w:rPr>
          <w:sz w:val="24"/>
          <w:szCs w:val="24"/>
        </w:rPr>
        <w:t>requirements for GRNsight’</w:t>
      </w:r>
      <w:r w:rsidR="00E4369C">
        <w:rPr>
          <w:sz w:val="24"/>
          <w:szCs w:val="24"/>
        </w:rPr>
        <w:t xml:space="preserve">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04CDE14A" w:rsidR="009B4CA5" w:rsidRDefault="00E4369C" w:rsidP="009B4CA5">
      <w:pPr>
        <w:spacing w:before="240" w:after="240" w:line="480" w:lineRule="auto"/>
        <w:ind w:firstLine="720"/>
        <w:rPr>
          <w:sz w:val="24"/>
          <w:szCs w:val="24"/>
        </w:rPr>
      </w:pPr>
      <w:r>
        <w:rPr>
          <w:sz w:val="24"/>
          <w:szCs w:val="24"/>
        </w:rPr>
        <w:t>In addit</w:t>
      </w:r>
      <w:r w:rsidR="00633B1E">
        <w:rPr>
          <w:sz w:val="24"/>
          <w:szCs w:val="24"/>
        </w:rPr>
        <w:t>i</w:t>
      </w:r>
      <w:r>
        <w:rPr>
          <w:sz w:val="24"/>
          <w:szCs w:val="24"/>
        </w:rPr>
        <w:t xml:space="preserve">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w:t>
      </w:r>
      <w:r w:rsidR="00633B1E">
        <w:rPr>
          <w:sz w:val="24"/>
          <w:szCs w:val="24"/>
        </w:rPr>
        <w:t>,</w:t>
      </w:r>
      <w:r>
        <w:rPr>
          <w:sz w:val="24"/>
          <w:szCs w:val="24"/>
        </w:rPr>
        <w:t xml:space="preserve">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 xml:space="preserve">ant with the Findable principle.  This is discussed </w:t>
      </w:r>
      <w:r w:rsidR="000D5CB0">
        <w:rPr>
          <w:sz w:val="24"/>
          <w:szCs w:val="24"/>
        </w:rPr>
        <w:t>further below with regard to</w:t>
      </w:r>
      <w:r>
        <w:rPr>
          <w:sz w:val="24"/>
          <w:szCs w:val="24"/>
        </w:rPr>
        <w:t xml:space="preserve"> Interoperab</w:t>
      </w:r>
      <w:r w:rsidR="000D5CB0">
        <w:rPr>
          <w:sz w:val="24"/>
          <w:szCs w:val="24"/>
        </w:rPr>
        <w:t>ility and Reusability</w:t>
      </w:r>
      <w:r>
        <w:rPr>
          <w:sz w:val="24"/>
          <w:szCs w:val="24"/>
        </w:rPr>
        <w:t>.</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1BE45A2E" w:rsidR="004E6D20" w:rsidRDefault="004E6D20" w:rsidP="004E6D20">
      <w:pPr>
        <w:spacing w:before="240" w:after="240" w:line="480" w:lineRule="auto"/>
        <w:rPr>
          <w:sz w:val="24"/>
          <w:szCs w:val="24"/>
        </w:rPr>
      </w:pPr>
      <w:r>
        <w:rPr>
          <w:sz w:val="24"/>
          <w:szCs w:val="24"/>
        </w:rPr>
        <w:tab/>
      </w:r>
      <w:r w:rsidR="00633B1E">
        <w:rPr>
          <w:sz w:val="24"/>
          <w:szCs w:val="24"/>
        </w:rPr>
        <w:t>The Accessible principle states that meta</w:t>
      </w:r>
      <w:r w:rsidR="00742469">
        <w:rPr>
          <w:sz w:val="24"/>
          <w:szCs w:val="24"/>
        </w:rPr>
        <w:t xml:space="preserve">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the protocol allows for authentication and authorization procedures, where necessary, and that metadata are accessible, even when the data are no longer available (Wilkinson et al.</w:t>
      </w:r>
      <w:r w:rsidR="00633B1E">
        <w:rPr>
          <w:sz w:val="24"/>
          <w:szCs w:val="24"/>
        </w:rPr>
        <w:t>,</w:t>
      </w:r>
      <w:r w:rsidR="00742469">
        <w:rPr>
          <w:sz w:val="24"/>
          <w:szCs w:val="24"/>
        </w:rPr>
        <w:t xml:space="preserve"> 2016).  </w:t>
      </w:r>
      <w:r>
        <w:rPr>
          <w:sz w:val="24"/>
          <w:szCs w:val="24"/>
        </w:rPr>
        <w:t xml:space="preserve">As noted </w:t>
      </w:r>
      <w:r w:rsidR="00903387">
        <w:rPr>
          <w:sz w:val="24"/>
          <w:szCs w:val="24"/>
        </w:rPr>
        <w:t>before, GRNsig</w:t>
      </w:r>
      <w:r w:rsidR="00633B1E">
        <w:rPr>
          <w:sz w:val="24"/>
          <w:szCs w:val="24"/>
        </w:rPr>
        <w:t>ht meets the first two criteria</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 xml:space="preserve">The source code is available under the open source BSD license and can be </w:t>
      </w:r>
      <w:r w:rsidR="00AF2059" w:rsidRPr="00D70D55">
        <w:rPr>
          <w:i/>
          <w:sz w:val="24"/>
          <w:szCs w:val="24"/>
        </w:rPr>
        <w:t>npm</w:t>
      </w:r>
      <w:r w:rsidR="00AF2059">
        <w:rPr>
          <w:sz w:val="24"/>
          <w:szCs w:val="24"/>
        </w:rPr>
        <w:t xml:space="preserve">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C533CB" w:rsidRDefault="00AF2059" w:rsidP="00BD6226">
      <w:pPr>
        <w:pStyle w:val="Heading4"/>
        <w:rPr>
          <w:rFonts w:ascii="Times New Roman" w:hAnsi="Times New Roman" w:cs="Times New Roman"/>
          <w:color w:val="000000" w:themeColor="text1"/>
        </w:rPr>
      </w:pPr>
      <w:r w:rsidRPr="00C533CB">
        <w:rPr>
          <w:rFonts w:ascii="Times New Roman" w:hAnsi="Times New Roman" w:cs="Times New Roman"/>
          <w:color w:val="000000" w:themeColor="text1"/>
        </w:rPr>
        <w:t>Interoperable</w:t>
      </w:r>
    </w:p>
    <w:p w14:paraId="48082BB3" w14:textId="2FE0CC56" w:rsidR="00AF31F2" w:rsidRDefault="0055169C" w:rsidP="0055169C">
      <w:pPr>
        <w:spacing w:before="240" w:after="240" w:line="480" w:lineRule="auto"/>
        <w:ind w:firstLine="720"/>
        <w:rPr>
          <w:sz w:val="24"/>
          <w:szCs w:val="24"/>
        </w:rPr>
      </w:pPr>
      <w:r w:rsidRPr="00C533CB">
        <w:rPr>
          <w:sz w:val="24"/>
          <w:szCs w:val="24"/>
        </w:rPr>
        <w:t xml:space="preserve">As software, GRNsight </w:t>
      </w:r>
      <w:r w:rsidR="00D70D55" w:rsidRPr="00C533CB">
        <w:rPr>
          <w:sz w:val="24"/>
          <w:szCs w:val="24"/>
        </w:rPr>
        <w:t>does not interact</w:t>
      </w:r>
      <w:r w:rsidRPr="00C533CB">
        <w:rPr>
          <w:sz w:val="24"/>
          <w:szCs w:val="24"/>
        </w:rPr>
        <w:t xml:space="preserve"> directly with other </w:t>
      </w:r>
      <w:r w:rsidR="00BD6226" w:rsidRPr="00C533CB">
        <w:rPr>
          <w:sz w:val="24"/>
          <w:szCs w:val="24"/>
        </w:rPr>
        <w:t>databases or software</w:t>
      </w:r>
      <w:r w:rsidRPr="00C533CB">
        <w:rPr>
          <w:sz w:val="24"/>
          <w:szCs w:val="24"/>
        </w:rPr>
        <w:t>, as, for</w:t>
      </w:r>
      <w:r w:rsidR="00BD6226" w:rsidRPr="00C533CB">
        <w:rPr>
          <w:sz w:val="24"/>
          <w:szCs w:val="24"/>
        </w:rPr>
        <w:t xml:space="preserve"> example, Cytoscape does with many pathway and </w:t>
      </w:r>
      <w:r w:rsidR="00633B1E" w:rsidRPr="00C533CB">
        <w:rPr>
          <w:sz w:val="24"/>
          <w:szCs w:val="24"/>
        </w:rPr>
        <w:t xml:space="preserve">molecular </w:t>
      </w:r>
      <w:r w:rsidR="00BD6226" w:rsidRPr="00C533CB">
        <w:rPr>
          <w:sz w:val="24"/>
          <w:szCs w:val="24"/>
        </w:rPr>
        <w:t>interaction</w:t>
      </w:r>
      <w:r w:rsidRPr="00C533CB">
        <w:rPr>
          <w:sz w:val="24"/>
          <w:szCs w:val="24"/>
        </w:rPr>
        <w:t xml:space="preserve"> database</w:t>
      </w:r>
      <w:r w:rsidR="00BD6226" w:rsidRPr="00C533CB">
        <w:rPr>
          <w:sz w:val="24"/>
          <w:szCs w:val="24"/>
        </w:rPr>
        <w:t>s</w:t>
      </w:r>
      <w:r w:rsidRPr="00C533CB">
        <w:rPr>
          <w:sz w:val="24"/>
          <w:szCs w:val="24"/>
        </w:rPr>
        <w:t xml:space="preserve"> or </w:t>
      </w:r>
      <w:r w:rsidR="00776562" w:rsidRPr="00C533CB">
        <w:rPr>
          <w:sz w:val="24"/>
          <w:szCs w:val="24"/>
        </w:rPr>
        <w:t xml:space="preserve">individual </w:t>
      </w:r>
      <w:r w:rsidRPr="00C533CB">
        <w:rPr>
          <w:sz w:val="24"/>
          <w:szCs w:val="24"/>
        </w:rPr>
        <w:t>Cyt</w:t>
      </w:r>
      <w:r w:rsidR="00D30ED2" w:rsidRPr="00C533CB">
        <w:rPr>
          <w:sz w:val="24"/>
          <w:szCs w:val="24"/>
        </w:rPr>
        <w:t>oscape apps (formerly plugins; Saito et al.</w:t>
      </w:r>
      <w:r w:rsidR="00633B1E" w:rsidRPr="00C533CB">
        <w:rPr>
          <w:sz w:val="24"/>
          <w:szCs w:val="24"/>
        </w:rPr>
        <w:t>,</w:t>
      </w:r>
      <w:r w:rsidR="00D30ED2" w:rsidRPr="00C533CB">
        <w:rPr>
          <w:sz w:val="24"/>
          <w:szCs w:val="24"/>
        </w:rPr>
        <w:t xml:space="preserve"> 2012)</w:t>
      </w:r>
      <w:r w:rsidR="00D70D55" w:rsidRPr="00C533CB">
        <w:rPr>
          <w:sz w:val="24"/>
          <w:szCs w:val="24"/>
        </w:rPr>
        <w:t xml:space="preserve">, so it is </w:t>
      </w:r>
      <w:r w:rsidR="00D70D55" w:rsidRPr="00C533CB">
        <w:rPr>
          <w:i/>
          <w:sz w:val="24"/>
          <w:szCs w:val="24"/>
        </w:rPr>
        <w:t>not</w:t>
      </w:r>
      <w:r w:rsidR="00D70D55" w:rsidRPr="00C533CB">
        <w:rPr>
          <w:sz w:val="24"/>
          <w:szCs w:val="24"/>
        </w:rPr>
        <w:t xml:space="preserve"> Interoperable in that sense</w:t>
      </w:r>
      <w:r w:rsidRPr="00C533CB">
        <w:rPr>
          <w:sz w:val="24"/>
          <w:szCs w:val="24"/>
        </w:rPr>
        <w:t xml:space="preserve">.  </w:t>
      </w:r>
      <w:r w:rsidR="00D30ED2" w:rsidRPr="00C533CB">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sidRPr="00C533CB">
        <w:rPr>
          <w:sz w:val="24"/>
          <w:szCs w:val="24"/>
        </w:rPr>
        <w:t xml:space="preserve"> (Afgan et al.</w:t>
      </w:r>
      <w:r w:rsidR="00633B1E" w:rsidRPr="00C533CB">
        <w:rPr>
          <w:sz w:val="24"/>
          <w:szCs w:val="24"/>
        </w:rPr>
        <w:t>,</w:t>
      </w:r>
      <w:r w:rsidR="00785120" w:rsidRPr="00C533CB">
        <w:rPr>
          <w:sz w:val="24"/>
          <w:szCs w:val="24"/>
        </w:rPr>
        <w:t xml:space="preserve"> 2016)</w:t>
      </w:r>
      <w:r w:rsidR="00C97895" w:rsidRPr="00C533CB">
        <w:rPr>
          <w:sz w:val="24"/>
          <w:szCs w:val="24"/>
        </w:rPr>
        <w:t xml:space="preserve"> or be hosted by a tool aggregator such as QUBES Hub (Quantitative Undergraduate Biology Education and Synthesis</w:t>
      </w:r>
      <w:r w:rsidR="002A5D65" w:rsidRPr="00C533CB">
        <w:rPr>
          <w:sz w:val="24"/>
          <w:szCs w:val="24"/>
        </w:rPr>
        <w:t xml:space="preserve"> Hub</w:t>
      </w:r>
      <w:r w:rsidR="00390098" w:rsidRPr="00C533CB">
        <w:rPr>
          <w:sz w:val="24"/>
          <w:szCs w:val="24"/>
        </w:rPr>
        <w:t>,</w:t>
      </w:r>
      <w:r w:rsidR="00390098" w:rsidRPr="00C533CB">
        <w:t xml:space="preserve"> </w:t>
      </w:r>
      <w:r w:rsidR="00390098" w:rsidRPr="00C533CB">
        <w:rPr>
          <w:i/>
          <w:sz w:val="24"/>
          <w:szCs w:val="24"/>
        </w:rPr>
        <w:t>https://qubeshub.org/</w:t>
      </w:r>
      <w:r w:rsidR="00390098" w:rsidRPr="00C533CB">
        <w:rPr>
          <w:sz w:val="24"/>
          <w:szCs w:val="24"/>
        </w:rPr>
        <w:t>)</w:t>
      </w:r>
      <w:r w:rsidR="00785120" w:rsidRPr="00C533CB">
        <w:rPr>
          <w:sz w:val="24"/>
          <w:szCs w:val="24"/>
        </w:rPr>
        <w:t xml:space="preserve">. </w:t>
      </w:r>
      <w:r w:rsidR="00D30ED2" w:rsidRPr="00C533CB">
        <w:rPr>
          <w:sz w:val="24"/>
          <w:szCs w:val="24"/>
        </w:rPr>
        <w:t xml:space="preserve"> </w:t>
      </w:r>
      <w:r w:rsidRPr="00C533CB">
        <w:rPr>
          <w:sz w:val="24"/>
          <w:szCs w:val="24"/>
        </w:rPr>
        <w:t xml:space="preserve">However, GRNsight </w:t>
      </w:r>
      <w:r w:rsidRPr="00C533CB">
        <w:rPr>
          <w:i/>
          <w:sz w:val="24"/>
          <w:szCs w:val="24"/>
        </w:rPr>
        <w:t>is</w:t>
      </w:r>
      <w:r w:rsidRPr="00C533CB">
        <w:rPr>
          <w:sz w:val="24"/>
          <w:szCs w:val="24"/>
        </w:rPr>
        <w:t xml:space="preserve"> Interoperable in the sense that </w:t>
      </w:r>
      <w:r w:rsidR="00D70D55" w:rsidRPr="00C533CB">
        <w:rPr>
          <w:sz w:val="24"/>
          <w:szCs w:val="24"/>
        </w:rPr>
        <w:t xml:space="preserve">via the user, </w:t>
      </w:r>
      <w:r w:rsidRPr="00C533CB">
        <w:rPr>
          <w:sz w:val="24"/>
          <w:szCs w:val="24"/>
        </w:rPr>
        <w:t xml:space="preserve">it can receive and pass data from and to other programs.  In this latter sense, this section could </w:t>
      </w:r>
      <w:r w:rsidR="00776562" w:rsidRPr="00C533CB">
        <w:rPr>
          <w:sz w:val="24"/>
          <w:szCs w:val="24"/>
        </w:rPr>
        <w:t xml:space="preserve">just as </w:t>
      </w:r>
      <w:r w:rsidRPr="00C533CB">
        <w:rPr>
          <w:sz w:val="24"/>
          <w:szCs w:val="24"/>
        </w:rPr>
        <w:t xml:space="preserve">easily have been entitled, “95% of bioinformatics is getting your data into the right file format.”  </w:t>
      </w:r>
      <w:r w:rsidR="00EC4848" w:rsidRPr="00C533CB">
        <w:rPr>
          <w:sz w:val="24"/>
          <w:szCs w:val="24"/>
        </w:rPr>
        <w:t>Indeed, o</w:t>
      </w:r>
      <w:r w:rsidR="00776562" w:rsidRPr="00C533CB">
        <w:rPr>
          <w:sz w:val="24"/>
          <w:szCs w:val="24"/>
        </w:rPr>
        <w:t xml:space="preserve">ne of the original motivations and requirements for GRNsight was to seamlessly read and display weighted GRNs that were output as Excel workbooks from the GRNmap </w:t>
      </w:r>
      <w:r w:rsidR="00017C5A" w:rsidRPr="00C533CB">
        <w:rPr>
          <w:sz w:val="24"/>
          <w:szCs w:val="24"/>
        </w:rPr>
        <w:t>MATLAB</w:t>
      </w:r>
      <w:r w:rsidR="00017C5A">
        <w:rPr>
          <w:sz w:val="24"/>
          <w:szCs w:val="24"/>
        </w:rPr>
        <w:t xml:space="preserve"> </w:t>
      </w:r>
      <w:r w:rsidR="00633B1E">
        <w:rPr>
          <w:sz w:val="24"/>
          <w:szCs w:val="24"/>
        </w:rPr>
        <w:t xml:space="preserve">modeling </w:t>
      </w:r>
      <w:r w:rsidR="00776562">
        <w:rPr>
          <w:sz w:val="24"/>
          <w:szCs w:val="24"/>
        </w:rPr>
        <w:t>package (Dahlquist et al.</w:t>
      </w:r>
      <w:r w:rsidR="00633B1E">
        <w:rPr>
          <w:sz w:val="24"/>
          <w:szCs w:val="24"/>
        </w:rPr>
        <w:t>,</w:t>
      </w:r>
      <w:r w:rsidR="00776562">
        <w:rPr>
          <w:sz w:val="24"/>
          <w:szCs w:val="24"/>
        </w:rPr>
        <w:t xml:space="preserve"> 2015, </w:t>
      </w:r>
      <w:r w:rsidR="00776562" w:rsidRPr="002B757B">
        <w:rPr>
          <w:i/>
          <w:sz w:val="24"/>
          <w:szCs w:val="24"/>
        </w:rPr>
        <w:t>http://kdahlquist.github.io/GRNmap/</w:t>
      </w:r>
      <w:r w:rsidR="00776562">
        <w:rPr>
          <w:sz w:val="24"/>
          <w:szCs w:val="24"/>
        </w:rPr>
        <w:t xml:space="preserve">).  </w:t>
      </w:r>
      <w:r w:rsidR="00D70D55">
        <w:rPr>
          <w:sz w:val="24"/>
          <w:szCs w:val="24"/>
        </w:rPr>
        <w:t>T</w:t>
      </w:r>
      <w:r w:rsidR="004C3E3B">
        <w:rPr>
          <w:sz w:val="24"/>
          <w:szCs w:val="24"/>
        </w:rPr>
        <w:t>his</w:t>
      </w:r>
      <w:r w:rsidR="00D70D55">
        <w:rPr>
          <w:sz w:val="24"/>
          <w:szCs w:val="24"/>
        </w:rPr>
        <w:t xml:space="preserve"> specialized use case is augmented by GRNsights’s ability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sidRPr="00C533CB">
        <w:rPr>
          <w:sz w:val="24"/>
          <w:szCs w:val="24"/>
        </w:rPr>
        <w:lastRenderedPageBreak/>
        <w:t>(</w:t>
      </w:r>
      <w:r w:rsidR="00251558" w:rsidRPr="00C533CB">
        <w:rPr>
          <w:rFonts w:cs="Times New Roman"/>
          <w:i/>
          <w:sz w:val="24"/>
          <w:szCs w:val="24"/>
        </w:rPr>
        <w:t>http://manual.cytoscape.org/en/latest/Supported_Network_File_Formats.html#sif-format</w:t>
      </w:r>
      <w:r w:rsidR="00212AC2" w:rsidRPr="00C533CB">
        <w:rPr>
          <w:sz w:val="24"/>
          <w:szCs w:val="24"/>
        </w:rPr>
        <w:t xml:space="preserve">) and GraphML </w:t>
      </w:r>
      <w:r w:rsidR="00F914D1" w:rsidRPr="00C533CB">
        <w:rPr>
          <w:sz w:val="24"/>
          <w:szCs w:val="24"/>
        </w:rPr>
        <w:t>(</w:t>
      </w:r>
      <w:r w:rsidR="00BD30DB" w:rsidRPr="00C533CB">
        <w:rPr>
          <w:sz w:val="24"/>
          <w:szCs w:val="24"/>
        </w:rPr>
        <w:t xml:space="preserve">Brandes, et al. 2001, </w:t>
      </w:r>
      <w:r w:rsidR="00F914D1" w:rsidRPr="00C533CB">
        <w:rPr>
          <w:i/>
          <w:sz w:val="24"/>
          <w:szCs w:val="24"/>
        </w:rPr>
        <w:t>http://graphml.graphdrawing.org/</w:t>
      </w:r>
      <w:r w:rsidR="00F914D1" w:rsidRPr="00C533CB">
        <w:rPr>
          <w:sz w:val="24"/>
          <w:szCs w:val="24"/>
        </w:rPr>
        <w:t>)</w:t>
      </w:r>
      <w:r w:rsidR="002B757B" w:rsidRPr="00C533CB">
        <w:rPr>
          <w:sz w:val="24"/>
          <w:szCs w:val="24"/>
        </w:rPr>
        <w:t xml:space="preserve"> formats</w:t>
      </w:r>
      <w:r w:rsidR="00212AC2" w:rsidRPr="00C533CB">
        <w:rPr>
          <w:sz w:val="24"/>
          <w:szCs w:val="24"/>
        </w:rPr>
        <w:t xml:space="preserve">, facilitating movement of data between GRNsight and other network visualization and analysis programs.  </w:t>
      </w:r>
      <w:r w:rsidR="004C3E3B" w:rsidRPr="00C533CB">
        <w:rPr>
          <w:sz w:val="24"/>
          <w:szCs w:val="24"/>
        </w:rPr>
        <w:t xml:space="preserve">For instance, one can interact with the GRNsight server component directly, in order to upload Excel workbooks and supported import formats for conversion into JSON then back into a supported export format.  </w:t>
      </w:r>
      <w:r w:rsidR="00F914D1" w:rsidRPr="00C533CB">
        <w:rPr>
          <w:sz w:val="24"/>
          <w:szCs w:val="24"/>
        </w:rPr>
        <w:t>Thus, we are in a position to comment</w:t>
      </w:r>
      <w:r w:rsidR="00501A09" w:rsidRPr="00C533CB">
        <w:rPr>
          <w:sz w:val="24"/>
          <w:szCs w:val="24"/>
        </w:rPr>
        <w:t xml:space="preserve"> on </w:t>
      </w:r>
      <w:r w:rsidR="004C3E3B" w:rsidRPr="00C533CB">
        <w:rPr>
          <w:sz w:val="24"/>
          <w:szCs w:val="24"/>
        </w:rPr>
        <w:t>SIF and GraphML</w:t>
      </w:r>
      <w:r w:rsidR="00501A09" w:rsidRPr="00C533CB">
        <w:rPr>
          <w:sz w:val="24"/>
          <w:szCs w:val="24"/>
        </w:rPr>
        <w:t xml:space="preserve"> with respect to</w:t>
      </w:r>
      <w:r w:rsidR="00F914D1" w:rsidRPr="00C533CB">
        <w:rPr>
          <w:sz w:val="24"/>
          <w:szCs w:val="24"/>
        </w:rPr>
        <w:t xml:space="preserve"> the finer points of data I</w:t>
      </w:r>
      <w:r w:rsidR="00633B1E" w:rsidRPr="00C533CB">
        <w:rPr>
          <w:sz w:val="24"/>
          <w:szCs w:val="24"/>
        </w:rPr>
        <w:t xml:space="preserve">nteroperability, including: </w:t>
      </w:r>
      <w:r w:rsidR="00501A09" w:rsidRPr="00C533CB">
        <w:rPr>
          <w:sz w:val="24"/>
          <w:szCs w:val="24"/>
        </w:rPr>
        <w:t xml:space="preserve"> metadata and data us</w:t>
      </w:r>
      <w:r w:rsidR="00D70D55" w:rsidRPr="00C533CB">
        <w:rPr>
          <w:sz w:val="24"/>
          <w:szCs w:val="24"/>
        </w:rPr>
        <w:t>ing</w:t>
      </w:r>
      <w:r w:rsidR="00501A09" w:rsidRPr="00C533CB">
        <w:rPr>
          <w:sz w:val="24"/>
          <w:szCs w:val="24"/>
        </w:rPr>
        <w:t xml:space="preserve"> a formal, accessible, shared, and broadly applicable language f</w:t>
      </w:r>
      <w:r w:rsidR="00633B1E" w:rsidRPr="00C533CB">
        <w:rPr>
          <w:sz w:val="24"/>
          <w:szCs w:val="24"/>
        </w:rPr>
        <w:t xml:space="preserve">or knowledge representation, </w:t>
      </w:r>
      <w:r w:rsidR="00D70D55" w:rsidRPr="00C533CB">
        <w:rPr>
          <w:sz w:val="24"/>
          <w:szCs w:val="24"/>
        </w:rPr>
        <w:t>metadata and data using</w:t>
      </w:r>
      <w:r w:rsidR="00501A09" w:rsidRPr="00C533CB">
        <w:rPr>
          <w:sz w:val="24"/>
          <w:szCs w:val="24"/>
        </w:rPr>
        <w:t xml:space="preserve"> vocabularies that fo</w:t>
      </w:r>
      <w:r w:rsidR="00633B1E" w:rsidRPr="00C533CB">
        <w:rPr>
          <w:sz w:val="24"/>
          <w:szCs w:val="24"/>
        </w:rPr>
        <w:t>llow the FAIR principles, and</w:t>
      </w:r>
      <w:r w:rsidR="00501A09" w:rsidRPr="00C533CB">
        <w:rPr>
          <w:sz w:val="24"/>
          <w:szCs w:val="24"/>
        </w:rPr>
        <w:t xml:space="preserve"> metadata and data includ</w:t>
      </w:r>
      <w:r w:rsidR="00D70D55" w:rsidRPr="00C533CB">
        <w:rPr>
          <w:sz w:val="24"/>
          <w:szCs w:val="24"/>
        </w:rPr>
        <w:t>ing</w:t>
      </w:r>
      <w:r w:rsidR="00501A09">
        <w:rPr>
          <w:sz w:val="24"/>
          <w:szCs w:val="24"/>
        </w:rPr>
        <w:t xml:space="preserve"> qualified references to other metadata and data (Wilkinson et al.</w:t>
      </w:r>
      <w:r w:rsidR="00633B1E">
        <w:rPr>
          <w:sz w:val="24"/>
          <w:szCs w:val="24"/>
        </w:rPr>
        <w:t>,</w:t>
      </w:r>
      <w:r w:rsidR="00501A09">
        <w:rPr>
          <w:sz w:val="24"/>
          <w:szCs w:val="24"/>
        </w:rPr>
        <w:t xml:space="preserve"> 2016)</w:t>
      </w:r>
      <w:r w:rsidR="00F914D1">
        <w:rPr>
          <w:sz w:val="24"/>
          <w:szCs w:val="24"/>
        </w:rPr>
        <w:t>.</w:t>
      </w:r>
    </w:p>
    <w:p w14:paraId="534C5B82" w14:textId="610FC292" w:rsidR="00B85D97" w:rsidRPr="00C533CB"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w:t>
      </w:r>
      <w:r w:rsidR="00D7311B">
        <w:rPr>
          <w:sz w:val="24"/>
          <w:szCs w:val="24"/>
        </w:rPr>
        <w:t xml:space="preserve">variations accepted by these formats which </w:t>
      </w:r>
      <w:r>
        <w:rPr>
          <w:sz w:val="24"/>
          <w:szCs w:val="24"/>
        </w:rPr>
        <w:t>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software</w:t>
      </w:r>
      <w:r w:rsidR="00D7311B">
        <w:rPr>
          <w:sz w:val="24"/>
          <w:szCs w:val="24"/>
        </w:rPr>
        <w:t xml:space="preserve"> that</w:t>
      </w:r>
      <w:r w:rsidR="00E15E1B">
        <w:rPr>
          <w:sz w:val="24"/>
          <w:szCs w:val="24"/>
        </w:rPr>
        <w:t xml:space="preserve">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w:t>
      </w:r>
      <w:r w:rsidR="00633B1E">
        <w:rPr>
          <w:sz w:val="24"/>
          <w:szCs w:val="24"/>
        </w:rPr>
        <w:t>v</w:t>
      </w:r>
      <w:r>
        <w:rPr>
          <w:sz w:val="24"/>
          <w:szCs w:val="24"/>
        </w:rPr>
        <w:t xml:space="preserve">3.4.0 offers quite a </w:t>
      </w:r>
      <w:r w:rsidR="00D7311B">
        <w:rPr>
          <w:sz w:val="24"/>
          <w:szCs w:val="24"/>
        </w:rPr>
        <w:t>few divergent options</w:t>
      </w:r>
      <w:r>
        <w:rPr>
          <w:sz w:val="24"/>
          <w:szCs w:val="24"/>
        </w:rPr>
        <w:t xml:space="preserve">,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lastRenderedPageBreak/>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 xml:space="preserve">Moreover, there is no controlled vocabulary for the relationship type, only a list of suggestions in the Cytoscape documentation, </w:t>
      </w:r>
      <w:r w:rsidR="00C608F4" w:rsidRPr="00C533CB">
        <w:rPr>
          <w:sz w:val="24"/>
          <w:szCs w:val="24"/>
        </w:rPr>
        <w:t xml:space="preserve">from which we selected “pd”.  In practice, Cytoscape </w:t>
      </w:r>
      <w:r w:rsidR="00633B1E" w:rsidRPr="00C533CB">
        <w:rPr>
          <w:sz w:val="24"/>
          <w:szCs w:val="24"/>
        </w:rPr>
        <w:t>v</w:t>
      </w:r>
      <w:r w:rsidR="00C608F4" w:rsidRPr="00C533CB">
        <w:rPr>
          <w:sz w:val="24"/>
          <w:szCs w:val="24"/>
        </w:rPr>
        <w:t xml:space="preserve">3.4.0 defaults to “interacts with” as the relationship type when exporting SIF files.  </w:t>
      </w:r>
      <w:r w:rsidR="00B85D97" w:rsidRPr="00C533CB">
        <w:rPr>
          <w:sz w:val="24"/>
          <w:szCs w:val="24"/>
        </w:rPr>
        <w:t>As a simple text format, it does not satisfy the three sub-principles of Interoperability (Wilkinson et al. 2016)</w:t>
      </w:r>
      <w:r w:rsidR="002C437E" w:rsidRPr="00C533CB">
        <w:rPr>
          <w:sz w:val="24"/>
          <w:szCs w:val="24"/>
        </w:rPr>
        <w:t>.</w:t>
      </w:r>
    </w:p>
    <w:p w14:paraId="13021910" w14:textId="0FDE6E68" w:rsidR="00CF6907" w:rsidRDefault="00257DCB" w:rsidP="0055169C">
      <w:pPr>
        <w:spacing w:before="240" w:after="240" w:line="480" w:lineRule="auto"/>
        <w:ind w:firstLine="720"/>
        <w:rPr>
          <w:sz w:val="24"/>
          <w:szCs w:val="24"/>
        </w:rPr>
      </w:pPr>
      <w:r w:rsidRPr="00C533CB">
        <w:rPr>
          <w:sz w:val="24"/>
          <w:szCs w:val="24"/>
        </w:rPr>
        <w:t xml:space="preserve">In contrast, </w:t>
      </w:r>
      <w:r w:rsidR="00711CB0" w:rsidRPr="00C533CB">
        <w:rPr>
          <w:sz w:val="24"/>
          <w:szCs w:val="24"/>
        </w:rPr>
        <w:t>GraphML</w:t>
      </w:r>
      <w:r w:rsidRPr="00C533CB">
        <w:rPr>
          <w:sz w:val="24"/>
          <w:szCs w:val="24"/>
        </w:rPr>
        <w:t>,</w:t>
      </w:r>
      <w:r w:rsidR="00711CB0" w:rsidRPr="00C533CB">
        <w:rPr>
          <w:sz w:val="24"/>
          <w:szCs w:val="24"/>
        </w:rPr>
        <w:t xml:space="preserve"> </w:t>
      </w:r>
      <w:r w:rsidRPr="00C533CB">
        <w:rPr>
          <w:sz w:val="24"/>
          <w:szCs w:val="24"/>
        </w:rPr>
        <w:t xml:space="preserve">as a richer XML format, has the potential to satisfy the Interoperability criteria. </w:t>
      </w:r>
      <w:r w:rsidR="005A19A0" w:rsidRPr="00C533CB">
        <w:rPr>
          <w:sz w:val="24"/>
          <w:szCs w:val="24"/>
        </w:rPr>
        <w:t xml:space="preserve"> However, as with SIF, w</w:t>
      </w:r>
      <w:r w:rsidR="00711CB0" w:rsidRPr="00C533CB">
        <w:rPr>
          <w:sz w:val="24"/>
          <w:szCs w:val="24"/>
        </w:rPr>
        <w:t xml:space="preserve">e encountered </w:t>
      </w:r>
      <w:r w:rsidR="005A19A0" w:rsidRPr="00C533CB">
        <w:rPr>
          <w:sz w:val="24"/>
          <w:szCs w:val="24"/>
        </w:rPr>
        <w:t xml:space="preserve">issues </w:t>
      </w:r>
      <w:r w:rsidR="00E52371" w:rsidRPr="00C533CB">
        <w:rPr>
          <w:sz w:val="24"/>
          <w:szCs w:val="24"/>
        </w:rPr>
        <w:t>because a feature of the format that is intended to facilitate flexibility has, in practice, turned out to degrade</w:t>
      </w:r>
      <w:r w:rsidR="00E52371">
        <w:rPr>
          <w:sz w:val="24"/>
          <w:szCs w:val="24"/>
        </w:rPr>
        <w:t xml:space="preserve"> Interoperability rather than enhance it</w:t>
      </w:r>
      <w:r w:rsidR="005A19A0" w:rsidRPr="00E909CC">
        <w:rPr>
          <w:sz w:val="24"/>
          <w:szCs w:val="24"/>
        </w:rPr>
        <w:t xml:space="preserve">.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52371">
        <w:rPr>
          <w:sz w:val="24"/>
          <w:szCs w:val="24"/>
        </w:rPr>
        <w:t>.  Although this</w:t>
      </w:r>
      <w:r w:rsidR="00E909CC" w:rsidRPr="00E909CC">
        <w:rPr>
          <w:sz w:val="24"/>
          <w:szCs w:val="24"/>
        </w:rPr>
        <w:t xml:space="preserve"> flexibility is appreciated, </w:t>
      </w:r>
      <w:r w:rsidR="00E52371">
        <w:rPr>
          <w:sz w:val="24"/>
          <w:szCs w:val="24"/>
        </w:rPr>
        <w:t>it also serves as an enabler for</w:t>
      </w:r>
      <w:r w:rsidR="00E909CC" w:rsidRPr="00E909CC">
        <w:rPr>
          <w:sz w:val="24"/>
          <w:szCs w:val="24"/>
        </w:rPr>
        <w:t xml:space="preserve">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 xml:space="preserve">GRNsight accommodates display of node labels from Cytoscape- and yED-exported GraphML by using a priority system to select among the </w:t>
      </w:r>
      <w:r w:rsidR="00633B1E">
        <w:rPr>
          <w:sz w:val="24"/>
          <w:szCs w:val="24"/>
        </w:rPr>
        <w:t xml:space="preserve">XML </w:t>
      </w:r>
      <w:r w:rsidR="00CA2D76">
        <w:rPr>
          <w:sz w:val="24"/>
          <w:szCs w:val="24"/>
        </w:rPr>
        <w:t xml:space="preserve">elements it may </w:t>
      </w:r>
      <w:r w:rsidR="00CA2D76">
        <w:rPr>
          <w:sz w:val="24"/>
          <w:szCs w:val="24"/>
        </w:rPr>
        <w:lastRenderedPageBreak/>
        <w:t>encounter.  Finally, as with SIF</w:t>
      </w:r>
      <w:r w:rsidR="006413B7">
        <w:rPr>
          <w:sz w:val="24"/>
          <w:szCs w:val="24"/>
        </w:rPr>
        <w:t>, there is no enforcement of the use of IDs from a recognized biological database</w:t>
      </w:r>
      <w:r w:rsidR="00CA2D76">
        <w:rPr>
          <w:sz w:val="24"/>
          <w:szCs w:val="24"/>
        </w:rPr>
        <w:t>, even though t</w:t>
      </w:r>
      <w:r w:rsidR="002C437E">
        <w:rPr>
          <w:sz w:val="24"/>
          <w:szCs w:val="24"/>
        </w:rPr>
        <w:t xml:space="preserve">he potential exists to </w:t>
      </w:r>
      <w:r w:rsidR="00CA2D76">
        <w:rPr>
          <w:sz w:val="24"/>
          <w:szCs w:val="24"/>
        </w:rPr>
        <w:t xml:space="preserve">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1612B84" w14:textId="215A14B9" w:rsidR="00633B1E" w:rsidRPr="00C533CB" w:rsidRDefault="00C97895" w:rsidP="000069C1">
      <w:pPr>
        <w:spacing w:before="240" w:after="240" w:line="480" w:lineRule="auto"/>
        <w:ind w:firstLine="720"/>
        <w:rPr>
          <w:sz w:val="24"/>
          <w:szCs w:val="24"/>
        </w:rPr>
      </w:pPr>
      <w:r>
        <w:rPr>
          <w:sz w:val="24"/>
          <w:szCs w:val="24"/>
        </w:rPr>
        <w:t xml:space="preserve">The format of a </w:t>
      </w:r>
      <w:r w:rsidR="009F77B9">
        <w:rPr>
          <w:sz w:val="24"/>
          <w:szCs w:val="24"/>
        </w:rPr>
        <w:t>GraphML export b</w:t>
      </w:r>
      <w:r w:rsidR="00633B1E">
        <w:rPr>
          <w:sz w:val="24"/>
          <w:szCs w:val="24"/>
        </w:rPr>
        <w:t>y GRNsight is described on the D</w:t>
      </w:r>
      <w:r w:rsidR="009F77B9">
        <w:rPr>
          <w:sz w:val="24"/>
          <w:szCs w:val="24"/>
        </w:rPr>
        <w:t>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560DC0">
        <w:rPr>
          <w:sz w:val="24"/>
          <w:szCs w:val="24"/>
        </w:rPr>
        <w:t>have ensured that GRN</w:t>
      </w:r>
      <w:r w:rsidR="009F77B9">
        <w:rPr>
          <w:sz w:val="24"/>
          <w:szCs w:val="24"/>
        </w:rPr>
        <w:t>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 xml:space="preserve">dressed on a case-by-case basis </w:t>
      </w:r>
      <w:r w:rsidR="009F77B9" w:rsidRPr="00C533CB">
        <w:rPr>
          <w:sz w:val="24"/>
          <w:szCs w:val="24"/>
        </w:rPr>
        <w:t>through bug reports at our GitHub repository.</w:t>
      </w:r>
      <w:r w:rsidR="000069C1" w:rsidRPr="00C533CB">
        <w:rPr>
          <w:sz w:val="24"/>
          <w:szCs w:val="24"/>
        </w:rPr>
        <w:t xml:space="preserve">  </w:t>
      </w:r>
    </w:p>
    <w:p w14:paraId="737BDEB2" w14:textId="11E960BB" w:rsidR="00257DCB" w:rsidRDefault="00C97895" w:rsidP="000069C1">
      <w:pPr>
        <w:spacing w:before="240" w:after="240" w:line="480" w:lineRule="auto"/>
        <w:ind w:firstLine="720"/>
        <w:rPr>
          <w:sz w:val="24"/>
          <w:szCs w:val="24"/>
        </w:rPr>
      </w:pPr>
      <w:r w:rsidRPr="00C533CB">
        <w:rPr>
          <w:sz w:val="24"/>
          <w:szCs w:val="24"/>
        </w:rPr>
        <w:t xml:space="preserve">Compliance with FAIR principles is facilitated by the </w:t>
      </w:r>
      <w:r w:rsidR="0055778A" w:rsidRPr="00C533CB">
        <w:rPr>
          <w:sz w:val="24"/>
          <w:szCs w:val="24"/>
        </w:rPr>
        <w:t>BioS</w:t>
      </w:r>
      <w:r w:rsidR="00257DCB" w:rsidRPr="00C533CB">
        <w:rPr>
          <w:sz w:val="24"/>
          <w:szCs w:val="24"/>
        </w:rPr>
        <w:t>haring</w:t>
      </w:r>
      <w:r w:rsidR="0055778A" w:rsidRPr="00C533CB">
        <w:rPr>
          <w:sz w:val="24"/>
          <w:szCs w:val="24"/>
        </w:rPr>
        <w:t xml:space="preserve"> registry </w:t>
      </w:r>
      <w:r w:rsidR="00257DCB" w:rsidRPr="00C533CB">
        <w:rPr>
          <w:sz w:val="24"/>
          <w:szCs w:val="24"/>
        </w:rPr>
        <w:t>of standards (McQuilton et al.</w:t>
      </w:r>
      <w:r w:rsidR="00633B1E" w:rsidRPr="00C533CB">
        <w:rPr>
          <w:sz w:val="24"/>
          <w:szCs w:val="24"/>
        </w:rPr>
        <w:t>,</w:t>
      </w:r>
      <w:r w:rsidR="00257DCB" w:rsidRPr="00C533CB">
        <w:rPr>
          <w:sz w:val="24"/>
          <w:szCs w:val="24"/>
        </w:rPr>
        <w:t xml:space="preserve"> 2016</w:t>
      </w:r>
      <w:r w:rsidR="0055778A" w:rsidRPr="00C533CB">
        <w:rPr>
          <w:sz w:val="24"/>
          <w:szCs w:val="24"/>
        </w:rPr>
        <w:t xml:space="preserve">; </w:t>
      </w:r>
      <w:r w:rsidR="0055778A" w:rsidRPr="00C533CB">
        <w:rPr>
          <w:i/>
          <w:sz w:val="24"/>
          <w:szCs w:val="24"/>
        </w:rPr>
        <w:t>https://biosharing.org</w:t>
      </w:r>
      <w:r w:rsidR="00257DCB" w:rsidRPr="00C533CB">
        <w:rPr>
          <w:sz w:val="24"/>
          <w:szCs w:val="24"/>
        </w:rPr>
        <w:t>)</w:t>
      </w:r>
      <w:r w:rsidRPr="00C533CB">
        <w:rPr>
          <w:sz w:val="24"/>
          <w:szCs w:val="24"/>
        </w:rPr>
        <w:t xml:space="preserve">.  As of this writing, GraphML is present in the registry, </w:t>
      </w:r>
      <w:r w:rsidR="00257DCB" w:rsidRPr="00C533CB">
        <w:rPr>
          <w:sz w:val="24"/>
          <w:szCs w:val="24"/>
        </w:rPr>
        <w:t xml:space="preserve">but as an unclaimed, automatically-generated entry.  </w:t>
      </w:r>
      <w:r w:rsidR="00E52371" w:rsidRPr="00C533CB">
        <w:rPr>
          <w:sz w:val="24"/>
          <w:szCs w:val="24"/>
        </w:rPr>
        <w:t>O</w:t>
      </w:r>
      <w:r w:rsidR="008059E5" w:rsidRPr="00C533CB">
        <w:rPr>
          <w:sz w:val="24"/>
          <w:szCs w:val="24"/>
        </w:rPr>
        <w:t>ther formats for sharing network data</w:t>
      </w:r>
      <w:r w:rsidR="000069C1" w:rsidRPr="00C533CB">
        <w:rPr>
          <w:sz w:val="24"/>
          <w:szCs w:val="24"/>
        </w:rPr>
        <w:t xml:space="preserve"> are potentially more fully FAIR compliant.  However, the addition of each new format, while increasing the flexibility and power of the GRNsight software, would incur the cost of additional complexity</w:t>
      </w:r>
      <w:r w:rsidR="000D1255" w:rsidRPr="00C533CB">
        <w:rPr>
          <w:sz w:val="24"/>
          <w:szCs w:val="24"/>
        </w:rPr>
        <w:t xml:space="preserve"> (</w:t>
      </w:r>
      <w:r w:rsidR="000D1255" w:rsidRPr="00C533CB">
        <w:rPr>
          <w:i/>
          <w:sz w:val="24"/>
          <w:szCs w:val="24"/>
        </w:rPr>
        <w:t>http://boxesandarrows.com/complexity-and-user-experience/</w:t>
      </w:r>
      <w:r w:rsidR="000D1255" w:rsidRPr="00C533CB">
        <w:rPr>
          <w:sz w:val="24"/>
          <w:szCs w:val="24"/>
        </w:rPr>
        <w:t>)</w:t>
      </w:r>
      <w:r w:rsidR="000069C1" w:rsidRPr="00C533CB">
        <w:rPr>
          <w:sz w:val="24"/>
          <w:szCs w:val="24"/>
        </w:rPr>
        <w:t xml:space="preserve">. </w:t>
      </w:r>
      <w:r w:rsidR="000D1255" w:rsidRPr="00C533CB">
        <w:rPr>
          <w:sz w:val="24"/>
          <w:szCs w:val="24"/>
        </w:rPr>
        <w:t xml:space="preserve"> This is a corollary of “one thing well”</w:t>
      </w:r>
      <w:r w:rsidR="000069C1" w:rsidRPr="00C533CB">
        <w:rPr>
          <w:sz w:val="24"/>
          <w:szCs w:val="24"/>
        </w:rPr>
        <w:t xml:space="preserve"> and is, for example, one reason why </w:t>
      </w:r>
      <w:r w:rsidR="009525FA" w:rsidRPr="00C533CB">
        <w:rPr>
          <w:sz w:val="24"/>
          <w:szCs w:val="24"/>
        </w:rPr>
        <w:t xml:space="preserve">the complex </w:t>
      </w:r>
      <w:r w:rsidR="000069C1" w:rsidRPr="00C533CB">
        <w:rPr>
          <w:sz w:val="24"/>
          <w:szCs w:val="24"/>
        </w:rPr>
        <w:t xml:space="preserve">Cytoscape </w:t>
      </w:r>
      <w:r w:rsidR="009525FA" w:rsidRPr="00C533CB">
        <w:rPr>
          <w:sz w:val="24"/>
          <w:szCs w:val="24"/>
        </w:rPr>
        <w:t>stand-</w:t>
      </w:r>
      <w:r w:rsidR="009525FA">
        <w:rPr>
          <w:sz w:val="24"/>
          <w:szCs w:val="24"/>
        </w:rPr>
        <w:t xml:space="preserve">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w:t>
      </w:r>
      <w:r w:rsidR="00B41A75">
        <w:rPr>
          <w:sz w:val="24"/>
          <w:szCs w:val="24"/>
        </w:rPr>
        <w:t>aphorism</w:t>
      </w:r>
      <w:r w:rsidR="00A57135">
        <w:rPr>
          <w:sz w:val="24"/>
          <w:szCs w:val="24"/>
        </w:rPr>
        <w:t xml:space="preserve"> that “95% of bioinformatics is getting your data into the right file format”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3053EA47" w:rsidR="00C3737D" w:rsidRDefault="005C5320" w:rsidP="005C5320">
      <w:pPr>
        <w:spacing w:before="240" w:after="240" w:line="480" w:lineRule="auto"/>
        <w:ind w:firstLine="720"/>
        <w:rPr>
          <w:sz w:val="24"/>
          <w:szCs w:val="24"/>
        </w:rPr>
      </w:pPr>
      <w:r>
        <w:rPr>
          <w:sz w:val="24"/>
          <w:szCs w:val="24"/>
        </w:rPr>
        <w:t xml:space="preserve">The FAIR principles state that metadata and data should be richly described with a plurality of accurate and relevant attributes, released with a clear and accessible usage license, </w:t>
      </w:r>
      <w:r>
        <w:rPr>
          <w:sz w:val="24"/>
          <w:szCs w:val="24"/>
        </w:rPr>
        <w:lastRenderedPageBreak/>
        <w:t>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w:t>
      </w:r>
      <w:r>
        <w:rPr>
          <w:sz w:val="24"/>
          <w:szCs w:val="24"/>
        </w:rPr>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w:t>
      </w:r>
      <w:r w:rsidR="00FA64C7">
        <w:rPr>
          <w:sz w:val="24"/>
          <w:szCs w:val="24"/>
        </w:rPr>
        <w:t xml:space="preserve">causes it to </w:t>
      </w:r>
      <w:r w:rsidR="0085209A">
        <w:rPr>
          <w:sz w:val="24"/>
          <w:szCs w:val="24"/>
        </w:rPr>
        <w:t xml:space="preserve">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633B1E">
        <w:rPr>
          <w:sz w:val="24"/>
          <w:szCs w:val="24"/>
        </w:rPr>
        <w:t>, although this feature</w:t>
      </w:r>
      <w:r w:rsidR="00C3737D" w:rsidRPr="005C5320">
        <w:rPr>
          <w:sz w:val="24"/>
          <w:szCs w:val="24"/>
        </w:rPr>
        <w:t xml:space="preserve"> is not implemented at this time.</w:t>
      </w:r>
    </w:p>
    <w:p w14:paraId="342659A4" w14:textId="6C6606D4" w:rsidR="0085209A" w:rsidRDefault="007243A1" w:rsidP="0035626F">
      <w:pPr>
        <w:spacing w:before="240" w:after="240" w:line="480" w:lineRule="auto"/>
        <w:ind w:firstLine="720"/>
        <w:rPr>
          <w:sz w:val="24"/>
          <w:szCs w:val="24"/>
        </w:rPr>
      </w:pPr>
      <w:r>
        <w:rPr>
          <w:sz w:val="24"/>
          <w:szCs w:val="24"/>
        </w:rPr>
        <w:t>In the</w:t>
      </w:r>
      <w:r w:rsidR="0055778A">
        <w:rPr>
          <w:sz w:val="24"/>
          <w:szCs w:val="24"/>
        </w:rPr>
        <w:t xml:space="preserve"> end, even the examples given by </w:t>
      </w:r>
      <w:r>
        <w:rPr>
          <w:sz w:val="24"/>
          <w:szCs w:val="24"/>
        </w:rPr>
        <w:t xml:space="preserve">Wilkinson et al. </w:t>
      </w:r>
      <w:r w:rsidR="0055778A">
        <w:rPr>
          <w:sz w:val="24"/>
          <w:szCs w:val="24"/>
        </w:rPr>
        <w:t>(</w:t>
      </w:r>
      <w:r>
        <w:rPr>
          <w:sz w:val="24"/>
          <w:szCs w:val="24"/>
        </w:rPr>
        <w:t>2016</w:t>
      </w:r>
      <w:r w:rsidR="0055778A">
        <w:rPr>
          <w:sz w:val="24"/>
          <w:szCs w:val="24"/>
        </w:rPr>
        <w:t xml:space="preserve">) have varying levels of adherence to the </w:t>
      </w:r>
      <w:r w:rsidR="00633B1E">
        <w:rPr>
          <w:sz w:val="24"/>
          <w:szCs w:val="24"/>
        </w:rPr>
        <w:t xml:space="preserve">FAIR </w:t>
      </w:r>
      <w:r w:rsidR="0055778A">
        <w:rPr>
          <w:sz w:val="24"/>
          <w:szCs w:val="24"/>
        </w:rPr>
        <w:t xml:space="preserve">principles or </w:t>
      </w:r>
      <w:r>
        <w:rPr>
          <w:sz w:val="24"/>
          <w:szCs w:val="24"/>
        </w:rPr>
        <w:t>“FAIRness”</w:t>
      </w:r>
      <w:r w:rsidR="0055778A">
        <w:rPr>
          <w:sz w:val="24"/>
          <w:szCs w:val="24"/>
        </w:rPr>
        <w:t>, which</w:t>
      </w:r>
      <w:r w:rsidR="00DD6777">
        <w:rPr>
          <w:sz w:val="24"/>
          <w:szCs w:val="24"/>
        </w:rPr>
        <w:t>, they argue,</w:t>
      </w:r>
      <w:r w:rsidR="0055778A">
        <w:rPr>
          <w:sz w:val="24"/>
          <w:szCs w:val="24"/>
        </w:rPr>
        <w:t xml:space="preserve"> should be used as a guide to </w:t>
      </w:r>
      <w:r w:rsidR="00DD6777">
        <w:rPr>
          <w:sz w:val="24"/>
          <w:szCs w:val="24"/>
        </w:rPr>
        <w:t xml:space="preserve">the </w:t>
      </w:r>
      <w:r w:rsidR="0055778A">
        <w:rPr>
          <w:sz w:val="24"/>
          <w:szCs w:val="24"/>
        </w:rPr>
        <w:t>incremental improvement</w:t>
      </w:r>
      <w:r w:rsidR="00DD6777">
        <w:rPr>
          <w:sz w:val="24"/>
          <w:szCs w:val="24"/>
        </w:rPr>
        <w:t xml:space="preserve"> of resources</w:t>
      </w:r>
      <w:r w:rsidR="0055778A">
        <w:rPr>
          <w:sz w:val="24"/>
          <w:szCs w:val="24"/>
        </w:rPr>
        <w:t xml:space="preserve">.  </w:t>
      </w:r>
      <w:r w:rsidR="005E4193">
        <w:rPr>
          <w:sz w:val="24"/>
          <w:szCs w:val="24"/>
        </w:rPr>
        <w:t xml:space="preserve">Although </w:t>
      </w:r>
      <w:r w:rsidR="0085209A">
        <w:rPr>
          <w:sz w:val="24"/>
          <w:szCs w:val="24"/>
        </w:rPr>
        <w:t xml:space="preserve">GRNsight has </w:t>
      </w:r>
      <w:r w:rsidR="005C5320">
        <w:rPr>
          <w:sz w:val="24"/>
          <w:szCs w:val="24"/>
        </w:rPr>
        <w:t xml:space="preserve">the </w:t>
      </w:r>
      <w:r w:rsidR="0085209A">
        <w:rPr>
          <w:sz w:val="24"/>
          <w:szCs w:val="24"/>
        </w:rPr>
        <w:t xml:space="preserve">limitations </w:t>
      </w:r>
      <w:r w:rsidR="0055778A">
        <w:rPr>
          <w:sz w:val="24"/>
          <w:szCs w:val="24"/>
        </w:rPr>
        <w:t>discussed</w:t>
      </w:r>
      <w:r w:rsidR="0085209A">
        <w:rPr>
          <w:sz w:val="24"/>
          <w:szCs w:val="24"/>
        </w:rPr>
        <w:t xml:space="preserve">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6D40190F"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that is simple and intuitive to use</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Pr>
          <w:sz w:val="24"/>
          <w:szCs w:val="24"/>
        </w:rPr>
        <w:t xml:space="preserve">GRNsight also has the capability of importing and exporting files in </w:t>
      </w:r>
      <w:r w:rsidR="006C6B74">
        <w:rPr>
          <w:sz w:val="24"/>
          <w:szCs w:val="24"/>
        </w:rPr>
        <w:lastRenderedPageBreak/>
        <w:t xml:space="preserve">SIF and GraphML formats.  </w:t>
      </w:r>
      <w:r w:rsidRPr="00F23987">
        <w:rPr>
          <w:sz w:val="24"/>
          <w:szCs w:val="24"/>
        </w:rPr>
        <w:t>Although GRNsight was originally developed for use with the GRNmap modeling software, and has provided useful insight in</w:t>
      </w:r>
      <w:r w:rsidR="00633B1E">
        <w:rPr>
          <w:sz w:val="24"/>
          <w:szCs w:val="24"/>
        </w:rPr>
        <w:t>to</w:t>
      </w:r>
      <w:r w:rsidRPr="00F23987">
        <w:rPr>
          <w:sz w:val="24"/>
          <w:szCs w:val="24"/>
        </w:rPr>
        <w:t xml:space="preserve">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w:t>
      </w:r>
      <w:r w:rsidR="00D54981">
        <w:rPr>
          <w:sz w:val="24"/>
          <w:szCs w:val="24"/>
        </w:rPr>
        <w:t xml:space="preserve">best practices for </w:t>
      </w:r>
      <w:r w:rsidRPr="00F23987">
        <w:rPr>
          <w:sz w:val="24"/>
          <w:szCs w:val="24"/>
        </w:rPr>
        <w:t xml:space="preserve">software engineering </w:t>
      </w:r>
      <w:r w:rsidR="00D54981">
        <w:rPr>
          <w:sz w:val="24"/>
          <w:szCs w:val="24"/>
        </w:rPr>
        <w:t>support reproducible research and</w:t>
      </w:r>
      <w:r w:rsidRPr="00F23987">
        <w:rPr>
          <w:sz w:val="24"/>
          <w:szCs w:val="24"/>
        </w:rPr>
        <w:t xml:space="preserve">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2274BCB5"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Afgan E., Baker D., van den Beek M., Blankenberg D., Bouvier D., Čech M., Chilton J., </w:t>
      </w:r>
      <w:r>
        <w:rPr>
          <w:sz w:val="24"/>
          <w:szCs w:val="24"/>
        </w:rPr>
        <w:lastRenderedPageBreak/>
        <w:t xml:space="preserve">Clements D., Coraor N., Eberhard C., Grüning B., Guerler A., Hillman-Jackson J., Von Kuster G., Rasche E., Soranzo N., Turaga N., Taylor J., Nekrutenko A., Goecks J. 2016. The Galaxy platform for accessible, reproducible and collaborative biomedical analyses: 2016 update. </w:t>
      </w:r>
      <w:r>
        <w:rPr>
          <w:i/>
          <w:iCs/>
          <w:sz w:val="24"/>
          <w:szCs w:val="24"/>
        </w:rPr>
        <w:t>Nucleic Acids Research</w:t>
      </w:r>
      <w:r>
        <w:rPr>
          <w:sz w:val="24"/>
          <w:szCs w:val="24"/>
        </w:rPr>
        <w:t xml:space="preserve"> 44:W3–W10. DOI: 10.1093/nar/gkw343.</w:t>
      </w:r>
    </w:p>
    <w:p w14:paraId="73782B4A" w14:textId="1715570D"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Alon U. 2007. </w:t>
      </w:r>
      <w:r>
        <w:rPr>
          <w:i/>
          <w:iCs/>
          <w:sz w:val="24"/>
          <w:szCs w:val="24"/>
        </w:rPr>
        <w:t>An introduction to systems biology: design principles of biological circuits</w:t>
      </w:r>
      <w:r>
        <w:rPr>
          <w:sz w:val="24"/>
          <w:szCs w:val="24"/>
        </w:rPr>
        <w:t>. Boca Raton, FL: Chapman &amp; Hall/CRC.</w:t>
      </w:r>
      <w:r w:rsidR="007D7B5D">
        <w:rPr>
          <w:sz w:val="24"/>
          <w:szCs w:val="24"/>
        </w:rPr>
        <w:t xml:space="preserve"> </w:t>
      </w:r>
      <w:r w:rsidR="007D7B5D">
        <w:rPr>
          <w:sz w:val="24"/>
          <w:szCs w:val="24"/>
        </w:rPr>
        <w:t xml:space="preserve">ISBN: </w:t>
      </w:r>
      <w:r w:rsidR="007D7B5D" w:rsidRPr="00510133">
        <w:rPr>
          <w:sz w:val="24"/>
          <w:szCs w:val="24"/>
        </w:rPr>
        <w:t>1-58488-642-0</w:t>
      </w:r>
      <w:bookmarkStart w:id="0" w:name="_GoBack"/>
      <w:bookmarkEnd w:id="0"/>
    </w:p>
    <w:p w14:paraId="6421B7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Bastian M., Heymann S., Jacomy M. 2009. Gephi: an open source software for exploring and manipulating networks. </w:t>
      </w:r>
      <w:r>
        <w:rPr>
          <w:i/>
          <w:iCs/>
          <w:sz w:val="24"/>
          <w:szCs w:val="24"/>
        </w:rPr>
        <w:t>Third International AAAI Conference on Weblogs and Social Media</w:t>
      </w:r>
      <w:r>
        <w:rPr>
          <w:sz w:val="24"/>
          <w:szCs w:val="24"/>
        </w:rPr>
        <w:t xml:space="preserve"> 8:361–362.</w:t>
      </w:r>
    </w:p>
    <w:p w14:paraId="7C8139AB"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Borneman AR., Leigh-Bell JA., Yu H., Bertone P., Gerstein M., Snyder M. 2006. Target hub proteins serve as master regulators of development in yeast. </w:t>
      </w:r>
      <w:r>
        <w:rPr>
          <w:i/>
          <w:iCs/>
          <w:sz w:val="24"/>
          <w:szCs w:val="24"/>
        </w:rPr>
        <w:t>Genes &amp; Development</w:t>
      </w:r>
      <w:r>
        <w:rPr>
          <w:sz w:val="24"/>
          <w:szCs w:val="24"/>
        </w:rPr>
        <w:t xml:space="preserve"> 20:435–448. DOI: 10.1101/gad.1389306.</w:t>
      </w:r>
    </w:p>
    <w:p w14:paraId="048E404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Bostock M., Ogievetsky V., Heer J. 2011. D</w:t>
      </w:r>
      <w:r>
        <w:rPr>
          <w:sz w:val="24"/>
          <w:szCs w:val="24"/>
          <w:vertAlign w:val="superscript"/>
        </w:rPr>
        <w:t>3</w:t>
      </w:r>
      <w:r>
        <w:rPr>
          <w:sz w:val="24"/>
          <w:szCs w:val="24"/>
        </w:rPr>
        <w:t xml:space="preserve">: Data-Driven Documents. </w:t>
      </w:r>
      <w:r>
        <w:rPr>
          <w:i/>
          <w:iCs/>
          <w:sz w:val="24"/>
          <w:szCs w:val="24"/>
        </w:rPr>
        <w:t>IEEE transactions on visualization and computer graphics</w:t>
      </w:r>
      <w:r>
        <w:rPr>
          <w:sz w:val="24"/>
          <w:szCs w:val="24"/>
        </w:rPr>
        <w:t xml:space="preserve"> 17:2301–2309. DOI: 10.1109/TVCG.2011.185.</w:t>
      </w:r>
    </w:p>
    <w:p w14:paraId="60446750" w14:textId="77777777" w:rsidR="0021138E" w:rsidRPr="002A0037" w:rsidRDefault="0021138E" w:rsidP="0021138E">
      <w:pPr>
        <w:widowControl w:val="0"/>
        <w:autoSpaceDE w:val="0"/>
        <w:autoSpaceDN w:val="0"/>
        <w:adjustRightInd w:val="0"/>
        <w:spacing w:line="480" w:lineRule="auto"/>
        <w:ind w:left="360" w:hanging="360"/>
        <w:rPr>
          <w:sz w:val="24"/>
          <w:szCs w:val="24"/>
        </w:rPr>
      </w:pPr>
      <w:r w:rsidRPr="002A0037">
        <w:rPr>
          <w:sz w:val="24"/>
          <w:szCs w:val="24"/>
        </w:rPr>
        <w:t xml:space="preserve">Brandes U., Eiglsperger M., Herman I., Himsolt M., Marshall, MS. 2001. GraphML progress report structural layer proposal. In </w:t>
      </w:r>
      <w:r w:rsidRPr="002A0037">
        <w:rPr>
          <w:i/>
          <w:sz w:val="24"/>
          <w:szCs w:val="24"/>
        </w:rPr>
        <w:t>Graph Drawing: 9th International Symposium, GD 2001 Vienna, Austria, September 23–26, 2001 Revised Papers</w:t>
      </w:r>
      <w:r w:rsidRPr="002A0037">
        <w:rPr>
          <w:i/>
          <w:iCs/>
          <w:sz w:val="24"/>
          <w:szCs w:val="24"/>
        </w:rPr>
        <w:t xml:space="preserve"> </w:t>
      </w:r>
      <w:r w:rsidRPr="002A0037">
        <w:rPr>
          <w:sz w:val="24"/>
          <w:szCs w:val="24"/>
        </w:rPr>
        <w:t>(pp. 501-512). Springer Berlin Heidelberg DOI: 10.1007/3-540-45848-4_59</w:t>
      </w:r>
    </w:p>
    <w:p w14:paraId="3B3C568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Brazas MD., Yamada JT., Ouellette BFF. 2010. Providing web servers and training in Bioinformatics: 2010 update on the Bioinformatics Links Directory. </w:t>
      </w:r>
      <w:r>
        <w:rPr>
          <w:i/>
          <w:iCs/>
          <w:sz w:val="24"/>
          <w:szCs w:val="24"/>
        </w:rPr>
        <w:t>Nucleic Acids Research</w:t>
      </w:r>
      <w:r>
        <w:rPr>
          <w:sz w:val="24"/>
          <w:szCs w:val="24"/>
        </w:rPr>
        <w:t xml:space="preserve"> 38:W3–6. DOI: 10.1093/nar/gkq553.</w:t>
      </w:r>
    </w:p>
    <w:p w14:paraId="14CF8907"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Brown E. 2014. </w:t>
      </w:r>
      <w:r>
        <w:rPr>
          <w:i/>
          <w:iCs/>
          <w:sz w:val="24"/>
          <w:szCs w:val="24"/>
        </w:rPr>
        <w:t>Web development with Node and Express</w:t>
      </w:r>
      <w:r>
        <w:rPr>
          <w:sz w:val="24"/>
          <w:szCs w:val="24"/>
        </w:rPr>
        <w:t xml:space="preserve">. Beijing ; Sebastopol, CA: O’Reilly. </w:t>
      </w:r>
      <w:r w:rsidRPr="00AD1044">
        <w:rPr>
          <w:sz w:val="24"/>
          <w:szCs w:val="24"/>
        </w:rPr>
        <w:t>ISBN: 978-1-4919-4930-6</w:t>
      </w:r>
    </w:p>
    <w:p w14:paraId="78C8962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Buchman AR., Kornberg RD. 1990. A yeast ARS-binding protein activates transcription synergistically in combination with other weak activating factors. </w:t>
      </w:r>
      <w:r>
        <w:rPr>
          <w:i/>
          <w:iCs/>
          <w:sz w:val="24"/>
          <w:szCs w:val="24"/>
        </w:rPr>
        <w:t>Molecular and Cellular Biology</w:t>
      </w:r>
      <w:r>
        <w:rPr>
          <w:sz w:val="24"/>
          <w:szCs w:val="24"/>
        </w:rPr>
        <w:t xml:space="preserve"> 10:887–897.</w:t>
      </w:r>
    </w:p>
    <w:p w14:paraId="423624DF" w14:textId="77777777" w:rsidR="0021138E" w:rsidRPr="00AD1044" w:rsidRDefault="0021138E" w:rsidP="0021138E">
      <w:pPr>
        <w:widowControl w:val="0"/>
        <w:autoSpaceDE w:val="0"/>
        <w:autoSpaceDN w:val="0"/>
        <w:adjustRightInd w:val="0"/>
        <w:spacing w:line="480" w:lineRule="auto"/>
        <w:ind w:left="360" w:hanging="360"/>
        <w:rPr>
          <w:sz w:val="24"/>
          <w:szCs w:val="24"/>
        </w:rPr>
      </w:pPr>
      <w:r w:rsidRPr="002A0037">
        <w:rPr>
          <w:sz w:val="24"/>
          <w:szCs w:val="24"/>
        </w:rPr>
        <w:t xml:space="preserve">Card SK., Mackinlay JD., Shneiderman B. 1999. Chapter 1: Information Visualization. In </w:t>
      </w:r>
      <w:r w:rsidRPr="002A0037">
        <w:rPr>
          <w:i/>
          <w:sz w:val="24"/>
          <w:szCs w:val="24"/>
        </w:rPr>
        <w:t>Readings in Information Visualization: Using Vision to Think</w:t>
      </w:r>
      <w:r w:rsidRPr="002A0037">
        <w:rPr>
          <w:sz w:val="24"/>
          <w:szCs w:val="24"/>
        </w:rPr>
        <w:t>.  San Diego, California: Academic Press. ISBN: 978-1-5586-0533-6</w:t>
      </w:r>
    </w:p>
    <w:p w14:paraId="323167D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Dahlquist KD., Fitzpatrick BG., Camacho ET., Entzminger SD., Wanner NC. 2015. Parameter Estimation for Gene Regulatory Networks from Microarray Data: Cold Shock Response in Saccharomyces cerevisiae. </w:t>
      </w:r>
      <w:r>
        <w:rPr>
          <w:i/>
          <w:iCs/>
          <w:sz w:val="24"/>
          <w:szCs w:val="24"/>
        </w:rPr>
        <w:t>Bulletin of Mathematical Biology</w:t>
      </w:r>
      <w:r>
        <w:rPr>
          <w:sz w:val="24"/>
          <w:szCs w:val="24"/>
        </w:rPr>
        <w:t xml:space="preserve"> 77:1457–1492. DOI: 10.1007/s11538-015-0092-6.</w:t>
      </w:r>
    </w:p>
    <w:p w14:paraId="2C695B01" w14:textId="77777777" w:rsidR="0021138E" w:rsidRPr="00D55201" w:rsidRDefault="0021138E" w:rsidP="0021138E">
      <w:pPr>
        <w:widowControl w:val="0"/>
        <w:autoSpaceDE w:val="0"/>
        <w:autoSpaceDN w:val="0"/>
        <w:adjustRightInd w:val="0"/>
        <w:spacing w:line="480" w:lineRule="auto"/>
        <w:ind w:left="360" w:hanging="360"/>
        <w:rPr>
          <w:sz w:val="24"/>
          <w:szCs w:val="24"/>
        </w:rPr>
      </w:pPr>
      <w:r w:rsidRPr="00D55201">
        <w:rPr>
          <w:sz w:val="24"/>
          <w:szCs w:val="24"/>
        </w:rPr>
        <w:t xml:space="preserve">Dahlquist KD., Fitzpatrick BG., Dionisio JDN. Anguiano NA., Carrillo JS., Roque TAM., Varshneya A., Samdarshi M., Azinge CE. 2016a. GRNmap and GRNsight: open source software for dynamical systems modeling and visualization of medium-scale gene regulatory networks [v1; not peer reviewed]. </w:t>
      </w:r>
      <w:r w:rsidRPr="00D55201">
        <w:rPr>
          <w:i/>
          <w:iCs/>
          <w:sz w:val="24"/>
          <w:szCs w:val="24"/>
        </w:rPr>
        <w:t>F1000Research</w:t>
      </w:r>
      <w:r w:rsidRPr="00D55201">
        <w:rPr>
          <w:sz w:val="24"/>
          <w:szCs w:val="24"/>
        </w:rPr>
        <w:t xml:space="preserve"> </w:t>
      </w:r>
      <w:r w:rsidRPr="00D55201">
        <w:rPr>
          <w:bCs/>
          <w:sz w:val="24"/>
          <w:szCs w:val="24"/>
        </w:rPr>
        <w:t>5</w:t>
      </w:r>
      <w:r w:rsidRPr="00D55201">
        <w:rPr>
          <w:sz w:val="24"/>
          <w:szCs w:val="24"/>
        </w:rPr>
        <w:t>(ISCB Comm J):1637 (slides) DOI: 10.7490/f1000research.1112534.1</w:t>
      </w:r>
    </w:p>
    <w:p w14:paraId="60D4FC2B" w14:textId="77777777" w:rsidR="0021138E" w:rsidRDefault="0021138E" w:rsidP="0021138E">
      <w:pPr>
        <w:widowControl w:val="0"/>
        <w:autoSpaceDE w:val="0"/>
        <w:autoSpaceDN w:val="0"/>
        <w:adjustRightInd w:val="0"/>
        <w:spacing w:line="480" w:lineRule="auto"/>
        <w:ind w:left="360" w:hanging="360"/>
        <w:rPr>
          <w:sz w:val="24"/>
          <w:szCs w:val="24"/>
        </w:rPr>
      </w:pPr>
      <w:r w:rsidRPr="005F0021">
        <w:rPr>
          <w:sz w:val="24"/>
          <w:szCs w:val="24"/>
        </w:rPr>
        <w:t xml:space="preserve">Dahlquist KD., Fitzpatrick BG., Dionisio JDN., Anguiano NA., Carrillo JS., Morris TA., Varshneya A., Williams NE., Johnson KG., Roque TAM., Horstmann KM., Samdarshi M., Azinge CE., Klein BJ., O'Neil MJ. 2016b. GRNmap and GRNsight: open source software for dynamical systems modeling and visualization of medium-scale gene regulatory networks [v1; not peer reviewed]. </w:t>
      </w:r>
      <w:r w:rsidRPr="005F0021">
        <w:rPr>
          <w:i/>
          <w:iCs/>
          <w:sz w:val="24"/>
          <w:szCs w:val="24"/>
        </w:rPr>
        <w:t>F1000Research</w:t>
      </w:r>
      <w:r w:rsidRPr="005F0021">
        <w:rPr>
          <w:sz w:val="24"/>
          <w:szCs w:val="24"/>
        </w:rPr>
        <w:t xml:space="preserve"> </w:t>
      </w:r>
      <w:r w:rsidRPr="005F0021">
        <w:rPr>
          <w:bCs/>
          <w:sz w:val="24"/>
          <w:szCs w:val="24"/>
        </w:rPr>
        <w:t>5</w:t>
      </w:r>
      <w:r w:rsidRPr="005F0021">
        <w:rPr>
          <w:sz w:val="24"/>
          <w:szCs w:val="24"/>
        </w:rPr>
        <w:t>(ISCB Comm J):1618 (poster) DOI: 10.7490/f1000research.1112518.1</w:t>
      </w:r>
    </w:p>
    <w:p w14:paraId="65DAF069" w14:textId="77777777" w:rsidR="0021138E" w:rsidRDefault="0021138E" w:rsidP="0021138E">
      <w:pPr>
        <w:widowControl w:val="0"/>
        <w:autoSpaceDE w:val="0"/>
        <w:autoSpaceDN w:val="0"/>
        <w:adjustRightInd w:val="0"/>
        <w:spacing w:line="480" w:lineRule="auto"/>
        <w:ind w:left="360" w:hanging="360"/>
        <w:rPr>
          <w:sz w:val="24"/>
          <w:szCs w:val="24"/>
        </w:rPr>
      </w:pPr>
      <w:r>
        <w:rPr>
          <w:sz w:val="24"/>
          <w:szCs w:val="24"/>
        </w:rPr>
        <w:t xml:space="preserve">Dionisio JDN., Dahlquist KD. 2008. Improving the computer science in bioinformatics through open source pedagogy. </w:t>
      </w:r>
      <w:r>
        <w:rPr>
          <w:i/>
          <w:iCs/>
          <w:sz w:val="24"/>
          <w:szCs w:val="24"/>
        </w:rPr>
        <w:t>ACM SIGCSE Bulletin</w:t>
      </w:r>
      <w:r>
        <w:rPr>
          <w:sz w:val="24"/>
          <w:szCs w:val="24"/>
        </w:rPr>
        <w:t xml:space="preserve"> 40:115. DOI: 10.1145/1383602.1383648.</w:t>
      </w:r>
    </w:p>
    <w:p w14:paraId="1B45D07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Franz M., Lopes CT., Huck G., Dong Y., Sumer O., Bader GD. 2016. Cytoscape.js: a graph theory library for visualisation and analysis. </w:t>
      </w:r>
      <w:r>
        <w:rPr>
          <w:i/>
          <w:iCs/>
          <w:sz w:val="24"/>
          <w:szCs w:val="24"/>
        </w:rPr>
        <w:t>Bioinformatics (Oxford, England)</w:t>
      </w:r>
      <w:r>
        <w:rPr>
          <w:sz w:val="24"/>
          <w:szCs w:val="24"/>
        </w:rPr>
        <w:t xml:space="preserve"> 32:309–311. DOI: 10.1093/bioinformatics/btv557.</w:t>
      </w:r>
    </w:p>
    <w:p w14:paraId="605B941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Gostner R., Baldacci B., Morine MJ., Priami C. 2014. Graphical Modeling Tools for Systems Biology. </w:t>
      </w:r>
      <w:r>
        <w:rPr>
          <w:i/>
          <w:iCs/>
          <w:sz w:val="24"/>
          <w:szCs w:val="24"/>
        </w:rPr>
        <w:t>ACM Computing Surveys</w:t>
      </w:r>
      <w:r>
        <w:rPr>
          <w:sz w:val="24"/>
          <w:szCs w:val="24"/>
        </w:rPr>
        <w:t xml:space="preserve"> 47:1–21. DOI: 10.1145/2633461.</w:t>
      </w:r>
    </w:p>
    <w:p w14:paraId="344DF46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i/>
          <w:iCs/>
          <w:sz w:val="24"/>
          <w:szCs w:val="24"/>
        </w:rPr>
        <w:t>Nature</w:t>
      </w:r>
      <w:r>
        <w:rPr>
          <w:sz w:val="24"/>
          <w:szCs w:val="24"/>
        </w:rPr>
        <w:t xml:space="preserve"> 431:99–104. DOI: 10.1038/nature02800.</w:t>
      </w:r>
    </w:p>
    <w:p w14:paraId="2DA6D5E9"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Ison J., Rapacki K., Ménager H., Kalaš M., Rydza E., Chmura P., Anthon C., Beard N., Berka K., Bolser D., Booth T., Bretaudeau A., Brezovsky J., Casadio R., Cesareni G., Coppens F., Cornell M., Cuccuru G., Davidsen K., Vedova GD., Dogan T., Doppelt-Azeroual O., Emery L., Gasteiger E., Gatter T., Goldberg T., Grosjean M., Grüning B., Helmer-Citterich M., Ienasescu H., Ioannidis V., Jespersen MC., Jimenez R., Juty N., Juvan P., Koch M., Laibe C., Li J-W., Licata L., Mareuil F., Mičetić I., Friborg RM., Moretti S., Morris C., Möller S., Nenadic A., Peterson H., Profiti G., Rice P., Romano P., Roncaglia P., Saidi R., Schafferhans A., Schwämmle V., Smith C., Sperotto MM., Stockinger H., Vařeková RS., Tosatto SCE., de la Torre V., Uva P., Via A., Yachdav G., Zambelli F., Vriend G., Rost B., Parkinson H., Løngreen P., Brunak S. 2016. Tools and data services registry: a community effort to document bioinformatics resources. </w:t>
      </w:r>
      <w:r>
        <w:rPr>
          <w:i/>
          <w:iCs/>
          <w:sz w:val="24"/>
          <w:szCs w:val="24"/>
        </w:rPr>
        <w:t>Nucleic Acids Research</w:t>
      </w:r>
      <w:r>
        <w:rPr>
          <w:sz w:val="24"/>
          <w:szCs w:val="24"/>
        </w:rPr>
        <w:t xml:space="preserve"> 44:D38–47. DOI: 10.1093/nar/gkv1116.</w:t>
      </w:r>
    </w:p>
    <w:p w14:paraId="74691D1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Lawlor B., Walsh P. 2015. Engineering bioinformatics: building reliability, performance and </w:t>
      </w:r>
      <w:r>
        <w:rPr>
          <w:sz w:val="24"/>
          <w:szCs w:val="24"/>
        </w:rPr>
        <w:lastRenderedPageBreak/>
        <w:t xml:space="preserve">productivity into bioinformatics software. </w:t>
      </w:r>
      <w:r>
        <w:rPr>
          <w:i/>
          <w:iCs/>
          <w:sz w:val="24"/>
          <w:szCs w:val="24"/>
        </w:rPr>
        <w:t>Bioengineered</w:t>
      </w:r>
      <w:r>
        <w:rPr>
          <w:sz w:val="24"/>
          <w:szCs w:val="24"/>
        </w:rPr>
        <w:t xml:space="preserve"> 6:193–203. DOI: 10.1080/21655979.2015.1050162.</w:t>
      </w:r>
    </w:p>
    <w:p w14:paraId="7F8DE63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i/>
          <w:iCs/>
          <w:sz w:val="24"/>
          <w:szCs w:val="24"/>
        </w:rPr>
        <w:t>Science (New York, N.Y.)</w:t>
      </w:r>
      <w:r>
        <w:rPr>
          <w:sz w:val="24"/>
          <w:szCs w:val="24"/>
        </w:rPr>
        <w:t xml:space="preserve"> 298:799–804. DOI: 10.1126/science.1075090.</w:t>
      </w:r>
    </w:p>
    <w:p w14:paraId="01C533A2"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Martin RC. (ed.) 2008. </w:t>
      </w:r>
      <w:r>
        <w:rPr>
          <w:i/>
          <w:iCs/>
          <w:sz w:val="24"/>
          <w:szCs w:val="24"/>
        </w:rPr>
        <w:t>Clean code: a handbook of agile software craftsmanship</w:t>
      </w:r>
      <w:r>
        <w:rPr>
          <w:sz w:val="24"/>
          <w:szCs w:val="24"/>
        </w:rPr>
        <w:t xml:space="preserve">. Upper Saddle </w:t>
      </w:r>
      <w:r w:rsidRPr="00AD1044">
        <w:rPr>
          <w:sz w:val="24"/>
          <w:szCs w:val="24"/>
        </w:rPr>
        <w:t>River, NJ: Prentice Hall. ISBN: 978-0-13-235088-4</w:t>
      </w:r>
    </w:p>
    <w:p w14:paraId="055A802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McQuilton P., Gonzalez-Beltran A., Rocca-Serra P., Thurston M., Lister A., Maguire E., Sansone S-A. 2016. BioSharing: curated and crowd-sourced metadata standards, databases and data policies in the life sciences. </w:t>
      </w:r>
      <w:r>
        <w:rPr>
          <w:i/>
          <w:iCs/>
          <w:sz w:val="24"/>
          <w:szCs w:val="24"/>
        </w:rPr>
        <w:t>Database: The Journal of Biological Databases and Curation</w:t>
      </w:r>
      <w:r>
        <w:rPr>
          <w:sz w:val="24"/>
          <w:szCs w:val="24"/>
        </w:rPr>
        <w:t xml:space="preserve"> 2016. DOI: 10.1093/database/baw075.</w:t>
      </w:r>
    </w:p>
    <w:p w14:paraId="7BF24741"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Miyake T., Reese J., Loch CM., Auble DT., Li R. 2004. Genome-wide analysis of ARS (autonomously replicating sequence) binding factor 1 (Abf1p)-mediated transcriptional regulation in Saccharomyces cerevisiae. </w:t>
      </w:r>
      <w:r>
        <w:rPr>
          <w:i/>
          <w:iCs/>
          <w:sz w:val="24"/>
          <w:szCs w:val="24"/>
        </w:rPr>
        <w:t>The Journal of Biological Chemistry</w:t>
      </w:r>
      <w:r>
        <w:rPr>
          <w:sz w:val="24"/>
          <w:szCs w:val="24"/>
        </w:rPr>
        <w:t xml:space="preserve"> 279:34865–34872. DOI: 10.1074/jbc.M405156200.</w:t>
      </w:r>
    </w:p>
    <w:p w14:paraId="18A4949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Ni L., Bruce C., Hart C., Leigh-Bell J., Gelperin D., Umansky L., Gerstein MB., Snyder M. 2009. Dynamic and complex transcription factor binding during an inducible response in yeast. </w:t>
      </w:r>
      <w:r>
        <w:rPr>
          <w:i/>
          <w:iCs/>
          <w:sz w:val="24"/>
          <w:szCs w:val="24"/>
        </w:rPr>
        <w:t>Genes &amp; Development</w:t>
      </w:r>
      <w:r>
        <w:rPr>
          <w:sz w:val="24"/>
          <w:szCs w:val="24"/>
        </w:rPr>
        <w:t xml:space="preserve"> 23:1351–1363. DOI: 10.1101/gad.1781909.</w:t>
      </w:r>
    </w:p>
    <w:p w14:paraId="7CE47B6E"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Nielsen J. 1993. </w:t>
      </w:r>
      <w:r w:rsidRPr="00AD1044">
        <w:rPr>
          <w:i/>
          <w:iCs/>
          <w:sz w:val="24"/>
          <w:szCs w:val="24"/>
        </w:rPr>
        <w:t>Usability engineering</w:t>
      </w:r>
      <w:r w:rsidRPr="00AD1044">
        <w:rPr>
          <w:sz w:val="24"/>
          <w:szCs w:val="24"/>
        </w:rPr>
        <w:t>. Boston: Academic Press. ISBN: 978-0-12-518405-2</w:t>
      </w:r>
    </w:p>
    <w:p w14:paraId="6460155B"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Norman DA. 2013. </w:t>
      </w:r>
      <w:r w:rsidRPr="00AD1044">
        <w:rPr>
          <w:i/>
          <w:iCs/>
          <w:sz w:val="24"/>
          <w:szCs w:val="24"/>
        </w:rPr>
        <w:t>The design of everyday things</w:t>
      </w:r>
      <w:r w:rsidRPr="00AD1044">
        <w:rPr>
          <w:sz w:val="24"/>
          <w:szCs w:val="24"/>
        </w:rPr>
        <w:t>. New York, New York: Basic Books. ISBN: 978-0-465-05065-9</w:t>
      </w:r>
    </w:p>
    <w:p w14:paraId="55204190"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Pavlopoulos GA., Malliarakis D., Papanikolaou N., Theodosiou T., Enright AJ., Iliopoulos I. 2015. Visualizing genome and systems biology: technologies, tools, implementation techniques and trends, past, present and future. </w:t>
      </w:r>
      <w:r>
        <w:rPr>
          <w:i/>
          <w:iCs/>
          <w:sz w:val="24"/>
          <w:szCs w:val="24"/>
        </w:rPr>
        <w:t>GigaScience</w:t>
      </w:r>
      <w:r>
        <w:rPr>
          <w:sz w:val="24"/>
          <w:szCs w:val="24"/>
        </w:rPr>
        <w:t xml:space="preserve"> 4:38. DOI: 10.1186/s13742-015-0077-2.</w:t>
      </w:r>
    </w:p>
    <w:p w14:paraId="518014AB"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Prlić A., Procter JB. 2012. Ten simple rules for the open development of scientific software. </w:t>
      </w:r>
      <w:r>
        <w:rPr>
          <w:i/>
          <w:iCs/>
          <w:sz w:val="24"/>
          <w:szCs w:val="24"/>
        </w:rPr>
        <w:t>PLoS computational biology</w:t>
      </w:r>
      <w:r>
        <w:rPr>
          <w:sz w:val="24"/>
          <w:szCs w:val="24"/>
        </w:rPr>
        <w:t xml:space="preserve"> 8:e1002802. DOI: 10.1371/journal.pcbi.1002802.</w:t>
      </w:r>
    </w:p>
    <w:p w14:paraId="39A5B86B"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Raymond ES. 1999. </w:t>
      </w:r>
      <w:r>
        <w:rPr>
          <w:i/>
          <w:iCs/>
          <w:sz w:val="24"/>
          <w:szCs w:val="24"/>
        </w:rPr>
        <w:t xml:space="preserve">The cathedral &amp; the bazaar: musings on Linux and open source by an </w:t>
      </w:r>
      <w:r w:rsidRPr="00AD1044">
        <w:rPr>
          <w:i/>
          <w:iCs/>
          <w:sz w:val="24"/>
          <w:szCs w:val="24"/>
        </w:rPr>
        <w:t>accidental revolutionary</w:t>
      </w:r>
      <w:r w:rsidRPr="00AD1044">
        <w:rPr>
          <w:sz w:val="24"/>
          <w:szCs w:val="24"/>
        </w:rPr>
        <w:t>. Beijing ; Cambridge, Mass: O’Reilly.</w:t>
      </w:r>
      <w:r>
        <w:rPr>
          <w:sz w:val="24"/>
          <w:szCs w:val="24"/>
        </w:rPr>
        <w:t xml:space="preserve"> </w:t>
      </w:r>
      <w:r w:rsidRPr="00AD1044">
        <w:rPr>
          <w:sz w:val="24"/>
          <w:szCs w:val="24"/>
        </w:rPr>
        <w:t>ISBN: 978-0-465-05065-9</w:t>
      </w:r>
    </w:p>
    <w:p w14:paraId="25A0A19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Saito R., Smoot ME., Ono K., Ruscheinski J., Wang P-L., Lotia S., Pico AR., Bader GD., Ideker T. 2012. A travel guide to Cytoscape plugins. </w:t>
      </w:r>
      <w:r>
        <w:rPr>
          <w:i/>
          <w:iCs/>
          <w:sz w:val="24"/>
          <w:szCs w:val="24"/>
        </w:rPr>
        <w:t>Nature Methods</w:t>
      </w:r>
      <w:r>
        <w:rPr>
          <w:sz w:val="24"/>
          <w:szCs w:val="24"/>
        </w:rPr>
        <w:t xml:space="preserve"> 9:1069–1076. DOI: 10.1038/nmeth.2212.</w:t>
      </w:r>
    </w:p>
    <w:p w14:paraId="1E64B51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Salomonis N., Hanspers K., Zambon AC., Vranizan K., Lawlor SC., Dahlquist KD., Doniger SW., Stuart J., Conklin BR., Pico AR. 2007. GenMAPP 2: new features and resources for pathway analysis. </w:t>
      </w:r>
      <w:r>
        <w:rPr>
          <w:i/>
          <w:iCs/>
          <w:sz w:val="24"/>
          <w:szCs w:val="24"/>
        </w:rPr>
        <w:t>BMC bioinformatics</w:t>
      </w:r>
      <w:r>
        <w:rPr>
          <w:sz w:val="24"/>
          <w:szCs w:val="24"/>
        </w:rPr>
        <w:t xml:space="preserve"> 8:217. DOI: 10.1186/1471-2105-8-217.</w:t>
      </w:r>
    </w:p>
    <w:p w14:paraId="1884F26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Schade B., Jansen G., Whiteway M., Entian KD., Thomas DY. 2004. Cold adaptation in budding yeast. </w:t>
      </w:r>
      <w:r>
        <w:rPr>
          <w:i/>
          <w:iCs/>
          <w:sz w:val="24"/>
          <w:szCs w:val="24"/>
        </w:rPr>
        <w:t>Molecular Biology of the Cell</w:t>
      </w:r>
      <w:r>
        <w:rPr>
          <w:sz w:val="24"/>
          <w:szCs w:val="24"/>
        </w:rPr>
        <w:t xml:space="preserve"> 15:5492–5502. DOI: 10.1091/mbc.E04-03-0167.</w:t>
      </w:r>
    </w:p>
    <w:p w14:paraId="3F541D3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Münch M-C., Andreeva GD., Rätsch G. 2011. Persistence and availability of Web services in computational biology. </w:t>
      </w:r>
      <w:r>
        <w:rPr>
          <w:i/>
          <w:iCs/>
          <w:sz w:val="24"/>
          <w:szCs w:val="24"/>
        </w:rPr>
        <w:t>PloS One</w:t>
      </w:r>
      <w:r>
        <w:rPr>
          <w:sz w:val="24"/>
          <w:szCs w:val="24"/>
        </w:rPr>
        <w:t xml:space="preserve"> 6:e24914. DOI: 10.1371/journal.pone.0024914.</w:t>
      </w:r>
    </w:p>
    <w:p w14:paraId="18F222A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2011. Ten simple rules for providing a scientific Web resource. </w:t>
      </w:r>
      <w:r>
        <w:rPr>
          <w:i/>
          <w:iCs/>
          <w:sz w:val="24"/>
          <w:szCs w:val="24"/>
        </w:rPr>
        <w:t>PLoS computational biology</w:t>
      </w:r>
      <w:r>
        <w:rPr>
          <w:sz w:val="24"/>
          <w:szCs w:val="24"/>
        </w:rPr>
        <w:t xml:space="preserve"> 7:e1001126. DOI: 10.1371/journal.pcbi.1001126.</w:t>
      </w:r>
    </w:p>
    <w:p w14:paraId="1C28E9D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Shannon P., Markiel A., Ozier O., Baliga NS., Wang JT., Ramage D., Amin N., Schwikowski B., </w:t>
      </w:r>
      <w:r>
        <w:rPr>
          <w:sz w:val="24"/>
          <w:szCs w:val="24"/>
        </w:rPr>
        <w:lastRenderedPageBreak/>
        <w:t xml:space="preserve">Ideker T. 2003. Cytoscape: a software environment for integrated models of biomolecular interaction networks. </w:t>
      </w:r>
      <w:r>
        <w:rPr>
          <w:i/>
          <w:iCs/>
          <w:sz w:val="24"/>
          <w:szCs w:val="24"/>
        </w:rPr>
        <w:t>Genome Research</w:t>
      </w:r>
      <w:r>
        <w:rPr>
          <w:sz w:val="24"/>
          <w:szCs w:val="24"/>
        </w:rPr>
        <w:t xml:space="preserve"> 13:2498–2504. DOI: 10.1101/gr.1239303.</w:t>
      </w:r>
    </w:p>
    <w:p w14:paraId="689FB046"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Shneiderman B., Plaisant C., Cohen M., Jacobs SM., Elmqvist N., Diakopoulos N. 2016. </w:t>
      </w:r>
      <w:r>
        <w:rPr>
          <w:i/>
          <w:iCs/>
          <w:sz w:val="24"/>
          <w:szCs w:val="24"/>
        </w:rPr>
        <w:t>Designing the user interface: strategies for effective human-computer interaction</w:t>
      </w:r>
      <w:r>
        <w:rPr>
          <w:sz w:val="24"/>
          <w:szCs w:val="24"/>
        </w:rPr>
        <w:t xml:space="preserve">. </w:t>
      </w:r>
      <w:r w:rsidRPr="00AD1044">
        <w:rPr>
          <w:sz w:val="24"/>
          <w:szCs w:val="24"/>
        </w:rPr>
        <w:t>Hoboken: Pearson. ISBN: 978-0-13-438038-4</w:t>
      </w:r>
    </w:p>
    <w:p w14:paraId="513A5F1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Shore D., Nasmyth K. 1987. Purification and cloning of a DNA binding protein from yeast that binds to both silencer and activator elements. </w:t>
      </w:r>
      <w:r>
        <w:rPr>
          <w:i/>
          <w:iCs/>
          <w:sz w:val="24"/>
          <w:szCs w:val="24"/>
        </w:rPr>
        <w:t>Cell</w:t>
      </w:r>
      <w:r>
        <w:rPr>
          <w:sz w:val="24"/>
          <w:szCs w:val="24"/>
        </w:rPr>
        <w:t xml:space="preserve"> 51:721–732.</w:t>
      </w:r>
    </w:p>
    <w:p w14:paraId="475F0A9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Smoot ME., Ono K., Ruscheinski J., Wang P-L., Ideker T. 2011. Cytoscape 2.8: new features for data integration and network visualization. </w:t>
      </w:r>
      <w:r>
        <w:rPr>
          <w:i/>
          <w:iCs/>
          <w:sz w:val="24"/>
          <w:szCs w:val="24"/>
        </w:rPr>
        <w:t>Bioinformatics (Oxford, England)</w:t>
      </w:r>
      <w:r>
        <w:rPr>
          <w:sz w:val="24"/>
          <w:szCs w:val="24"/>
        </w:rPr>
        <w:t xml:space="preserve"> 27:431–432. DOI: 10.1093/bioinformatics/btq675.</w:t>
      </w:r>
    </w:p>
    <w:p w14:paraId="2426FC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i/>
          <w:iCs/>
          <w:sz w:val="24"/>
          <w:szCs w:val="24"/>
        </w:rPr>
        <w:t>Nucleic Acids Research</w:t>
      </w:r>
      <w:r>
        <w:rPr>
          <w:sz w:val="24"/>
          <w:szCs w:val="24"/>
        </w:rPr>
        <w:t xml:space="preserve"> 42:D161–166. DOI: 10.1093/nar/gkt1015.</w:t>
      </w:r>
    </w:p>
    <w:p w14:paraId="06A9286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Tufte ER. 2001. </w:t>
      </w:r>
      <w:r>
        <w:rPr>
          <w:i/>
          <w:iCs/>
          <w:sz w:val="24"/>
          <w:szCs w:val="24"/>
        </w:rPr>
        <w:t>The visual display of quantitative information</w:t>
      </w:r>
      <w:r>
        <w:rPr>
          <w:sz w:val="24"/>
          <w:szCs w:val="24"/>
        </w:rPr>
        <w:t xml:space="preserve">. Cheshire, Conn: Graphics Press. ISBN: </w:t>
      </w:r>
      <w:r w:rsidRPr="00AD1044">
        <w:rPr>
          <w:sz w:val="24"/>
          <w:szCs w:val="24"/>
        </w:rPr>
        <w:t>978-0-9613921-4-7</w:t>
      </w:r>
    </w:p>
    <w:p w14:paraId="2280C85F"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Veretnik S., Fink JL., Bourne PE. 2008. Computational biology resources lack persistence and usability. </w:t>
      </w:r>
      <w:r>
        <w:rPr>
          <w:i/>
          <w:iCs/>
          <w:sz w:val="24"/>
          <w:szCs w:val="24"/>
        </w:rPr>
        <w:t>PLoS computational biology</w:t>
      </w:r>
      <w:r>
        <w:rPr>
          <w:sz w:val="24"/>
          <w:szCs w:val="24"/>
        </w:rPr>
        <w:t xml:space="preserve"> 4:e1000136. DOI: 10.1371/journal.pcbi.1000136.</w:t>
      </w:r>
    </w:p>
    <w:p w14:paraId="4193B82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w:t>
      </w:r>
      <w:r>
        <w:rPr>
          <w:sz w:val="24"/>
          <w:szCs w:val="24"/>
        </w:rPr>
        <w:lastRenderedPageBreak/>
        <w:t xml:space="preserve">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 </w:t>
      </w:r>
      <w:r>
        <w:rPr>
          <w:i/>
          <w:iCs/>
          <w:sz w:val="24"/>
          <w:szCs w:val="24"/>
        </w:rPr>
        <w:t>Scientific Data</w:t>
      </w:r>
      <w:r>
        <w:rPr>
          <w:sz w:val="24"/>
          <w:szCs w:val="24"/>
        </w:rPr>
        <w:t xml:space="preserve"> 3:160018. DOI: 10.1038/sdata.2016.18.</w:t>
      </w:r>
    </w:p>
    <w:p w14:paraId="5B0BBF1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Wilson G., Aruliah DA., Brown CT., Chue Hong NP., Davis M., Guy RT., Haddock SHD., Huff KD., Mitchell IM., Plumbley MD., Waugh B., White EP., Wilson P. 2014. Best practices for scientific computing. </w:t>
      </w:r>
      <w:r>
        <w:rPr>
          <w:i/>
          <w:iCs/>
          <w:sz w:val="24"/>
          <w:szCs w:val="24"/>
        </w:rPr>
        <w:t>PLoS biology</w:t>
      </w:r>
      <w:r>
        <w:rPr>
          <w:sz w:val="24"/>
          <w:szCs w:val="24"/>
        </w:rPr>
        <w:t xml:space="preserve"> 12:e1001745. DOI: 10.1371/journal.pbio.1001745.</w:t>
      </w:r>
    </w:p>
    <w:p w14:paraId="6CAF1E9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Yachdav G., Goldberg T., Wilzbach S., Dao D., Shih I., Choudhary S., Crouch S., Franz M., García A., García LJ., Grüning BA., Inupakutika D., Sillitoe I., Thanki AS., Vieira B., Villaveces JM., Schneider MV., Lewis S., Pettifer S., Rost B., Corpas M. 2015. Anatomy of BioJS, an open source community for the life sciences. </w:t>
      </w:r>
      <w:r>
        <w:rPr>
          <w:i/>
          <w:iCs/>
          <w:sz w:val="24"/>
          <w:szCs w:val="24"/>
        </w:rPr>
        <w:t>eLife</w:t>
      </w:r>
      <w:r>
        <w:rPr>
          <w:sz w:val="24"/>
          <w:szCs w:val="24"/>
        </w:rPr>
        <w:t xml:space="preserve"> 4. DOI: 10.7554/eLife.07009.</w:t>
      </w:r>
    </w:p>
    <w:p w14:paraId="37A7B3E6" w14:textId="77777777" w:rsidR="0021138E" w:rsidRPr="0021138E" w:rsidRDefault="0021138E" w:rsidP="0021138E">
      <w:pPr>
        <w:rPr>
          <w:sz w:val="24"/>
          <w:szCs w:val="24"/>
        </w:rPr>
      </w:pPr>
    </w:p>
    <w:sectPr w:rsidR="0021138E" w:rsidRPr="0021138E" w:rsidSect="006F7239">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C54BA" w14:textId="77777777" w:rsidR="00F35819" w:rsidRDefault="00F35819" w:rsidP="00C60395">
      <w:r>
        <w:separator/>
      </w:r>
    </w:p>
  </w:endnote>
  <w:endnote w:type="continuationSeparator" w:id="0">
    <w:p w14:paraId="47EDCB74" w14:textId="77777777" w:rsidR="00F35819" w:rsidRDefault="00F35819"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7D7B5D">
          <w:rPr>
            <w:noProof/>
          </w:rPr>
          <w:t>31</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BFD33" w14:textId="77777777" w:rsidR="00F35819" w:rsidRDefault="00F35819" w:rsidP="00C60395">
      <w:r>
        <w:separator/>
      </w:r>
    </w:p>
  </w:footnote>
  <w:footnote w:type="continuationSeparator" w:id="0">
    <w:p w14:paraId="1E2F2DA7" w14:textId="77777777" w:rsidR="00F35819" w:rsidRDefault="00F35819"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2CB"/>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5CB0"/>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138E"/>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97070"/>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437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C7BC1"/>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3E3B"/>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78A"/>
    <w:rsid w:val="00557F61"/>
    <w:rsid w:val="0056028B"/>
    <w:rsid w:val="00560DC0"/>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3B1E"/>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2F7"/>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869F1"/>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82F"/>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01C0"/>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3A1"/>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B5D"/>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C80"/>
    <w:rsid w:val="00A23DAC"/>
    <w:rsid w:val="00A24843"/>
    <w:rsid w:val="00A24BD6"/>
    <w:rsid w:val="00A24DB5"/>
    <w:rsid w:val="00A258E5"/>
    <w:rsid w:val="00A278F6"/>
    <w:rsid w:val="00A30B88"/>
    <w:rsid w:val="00A310F0"/>
    <w:rsid w:val="00A31941"/>
    <w:rsid w:val="00A32CF8"/>
    <w:rsid w:val="00A33505"/>
    <w:rsid w:val="00A34C0D"/>
    <w:rsid w:val="00A35A8B"/>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6497"/>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B4B"/>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619"/>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415"/>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1D2"/>
    <w:rsid w:val="00C36674"/>
    <w:rsid w:val="00C36781"/>
    <w:rsid w:val="00C36973"/>
    <w:rsid w:val="00C371BF"/>
    <w:rsid w:val="00C3737D"/>
    <w:rsid w:val="00C40F3D"/>
    <w:rsid w:val="00C4347B"/>
    <w:rsid w:val="00C47406"/>
    <w:rsid w:val="00C5006F"/>
    <w:rsid w:val="00C50D63"/>
    <w:rsid w:val="00C51B75"/>
    <w:rsid w:val="00C533CB"/>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4981"/>
    <w:rsid w:val="00D558E1"/>
    <w:rsid w:val="00D56CFA"/>
    <w:rsid w:val="00D63989"/>
    <w:rsid w:val="00D646C7"/>
    <w:rsid w:val="00D64B66"/>
    <w:rsid w:val="00D66763"/>
    <w:rsid w:val="00D66E03"/>
    <w:rsid w:val="00D6782F"/>
    <w:rsid w:val="00D67CBF"/>
    <w:rsid w:val="00D67E28"/>
    <w:rsid w:val="00D702E8"/>
    <w:rsid w:val="00D7095D"/>
    <w:rsid w:val="00D70B60"/>
    <w:rsid w:val="00D70D55"/>
    <w:rsid w:val="00D720D7"/>
    <w:rsid w:val="00D723E4"/>
    <w:rsid w:val="00D72403"/>
    <w:rsid w:val="00D7311B"/>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6777"/>
    <w:rsid w:val="00DD7487"/>
    <w:rsid w:val="00DE0C77"/>
    <w:rsid w:val="00DE0FA9"/>
    <w:rsid w:val="00DE2076"/>
    <w:rsid w:val="00DE2224"/>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371"/>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CDF"/>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5819"/>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64C7"/>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38</Pages>
  <Words>10203</Words>
  <Characters>58160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198</cp:revision>
  <cp:lastPrinted>2016-08-13T20:54:00Z</cp:lastPrinted>
  <dcterms:created xsi:type="dcterms:W3CDTF">2016-05-18T20:14:00Z</dcterms:created>
  <dcterms:modified xsi:type="dcterms:W3CDTF">2016-08-14T05:41:00Z</dcterms:modified>
</cp:coreProperties>
</file>