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mbria" w:cs="Cambria" w:eastAsia="Cambria" w:hAnsi="Cambria"/>
          <w:b/>
          <w:bCs/>
          <w:color w:val="8B6F47"/>
          <w:spacing w:val="40"/>
          <w:sz w:val="52"/>
          <w:szCs w:val="52"/>
        </w:rPr>
        <w:t xml:space="preserve">LUMIÈRE</w:t>
      </w:r>
    </w:p>
    <w:p>
      <w:pPr>
        <w:spacing w:after="60"/>
        <w:jc w:val="center"/>
      </w:pPr>
      <w:r>
        <w:rPr>
          <w:rFonts w:ascii="Calibri" w:cs="Calibri" w:eastAsia="Calibri" w:hAnsi="Calibri"/>
          <w:b/>
          <w:bCs/>
          <w:color w:val="2B211A"/>
          <w:spacing w:val="28"/>
          <w:sz w:val="24"/>
          <w:szCs w:val="24"/>
        </w:rPr>
        <w:t xml:space="preserve">SYSTEM ANALYTICS &amp; AUDIT REPORT</w:t>
      </w:r>
    </w:p>
    <w:p>
      <w:pPr>
        <w:spacing w:after="200"/>
        <w:jc w:val="center"/>
      </w:pPr>
      <w:r>
        <w:rPr>
          <w:rFonts w:ascii="Calibri" w:cs="Calibri" w:eastAsia="Calibri" w:hAnsi="Calibri"/>
          <w:i/>
          <w:iCs/>
          <w:color w:val="6E6153"/>
          <w:sz w:val="19"/>
          <w:szCs w:val="19"/>
        </w:rPr>
        <w:t xml:space="preserve">Official Platform Utilization, Inventory Distribution, and Asset Compliance Records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50%"/>
            <w:tcBorders>
              <w:top w:val="single" w:color="D9CBAE" w:sz="4"/>
              <w:left w:val="single" w:color="D9CBAE" w:sz="4"/>
              <w:bottom w:val="single" w:color="D9CBAE" w:sz="4"/>
              <w:right w:val="single" w:color="D9CBAE" w:sz="4"/>
            </w:tcBorders>
            <w:shd w:fill="F7F0E6" w:color="auto" w:val="clear"/>
            <w:tcMar>
              <w:top w:type="dxa" w:w="100"/>
              <w:left w:type="dxa" w:w="140"/>
              <w:bottom w:type="dxa" w:w="100"/>
              <w:right w:type="dxa" w:w="140"/>
            </w:tcMar>
          </w:tcPr>
          <w:p>
            <w:pPr>
              <w:spacing w:after="20"/>
            </w:pPr>
            <w:r>
              <w:rPr>
                <w:rFonts w:ascii="Calibri" w:cs="Calibri" w:eastAsia="Calibri" w:hAnsi="Calibri"/>
                <w:b/>
                <w:bCs/>
                <w:color w:val="6E6153"/>
                <w:spacing w:val="8"/>
                <w:sz w:val="14"/>
                <w:szCs w:val="14"/>
              </w:rPr>
              <w:t xml:space="preserve">DOCUMENT REFERENCE</w:t>
            </w:r>
          </w:p>
          <w:p>
            <w:pPr>
              <w:spacing w:after="0"/>
            </w:pPr>
            <w:r>
              <w:rPr>
                <w:rFonts w:ascii="Calibri" w:cs="Calibri" w:eastAsia="Calibri" w:hAnsi="Calibri"/>
                <w:b/>
                <w:bCs/>
                <w:i w:val="false"/>
                <w:iCs w:val="false"/>
                <w:color w:val="2B211A"/>
                <w:sz w:val="22"/>
                <w:szCs w:val="22"/>
              </w:rPr>
              <w:t xml:space="preserve">LUM-AUD-2026-09</w:t>
            </w:r>
          </w:p>
        </w:tc>
        <w:tc>
          <w:tcPr>
            <w:tcW w:type="pct" w:w="25%"/>
            <w:tcBorders>
              <w:top w:val="single" w:color="D9CBAE" w:sz="4"/>
              <w:left w:val="single" w:color="D9CBAE" w:sz="4"/>
              <w:bottom w:val="single" w:color="D9CBAE" w:sz="4"/>
              <w:right w:val="single" w:color="D9CBAE" w:sz="4"/>
            </w:tcBorders>
            <w:shd w:fill="F7F0E6" w:color="auto" w:val="clear"/>
            <w:tcMar>
              <w:top w:type="dxa" w:w="100"/>
              <w:left w:type="dxa" w:w="140"/>
              <w:bottom w:type="dxa" w:w="100"/>
              <w:right w:type="dxa" w:w="140"/>
            </w:tcMar>
          </w:tcPr>
          <w:p>
            <w:pPr>
              <w:spacing w:after="20"/>
            </w:pPr>
            <w:r>
              <w:rPr>
                <w:rFonts w:ascii="Calibri" w:cs="Calibri" w:eastAsia="Calibri" w:hAnsi="Calibri"/>
                <w:b/>
                <w:bCs/>
                <w:color w:val="6E6153"/>
                <w:spacing w:val="8"/>
                <w:sz w:val="14"/>
                <w:szCs w:val="14"/>
              </w:rPr>
              <w:t xml:space="preserve">AUDIT DATE</w:t>
            </w:r>
          </w:p>
          <w:p>
            <w:pPr>
              <w:spacing w:after="0"/>
            </w:pPr>
            <w:r>
              <w:rPr>
                <w:rFonts w:ascii="Calibri" w:cs="Calibri" w:eastAsia="Calibri" w:hAnsi="Calibri"/>
                <w:b/>
                <w:bCs/>
                <w:i w:val="false"/>
                <w:iCs w:val="false"/>
                <w:color w:val="2B211A"/>
                <w:sz w:val="22"/>
                <w:szCs w:val="22"/>
              </w:rPr>
              <w:t xml:space="preserve">September 18, 2026</w:t>
            </w:r>
          </w:p>
        </w:tc>
        <w:tc>
          <w:tcPr>
            <w:tcW w:type="pct" w:w="25%"/>
            <w:tcBorders>
              <w:top w:val="single" w:color="D9CBAE" w:sz="4"/>
              <w:left w:val="single" w:color="D9CBAE" w:sz="4"/>
              <w:bottom w:val="single" w:color="D9CBAE" w:sz="4"/>
              <w:right w:val="single" w:color="D9CBAE" w:sz="4"/>
            </w:tcBorders>
            <w:shd w:fill="F7F0E6" w:color="auto" w:val="clear"/>
            <w:tcMar>
              <w:top w:type="dxa" w:w="100"/>
              <w:left w:type="dxa" w:w="140"/>
              <w:bottom w:type="dxa" w:w="100"/>
              <w:right w:type="dxa" w:w="140"/>
            </w:tcMar>
          </w:tcPr>
          <w:p>
            <w:pPr>
              <w:spacing w:after="20"/>
            </w:pPr>
            <w:r>
              <w:rPr>
                <w:rFonts w:ascii="Calibri" w:cs="Calibri" w:eastAsia="Calibri" w:hAnsi="Calibri"/>
                <w:b/>
                <w:bCs/>
                <w:color w:val="6E6153"/>
                <w:spacing w:val="8"/>
                <w:sz w:val="14"/>
                <w:szCs w:val="14"/>
              </w:rPr>
              <w:t xml:space="preserve">CLASSIFICATION</w:t>
            </w:r>
          </w:p>
          <w:p>
            <w:pPr>
              <w:spacing w:after="0"/>
            </w:pPr>
            <w:r>
              <w:rPr>
                <w:rFonts w:ascii="Calibri" w:cs="Calibri" w:eastAsia="Calibri" w:hAnsi="Calibri"/>
                <w:b/>
                <w:bCs/>
                <w:i w:val="false"/>
                <w:iCs w:val="false"/>
                <w:color w:val="3F6B44"/>
                <w:sz w:val="22"/>
                <w:szCs w:val="22"/>
              </w:rPr>
              <w:t xml:space="preserve">Verified Official Audit</w:t>
            </w:r>
          </w:p>
        </w:tc>
      </w:tr>
    </w:tbl>
    <w:p>
      <w:pPr>
        <w:pBdr>
          <w:bottom w:val="single" w:color="8B6F47" w:sz="6" w:space="4"/>
        </w:pBdr>
        <w:spacing w:after="120" w:before="280"/>
      </w:pPr>
      <w:r>
        <w:rPr>
          <w:rFonts w:ascii="Calibri" w:cs="Calibri" w:eastAsia="Calibri" w:hAnsi="Calibri"/>
          <w:b/>
          <w:bCs/>
          <w:color w:val="2B211A"/>
          <w:spacing w:val="10"/>
          <w:sz w:val="21"/>
          <w:szCs w:val="21"/>
        </w:rPr>
        <w:t xml:space="preserve">EXECUTIVE PERFORMANCE SCORECARD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9CBAE" w:sz="4"/>
              <w:left w:val="single" w:color="D9CBAE" w:sz="4"/>
              <w:bottom w:val="single" w:color="D9CBAE" w:sz="4"/>
              <w:right w:val="single" w:color="D9CBAE" w:sz="4"/>
            </w:tcBorders>
            <w:shd w:fill="F7F0E6" w:color="auto" w:val="clear"/>
            <w:tcMar>
              <w:top w:type="dxa" w:w="160"/>
              <w:left w:type="dxa" w:w="140"/>
              <w:bottom w:type="dxa" w:w="160"/>
              <w:right w:type="dxa" w:w="140"/>
            </w:tcMar>
          </w:tcPr>
          <w:p>
            <w:pPr>
              <w:spacing w:after="40"/>
            </w:pPr>
            <w:r>
              <w:rPr>
                <w:rFonts w:ascii="Calibri" w:cs="Calibri" w:eastAsia="Calibri" w:hAnsi="Calibri"/>
                <w:b/>
                <w:bCs/>
                <w:color w:val="6E6153"/>
                <w:spacing w:val="4"/>
                <w:sz w:val="13"/>
                <w:szCs w:val="13"/>
              </w:rPr>
              <w:t xml:space="preserve">TOTAL REGISTERED USERS</w:t>
            </w:r>
          </w:p>
          <w:p>
            <w:pPr>
              <w:spacing w:after="60"/>
            </w:pPr>
            <w:r>
              <w:rPr>
                <w:rFonts w:ascii="Cambria" w:cs="Cambria" w:eastAsia="Cambria" w:hAnsi="Cambria"/>
                <w:b/>
                <w:bCs/>
                <w:color w:val="8B6F47"/>
                <w:sz w:val="32"/>
                <w:szCs w:val="32"/>
              </w:rPr>
              <w:t xml:space="preserve">34</w:t>
            </w:r>
          </w:p>
          <w:p>
            <w:pPr>
              <w:spacing w:after="10"/>
            </w:pPr>
            <w:r>
              <w:rPr>
                <w:rFonts w:ascii="Calibri" w:cs="Calibri" w:eastAsia="Calibri" w:hAnsi="Calibri"/>
                <w:color w:val="2B211A"/>
                <w:sz w:val="15"/>
                <w:szCs w:val="15"/>
              </w:rPr>
              <w:t xml:space="preserve">22 Staff</w:t>
            </w:r>
          </w:p>
          <w:p>
            <w:pPr>
              <w:spacing w:after="10"/>
            </w:pPr>
            <w:r>
              <w:rPr>
                <w:rFonts w:ascii="Calibri" w:cs="Calibri" w:eastAsia="Calibri" w:hAnsi="Calibri"/>
                <w:color w:val="2B211A"/>
                <w:sz w:val="15"/>
                <w:szCs w:val="15"/>
              </w:rPr>
              <w:t xml:space="preserve">12 Admin</w:t>
            </w:r>
          </w:p>
        </w:tc>
        <w:tc>
          <w:tcPr>
            <w:tcW w:type="pct" w:w="25%"/>
            <w:tcBorders>
              <w:top w:val="single" w:color="D9CBAE" w:sz="4"/>
              <w:left w:val="single" w:color="D9CBAE" w:sz="4"/>
              <w:bottom w:val="single" w:color="D9CBAE" w:sz="4"/>
              <w:right w:val="single" w:color="D9CBAE" w:sz="4"/>
            </w:tcBorders>
            <w:shd w:fill="F7F0E6" w:color="auto" w:val="clear"/>
            <w:tcMar>
              <w:top w:type="dxa" w:w="160"/>
              <w:left w:type="dxa" w:w="140"/>
              <w:bottom w:type="dxa" w:w="160"/>
              <w:right w:type="dxa" w:w="140"/>
            </w:tcMar>
          </w:tcPr>
          <w:p>
            <w:pPr>
              <w:spacing w:after="40"/>
            </w:pPr>
            <w:r>
              <w:rPr>
                <w:rFonts w:ascii="Calibri" w:cs="Calibri" w:eastAsia="Calibri" w:hAnsi="Calibri"/>
                <w:b/>
                <w:bCs/>
                <w:color w:val="6E6153"/>
                <w:spacing w:val="4"/>
                <w:sz w:val="13"/>
                <w:szCs w:val="13"/>
              </w:rPr>
              <w:t xml:space="preserve">ACTIVE EVENTS</w:t>
            </w:r>
          </w:p>
          <w:p>
            <w:pPr>
              <w:spacing w:after="60"/>
            </w:pPr>
            <w:r>
              <w:rPr>
                <w:rFonts w:ascii="Cambria" w:cs="Cambria" w:eastAsia="Cambria" w:hAnsi="Cambria"/>
                <w:b/>
                <w:bCs/>
                <w:color w:val="8B6F47"/>
                <w:sz w:val="32"/>
                <w:szCs w:val="32"/>
              </w:rPr>
              <w:t xml:space="preserve">18 / 46</w:t>
            </w:r>
          </w:p>
          <w:p>
            <w:pPr>
              <w:spacing w:after="10"/>
            </w:pPr>
            <w:r>
              <w:rPr>
                <w:rFonts w:ascii="Calibri" w:cs="Calibri" w:eastAsia="Calibri" w:hAnsi="Calibri"/>
                <w:color w:val="2B211A"/>
                <w:sz w:val="15"/>
                <w:szCs w:val="15"/>
              </w:rPr>
              <w:t xml:space="preserve">12 Completed</w:t>
            </w:r>
          </w:p>
          <w:p>
            <w:pPr>
              <w:spacing w:after="10"/>
            </w:pPr>
            <w:r>
              <w:rPr>
                <w:rFonts w:ascii="Calibri" w:cs="Calibri" w:eastAsia="Calibri" w:hAnsi="Calibri"/>
                <w:color w:val="2B211A"/>
                <w:sz w:val="15"/>
                <w:szCs w:val="15"/>
              </w:rPr>
              <w:t xml:space="preserve">6 Ongoing</w:t>
            </w:r>
          </w:p>
        </w:tc>
        <w:tc>
          <w:tcPr>
            <w:tcW w:type="pct" w:w="25%"/>
            <w:tcBorders>
              <w:top w:val="single" w:color="D9CBAE" w:sz="4"/>
              <w:left w:val="single" w:color="D9CBAE" w:sz="4"/>
              <w:bottom w:val="single" w:color="D9CBAE" w:sz="4"/>
              <w:right w:val="single" w:color="D9CBAE" w:sz="4"/>
            </w:tcBorders>
            <w:shd w:fill="F7F0E6" w:color="auto" w:val="clear"/>
            <w:tcMar>
              <w:top w:type="dxa" w:w="160"/>
              <w:left w:type="dxa" w:w="140"/>
              <w:bottom w:type="dxa" w:w="160"/>
              <w:right w:type="dxa" w:w="140"/>
            </w:tcMar>
          </w:tcPr>
          <w:p>
            <w:pPr>
              <w:spacing w:after="40"/>
            </w:pPr>
            <w:r>
              <w:rPr>
                <w:rFonts w:ascii="Calibri" w:cs="Calibri" w:eastAsia="Calibri" w:hAnsi="Calibri"/>
                <w:b/>
                <w:bCs/>
                <w:color w:val="6E6153"/>
                <w:spacing w:val="4"/>
                <w:sz w:val="13"/>
                <w:szCs w:val="13"/>
              </w:rPr>
              <w:t xml:space="preserve">ASSET UTILIZATION RATE</w:t>
            </w:r>
          </w:p>
          <w:p>
            <w:pPr>
              <w:spacing w:after="60"/>
            </w:pPr>
            <w:r>
              <w:rPr>
                <w:rFonts w:ascii="Cambria" w:cs="Cambria" w:eastAsia="Cambria" w:hAnsi="Cambria"/>
                <w:b/>
                <w:bCs/>
                <w:color w:val="8B6F47"/>
                <w:sz w:val="32"/>
                <w:szCs w:val="32"/>
              </w:rPr>
              <w:t xml:space="preserve">78%</w:t>
            </w:r>
          </w:p>
          <w:p>
            <w:pPr>
              <w:spacing w:after="10"/>
            </w:pPr>
            <w:r>
              <w:rPr>
                <w:rFonts w:ascii="Calibri" w:cs="Calibri" w:eastAsia="Calibri" w:hAnsi="Calibri"/>
                <w:color w:val="2B211A"/>
                <w:sz w:val="15"/>
                <w:szCs w:val="15"/>
              </w:rPr>
              <w:t xml:space="preserve">568 of 735 assets in use</w:t>
            </w:r>
          </w:p>
        </w:tc>
        <w:tc>
          <w:tcPr>
            <w:tcW w:type="pct" w:w="25%"/>
            <w:tcBorders>
              <w:top w:val="single" w:color="D9CBAE" w:sz="4"/>
              <w:left w:val="single" w:color="D9CBAE" w:sz="4"/>
              <w:bottom w:val="single" w:color="D9CBAE" w:sz="4"/>
              <w:right w:val="single" w:color="D9CBAE" w:sz="4"/>
            </w:tcBorders>
            <w:shd w:fill="F7F0E6" w:color="auto" w:val="clear"/>
            <w:tcMar>
              <w:top w:type="dxa" w:w="160"/>
              <w:left w:type="dxa" w:w="140"/>
              <w:bottom w:type="dxa" w:w="160"/>
              <w:right w:type="dxa" w:w="140"/>
            </w:tcMar>
          </w:tcPr>
          <w:p>
            <w:pPr>
              <w:spacing w:after="40"/>
            </w:pPr>
            <w:r>
              <w:rPr>
                <w:rFonts w:ascii="Calibri" w:cs="Calibri" w:eastAsia="Calibri" w:hAnsi="Calibri"/>
                <w:b/>
                <w:bCs/>
                <w:color w:val="6E6153"/>
                <w:spacing w:val="4"/>
                <w:sz w:val="13"/>
                <w:szCs w:val="13"/>
              </w:rPr>
              <w:t xml:space="preserve">MAINTENANCE COMPLIANCE</w:t>
            </w:r>
          </w:p>
          <w:p>
            <w:pPr>
              <w:spacing w:after="60"/>
            </w:pPr>
            <w:r>
              <w:rPr>
                <w:rFonts w:ascii="Cambria" w:cs="Cambria" w:eastAsia="Cambria" w:hAnsi="Cambria"/>
                <w:b/>
                <w:bCs/>
                <w:color w:val="8B6F47"/>
                <w:sz w:val="32"/>
                <w:szCs w:val="32"/>
              </w:rPr>
              <w:t xml:space="preserve">91%</w:t>
            </w:r>
          </w:p>
          <w:p>
            <w:pPr>
              <w:spacing w:after="10"/>
            </w:pPr>
            <w:r>
              <w:rPr>
                <w:rFonts w:ascii="Calibri" w:cs="Calibri" w:eastAsia="Calibri" w:hAnsi="Calibri"/>
                <w:color w:val="2B211A"/>
                <w:sz w:val="15"/>
                <w:szCs w:val="15"/>
              </w:rPr>
              <w:t xml:space="preserve">4 Overdue</w:t>
            </w:r>
          </w:p>
        </w:tc>
      </w:tr>
    </w:tbl>
    <w:p>
      <w:pPr>
        <w:pBdr>
          <w:bottom w:val="single" w:color="8B6F47" w:sz="6" w:space="4"/>
        </w:pBdr>
        <w:spacing w:after="40" w:before="280"/>
      </w:pPr>
      <w:r>
        <w:rPr>
          <w:rFonts w:ascii="Calibri" w:cs="Calibri" w:eastAsia="Calibri" w:hAnsi="Calibri"/>
          <w:b/>
          <w:bCs/>
          <w:color w:val="2B211A"/>
          <w:spacing w:val="10"/>
          <w:sz w:val="21"/>
          <w:szCs w:val="21"/>
        </w:rPr>
        <w:t xml:space="preserve">WAREHOUSE INVENTORY DISTRIBUTION</w:t>
      </w:r>
    </w:p>
    <w:p>
      <w:pPr>
        <w:spacing w:after="140"/>
      </w:pPr>
      <w:r>
        <w:rPr>
          <w:rFonts w:ascii="Calibri" w:cs="Calibri" w:eastAsia="Calibri" w:hAnsi="Calibri"/>
          <w:i/>
          <w:iCs/>
          <w:color w:val="6E6153"/>
          <w:sz w:val="17"/>
          <w:szCs w:val="17"/>
        </w:rPr>
        <w:t xml:space="preserve">Asset capacity, current custody, and utilization by storage facility.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cantSplit/>
          <w:tblHeader/>
        </w:trPr>
        <w:tc>
          <w:tcPr>
            <w:tcW w:type="pct" w:w="30%"/>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FACILITY</w:t>
            </w:r>
          </w:p>
        </w:tc>
        <w:tc>
          <w:tcPr>
            <w:tcW w:type="pct" w:w="14%"/>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center"/>
            </w:pPr>
            <w:r>
              <w:rPr>
                <w:rFonts w:ascii="Calibri" w:cs="Calibri" w:eastAsia="Calibri" w:hAnsi="Calibri"/>
                <w:b/>
                <w:bCs/>
                <w:color w:val="FFFFFF"/>
                <w:spacing w:val="4"/>
                <w:sz w:val="14"/>
                <w:szCs w:val="14"/>
              </w:rPr>
              <w:t xml:space="preserve">TOTAL ASSETS</w:t>
            </w:r>
          </w:p>
        </w:tc>
        <w:tc>
          <w:tcPr>
            <w:tcW w:type="pct" w:w="14%"/>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center"/>
            </w:pPr>
            <w:r>
              <w:rPr>
                <w:rFonts w:ascii="Calibri" w:cs="Calibri" w:eastAsia="Calibri" w:hAnsi="Calibri"/>
                <w:b/>
                <w:bCs/>
                <w:color w:val="FFFFFF"/>
                <w:spacing w:val="4"/>
                <w:sz w:val="14"/>
                <w:szCs w:val="14"/>
              </w:rPr>
              <w:t xml:space="preserve">AVAILABLE</w:t>
            </w:r>
          </w:p>
        </w:tc>
        <w:tc>
          <w:tcPr>
            <w:tcW w:type="pct" w:w="12%"/>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center"/>
            </w:pPr>
            <w:r>
              <w:rPr>
                <w:rFonts w:ascii="Calibri" w:cs="Calibri" w:eastAsia="Calibri" w:hAnsi="Calibri"/>
                <w:b/>
                <w:bCs/>
                <w:color w:val="FFFFFF"/>
                <w:spacing w:val="4"/>
                <w:sz w:val="14"/>
                <w:szCs w:val="14"/>
              </w:rPr>
              <w:t xml:space="preserve">IN USE</w:t>
            </w:r>
          </w:p>
        </w:tc>
        <w:tc>
          <w:tcPr>
            <w:tcW w:type="pct" w:w="16%"/>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center"/>
            </w:pPr>
            <w:r>
              <w:rPr>
                <w:rFonts w:ascii="Calibri" w:cs="Calibri" w:eastAsia="Calibri" w:hAnsi="Calibri"/>
                <w:b/>
                <w:bCs/>
                <w:color w:val="FFFFFF"/>
                <w:spacing w:val="4"/>
                <w:sz w:val="14"/>
                <w:szCs w:val="14"/>
              </w:rPr>
              <w:t xml:space="preserve">UNDER MAINTENANCE</w:t>
            </w:r>
          </w:p>
        </w:tc>
        <w:tc>
          <w:tcPr>
            <w:tcW w:type="pct" w:w="14%"/>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center"/>
            </w:pPr>
            <w:r>
              <w:rPr>
                <w:rFonts w:ascii="Calibri" w:cs="Calibri" w:eastAsia="Calibri" w:hAnsi="Calibri"/>
                <w:b/>
                <w:bCs/>
                <w:color w:val="FFFFFF"/>
                <w:spacing w:val="4"/>
                <w:sz w:val="14"/>
                <w:szCs w:val="14"/>
              </w:rPr>
              <w:t xml:space="preserve">UTILIZATION</w:t>
            </w:r>
          </w:p>
        </w:tc>
      </w:tr>
      <w:tr>
        <w:trPr>
          <w:cantSplit/>
        </w:trPr>
        <w:tc>
          <w:tcPr>
            <w:tcW w:type="pct" w:w="3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bCs/>
                <w:color w:val="2B211A"/>
                <w:sz w:val="17"/>
                <w:szCs w:val="17"/>
              </w:rPr>
              <w:t xml:space="preserve">Main Warehouse — Quezon City</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320</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210</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96</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14</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66%</w:t>
            </w:r>
          </w:p>
        </w:tc>
      </w:tr>
      <w:tr>
        <w:trPr>
          <w:cantSplit/>
        </w:trPr>
        <w:tc>
          <w:tcPr>
            <w:tcW w:type="pct" w:w="3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bCs/>
                <w:color w:val="2B211A"/>
                <w:sz w:val="17"/>
                <w:szCs w:val="17"/>
              </w:rPr>
              <w:t xml:space="preserve">North Storage Annex</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180</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140</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30</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10</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22%</w:t>
            </w:r>
          </w:p>
        </w:tc>
      </w:tr>
      <w:tr>
        <w:trPr>
          <w:cantSplit/>
        </w:trPr>
        <w:tc>
          <w:tcPr>
            <w:tcW w:type="pct" w:w="3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bCs/>
                <w:color w:val="2B211A"/>
                <w:sz w:val="17"/>
                <w:szCs w:val="17"/>
              </w:rPr>
              <w:t xml:space="preserve">South Logistics Hub</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145</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120</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20</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5</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17%</w:t>
            </w:r>
          </w:p>
        </w:tc>
      </w:tr>
      <w:tr>
        <w:trPr>
          <w:cantSplit/>
        </w:trPr>
        <w:tc>
          <w:tcPr>
            <w:tcW w:type="pct" w:w="3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bCs/>
                <w:color w:val="2B211A"/>
                <w:sz w:val="17"/>
                <w:szCs w:val="17"/>
              </w:rPr>
              <w:t xml:space="preserve">Satellite Unit — Makati</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90</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70</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15</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5</w:t>
            </w:r>
          </w:p>
        </w:tc>
        <w:tc>
          <w:tcPr>
            <w:tcW w:type="pct" w:w="14%"/>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val="false"/>
                <w:bCs w:val="false"/>
                <w:color w:val="2B211A"/>
                <w:sz w:val="17"/>
                <w:szCs w:val="17"/>
              </w:rPr>
              <w:t xml:space="preserve">22%</w:t>
            </w:r>
          </w:p>
        </w:tc>
      </w:tr>
    </w:tbl>
    <w:p>
      <w:pPr>
        <w:pBdr>
          <w:bottom w:val="single" w:color="8B6F47" w:sz="6" w:space="4"/>
        </w:pBdr>
        <w:spacing w:after="40" w:before="280"/>
      </w:pPr>
      <w:r>
        <w:rPr>
          <w:rFonts w:ascii="Calibri" w:cs="Calibri" w:eastAsia="Calibri" w:hAnsi="Calibri"/>
          <w:b/>
          <w:bCs/>
          <w:color w:val="2B211A"/>
          <w:spacing w:val="10"/>
          <w:sz w:val="21"/>
          <w:szCs w:val="21"/>
        </w:rPr>
        <w:t xml:space="preserve">EVENT BOOKING REQUESTS &amp; APPROVAL PIPELINE</w:t>
      </w:r>
    </w:p>
    <w:p>
      <w:pPr>
        <w:spacing w:after="140"/>
      </w:pPr>
      <w:r>
        <w:rPr>
          <w:rFonts w:ascii="Calibri" w:cs="Calibri" w:eastAsia="Calibri" w:hAnsi="Calibri"/>
          <w:i/>
          <w:iCs/>
          <w:color w:val="6E6153"/>
          <w:sz w:val="17"/>
          <w:szCs w:val="17"/>
        </w:rPr>
        <w:t xml:space="preserve">Case log of submitted event booking requests and review outcomes.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pct" w:w="10%"/>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CASE</w:t>
            </w:r>
          </w:p>
        </w:tc>
        <w:tc>
          <w:tcPr>
            <w:tcW w:type="pct" w:w="15%"/>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REQUESTOR</w:t>
            </w:r>
          </w:p>
        </w:tc>
        <w:tc>
          <w:tcPr>
            <w:tcW w:type="pct" w:w="20%"/>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CONTACT EMAIL</w:t>
            </w:r>
          </w:p>
        </w:tc>
        <w:tc>
          <w:tcPr>
            <w:tcW w:type="pct" w:w="16%"/>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EVENT REQUESTED</w:t>
            </w:r>
          </w:p>
        </w:tc>
        <w:tc>
          <w:tcPr>
            <w:tcW w:type="pct" w:w="16%"/>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ASSIGNED VENUE</w:t>
            </w:r>
          </w:p>
        </w:tc>
        <w:tc>
          <w:tcPr>
            <w:tcW w:type="pct" w:w="11%"/>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DATE APPLIED</w:t>
            </w:r>
          </w:p>
        </w:tc>
        <w:tc>
          <w:tcPr>
            <w:tcW w:type="pct" w:w="12%"/>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REVIEW STATUS</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#EVT-014</w:t>
            </w:r>
          </w:p>
        </w:tc>
        <w:tc>
          <w:tcPr>
            <w:tcW w:type="pct" w:w="15%"/>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Maria Santos</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maria.santos@email.com</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Corporate Gala</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Grand Ballroom</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10, 2026</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3F6B44"/>
                <w:sz w:val="16"/>
                <w:szCs w:val="16"/>
              </w:rPr>
              <w:t xml:space="preserve">APPROVED</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#EVT-013</w:t>
            </w:r>
          </w:p>
        </w:tc>
        <w:tc>
          <w:tcPr>
            <w:tcW w:type="pct" w:w="15%"/>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John Cruz</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john.cruz@email.com</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Wedding Reception</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Garden Pavilion</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08, 2026</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6B12"/>
                <w:sz w:val="16"/>
                <w:szCs w:val="16"/>
              </w:rPr>
              <w:t xml:space="preserve">PENDING</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#EVT-012</w:t>
            </w:r>
          </w:p>
        </w:tc>
        <w:tc>
          <w:tcPr>
            <w:tcW w:type="pct" w:w="15%"/>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Angela Reyes</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angela.reyes@email.com</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Product Launch</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Conference Hall</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05, 2026</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3324"/>
                <w:sz w:val="16"/>
                <w:szCs w:val="16"/>
              </w:rPr>
              <w:t xml:space="preserve">WITHDRAWN</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#EVT-011</w:t>
            </w:r>
          </w:p>
        </w:tc>
        <w:tc>
          <w:tcPr>
            <w:tcW w:type="pct" w:w="15%"/>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Marco Villanueva</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marco.v@email.com</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Debut Celebration</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Grand Ballroom</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03, 2026</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6B12"/>
                <w:sz w:val="16"/>
                <w:szCs w:val="16"/>
              </w:rPr>
              <w:t xml:space="preserve">PENDING</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#EVT-010</w:t>
            </w:r>
          </w:p>
        </w:tc>
        <w:tc>
          <w:tcPr>
            <w:tcW w:type="pct" w:w="15%"/>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Katrina Lim</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katrina.lim@email.com</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Anniversary Dinner</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Skyline Terrace</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01, 2026</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3F6B44"/>
                <w:sz w:val="16"/>
                <w:szCs w:val="16"/>
              </w:rPr>
              <w:t xml:space="preserve">APPROVED</w:t>
            </w:r>
          </w:p>
        </w:tc>
      </w:tr>
    </w:tbl>
    <w:p>
      <w:pPr>
        <w:pBdr>
          <w:bottom w:val="single" w:color="8B6F47" w:sz="6" w:space="4"/>
        </w:pBdr>
        <w:spacing w:after="40" w:before="280"/>
      </w:pPr>
      <w:r>
        <w:rPr>
          <w:rFonts w:ascii="Calibri" w:cs="Calibri" w:eastAsia="Calibri" w:hAnsi="Calibri"/>
          <w:b/>
          <w:bCs/>
          <w:color w:val="2B211A"/>
          <w:spacing w:val="10"/>
          <w:sz w:val="21"/>
          <w:szCs w:val="21"/>
        </w:rPr>
        <w:t xml:space="preserve">ASSET MAINTENANCE &amp; COMPLIANCE MILESTONES</w:t>
      </w:r>
    </w:p>
    <w:p>
      <w:pPr>
        <w:spacing w:after="140"/>
      </w:pPr>
      <w:r>
        <w:rPr>
          <w:rFonts w:ascii="Calibri" w:cs="Calibri" w:eastAsia="Calibri" w:hAnsi="Calibri"/>
          <w:i/>
          <w:iCs/>
          <w:color w:val="6E6153"/>
          <w:sz w:val="17"/>
          <w:szCs w:val="17"/>
        </w:rPr>
        <w:t xml:space="preserve">Scheduled inspections, condition scoring, and compliance logs by asset.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cantSplit/>
          <w:tblHeader/>
        </w:trPr>
        <w:tc>
          <w:tcPr>
            <w:tcW w:type="pct" w:w="10%"/>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LOG</w:t>
            </w:r>
          </w:p>
        </w:tc>
        <w:tc>
          <w:tcPr>
            <w:tcW w:type="pct" w:w="20%"/>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ASSET</w:t>
            </w:r>
          </w:p>
        </w:tc>
        <w:tc>
          <w:tcPr>
            <w:tcW w:type="pct" w:w="16%"/>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ASSIGNED CREW</w:t>
            </w:r>
          </w:p>
        </w:tc>
        <w:tc>
          <w:tcPr>
            <w:tcW w:type="pct" w:w="18%"/>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MILESTONE</w:t>
            </w:r>
          </w:p>
        </w:tc>
        <w:tc>
          <w:tcPr>
            <w:tcW w:type="pct" w:w="12%"/>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TARGET DUE</w:t>
            </w:r>
          </w:p>
        </w:tc>
        <w:tc>
          <w:tcPr>
            <w:tcW w:type="pct" w:w="13%"/>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CONDITION SCORE</w:t>
            </w:r>
          </w:p>
        </w:tc>
        <w:tc>
          <w:tcPr>
            <w:tcW w:type="pct" w:w="11%"/>
            <w:tcBorders>
              <w:top w:val="single" w:color="D9CBAE" w:sz="4"/>
              <w:left w:val="single" w:color="D9CBAE" w:sz="4"/>
              <w:bottom w:val="single" w:color="D9CBAE" w:sz="4"/>
              <w:right w:val="single" w:color="D9CBAE" w:sz="4"/>
            </w:tcBorders>
            <w:shd w:fill="8B6F47" w:color="auto" w:val="clear"/>
            <w:tcMar>
              <w:top w:type="dxa" w:w="90"/>
              <w:left w:type="dxa" w:w="90"/>
              <w:bottom w:type="dxa" w:w="90"/>
              <w:right w:type="dxa" w:w="90"/>
            </w:tcMar>
            <w:vAlign w:val="center"/>
          </w:tcPr>
          <w:p>
            <w:pPr>
              <w:jc w:val="left"/>
            </w:pPr>
            <w:r>
              <w:rPr>
                <w:rFonts w:ascii="Calibri" w:cs="Calibri" w:eastAsia="Calibri" w:hAnsi="Calibri"/>
                <w:b/>
                <w:bCs/>
                <w:color w:val="FFFFFF"/>
                <w:spacing w:val="4"/>
                <w:sz w:val="14"/>
                <w:szCs w:val="14"/>
              </w:rPr>
              <w:t xml:space="preserve">COMPLIANCE</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#MNT-08</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Aurora Lighting Kit</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Facilities Team</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Oct 15,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Pending</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6B12"/>
                <w:sz w:val="16"/>
                <w:szCs w:val="16"/>
              </w:rPr>
              <w:t xml:space="preserve">PENDING</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#MNT-07</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Marlow Lounge Chair</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Facilities Team</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24,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Pending</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6B12"/>
                <w:sz w:val="16"/>
                <w:szCs w:val="16"/>
              </w:rPr>
              <w:t xml:space="preserve">PENDING</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#MNT-06</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Oak Plinth Set</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Warehouse Crew</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Sep 16,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Pending</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3324"/>
                <w:sz w:val="16"/>
                <w:szCs w:val="16"/>
              </w:rPr>
              <w:t xml:space="preserve">OVERDUE</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#MNT-05</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Signature Drape Panel</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Facilities Team</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Oct 01,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Pending</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9A6B12"/>
                <w:sz w:val="16"/>
                <w:szCs w:val="16"/>
              </w:rPr>
              <w:t xml:space="preserve">PENDING</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#MNT-04</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Aurora Lighting Kit</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Facilities Team</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Annual Certification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Aug 31,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5/5 (Good)</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3F6B44"/>
                <w:sz w:val="16"/>
                <w:szCs w:val="16"/>
              </w:rPr>
              <w:t xml:space="preserve">COMPLETED</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#MNT-03</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Oak Plinth Set</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Warehouse Crew</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Oct 01,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5/5 (Good)</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3F6B44"/>
                <w:sz w:val="16"/>
                <w:szCs w:val="16"/>
              </w:rPr>
              <w:t xml:space="preserve">COMPLETED</w:t>
            </w:r>
          </w:p>
        </w:tc>
      </w:tr>
      <w:tr>
        <w:trPr>
          <w:cantSplit/>
        </w:trPr>
        <w:tc>
          <w:tcPr>
            <w:tcW w:type="pct" w:w="1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#MNT-02</w:t>
            </w:r>
          </w:p>
        </w:tc>
        <w:tc>
          <w:tcPr>
            <w:tcW w:type="pct" w:w="20%"/>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Marlow Lounge Chair</w:t>
            </w:r>
          </w:p>
        </w:tc>
        <w:tc>
          <w:tcPr>
            <w:tcW w:type="pct" w:w="16%"/>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Facilities Team</w:t>
            </w:r>
          </w:p>
        </w:tc>
        <w:tc>
          <w:tcPr>
            <w:tcW w:type="pct" w:w="18%"/>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Quarterly Inspection</w:t>
            </w:r>
          </w:p>
        </w:tc>
        <w:tc>
          <w:tcPr>
            <w:tcW w:type="pct" w:w="12%"/>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Aug 11, 2026</w:t>
            </w:r>
          </w:p>
        </w:tc>
        <w:tc>
          <w:tcPr>
            <w:tcW w:type="pct" w:w="13%"/>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left"/>
            </w:pPr>
            <w:r>
              <w:rPr>
                <w:rFonts w:ascii="Calibri" w:cs="Calibri" w:eastAsia="Calibri" w:hAnsi="Calibri"/>
                <w:b w:val="false"/>
                <w:bCs w:val="false"/>
                <w:color w:val="2B211A"/>
                <w:sz w:val="17"/>
                <w:szCs w:val="17"/>
              </w:rPr>
              <w:t xml:space="preserve">5/5 (Good)</w:t>
            </w:r>
          </w:p>
        </w:tc>
        <w:tc>
          <w:tcPr>
            <w:tcW w:type="pct" w:w="11%"/>
            <w:tcBorders>
              <w:top w:val="single" w:color="D9CBAE" w:sz="4"/>
              <w:left w:val="single" w:color="D9CBAE" w:sz="4"/>
              <w:bottom w:val="single" w:color="D9CBAE" w:sz="4"/>
              <w:right w:val="single" w:color="D9CBAE" w:sz="4"/>
            </w:tcBorders>
            <w:tcMar>
              <w:top w:type="dxa" w:w="70"/>
              <w:left w:type="dxa" w:w="90"/>
              <w:bottom w:type="dxa" w:w="70"/>
              <w:right w:type="dxa" w:w="90"/>
            </w:tcMar>
            <w:vAlign w:val="center"/>
          </w:tcPr>
          <w:p>
            <w:pPr>
              <w:jc w:val="center"/>
            </w:pPr>
            <w:r>
              <w:rPr>
                <w:rFonts w:ascii="Calibri" w:cs="Calibri" w:eastAsia="Calibri" w:hAnsi="Calibri"/>
                <w:b/>
                <w:bCs/>
                <w:color w:val="3F6B44"/>
                <w:sz w:val="16"/>
                <w:szCs w:val="16"/>
              </w:rPr>
              <w:t xml:space="preserve">COMPLETED</w:t>
            </w:r>
          </w:p>
        </w:tc>
      </w:tr>
    </w:tbl>
    <w:p>
      <w:pPr>
        <w:spacing w:after="260" w:before="260"/>
        <w:jc w:val="center"/>
      </w:pPr>
      <w:r>
        <w:rPr>
          <w:rFonts w:ascii="Calibri" w:cs="Calibri" w:eastAsia="Calibri" w:hAnsi="Calibri"/>
          <w:i/>
          <w:iCs/>
          <w:color w:val="2B211A"/>
          <w:sz w:val="19"/>
          <w:szCs w:val="19"/>
        </w:rPr>
        <w:t xml:space="preserve">“I hereby certify that the numerical metrics, asset records, inventory distributions, and maintenance logs presented in this audit report have been extracted directly from the verified database records of the Lumière platform.”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50%"/>
            <w:tcBorders>
              <w:top w:val="none" w:color="FFFFFF" w:sz="0"/>
              <w:left w:val="none" w:color="FFFFFF" w:sz="0"/>
              <w:bottom w:val="none" w:color="FFFFFF" w:sz="0"/>
              <w:right w:val="none" w:color="FFFFFF" w:sz="0"/>
            </w:tcBorders>
            <w:tcMar>
              <w:top w:type="dxa" w:w="200"/>
              <w:left w:type="dxa" w:w="200"/>
              <w:right w:type="dxa" w:w="200"/>
            </w:tcMar>
          </w:tcPr>
          <w:p>
            <w:pPr>
              <w:pBdr>
                <w:bottom w:val="single" w:color="D9CBAE" w:sz="4"/>
              </w:pBdr>
              <w:spacing w:after="320"/>
            </w:pPr>
            <w:r>
              <w:rPr>
                <w:sz w:val="2"/>
                <w:szCs w:val="2"/>
              </w:rPr>
              <w:t xml:space="preserve"> </w:t>
            </w:r>
          </w:p>
          <w:p>
            <w:pPr>
              <w:spacing w:after="20"/>
            </w:pPr>
            <w:r>
              <w:rPr>
                <w:rFonts w:ascii="Calibri" w:cs="Calibri" w:eastAsia="Calibri" w:hAnsi="Calibri"/>
                <w:b/>
                <w:bCs/>
                <w:color w:val="2B211A"/>
                <w:sz w:val="18"/>
                <w:szCs w:val="18"/>
              </w:rPr>
              <w:t xml:space="preserve">SYSTEM ADMINISTRATOR / AUDITOR</w:t>
            </w:r>
          </w:p>
          <w:p>
            <w:pPr>
              <w:spacing w:after="20"/>
            </w:pPr>
            <w:r>
              <w:rPr>
                <w:rFonts w:ascii="Calibri" w:cs="Calibri" w:eastAsia="Calibri" w:hAnsi="Calibri"/>
                <w:i/>
                <w:iCs/>
                <w:color w:val="6E6153"/>
                <w:sz w:val="16"/>
                <w:szCs w:val="16"/>
              </w:rPr>
              <w:t xml:space="preserve">Lumière Asset &amp; Event Management Platform</w:t>
            </w:r>
          </w:p>
          <w:p>
            <w:r>
              <w:rPr>
                <w:rFonts w:ascii="Calibri" w:cs="Calibri" w:eastAsia="Calibri" w:hAnsi="Calibri"/>
                <w:color w:val="6E6153"/>
                <w:sz w:val="16"/>
                <w:szCs w:val="16"/>
              </w:rPr>
              <w:t xml:space="preserve">Generated &amp; Verified</w:t>
            </w:r>
          </w:p>
        </w:tc>
        <w:tc>
          <w:tcPr>
            <w:tcW w:type="pct" w:w="50%"/>
            <w:tcBorders>
              <w:top w:val="none" w:color="FFFFFF" w:sz="0"/>
              <w:left w:val="none" w:color="FFFFFF" w:sz="0"/>
              <w:bottom w:val="none" w:color="FFFFFF" w:sz="0"/>
              <w:right w:val="none" w:color="FFFFFF" w:sz="0"/>
            </w:tcBorders>
            <w:tcMar>
              <w:top w:type="dxa" w:w="200"/>
              <w:left w:type="dxa" w:w="200"/>
              <w:right w:type="dxa" w:w="200"/>
            </w:tcMar>
          </w:tcPr>
          <w:p>
            <w:pPr>
              <w:pBdr>
                <w:bottom w:val="single" w:color="D9CBAE" w:sz="4"/>
              </w:pBdr>
              <w:spacing w:after="320"/>
            </w:pPr>
            <w:r>
              <w:rPr>
                <w:sz w:val="2"/>
                <w:szCs w:val="2"/>
              </w:rPr>
              <w:t xml:space="preserve"> </w:t>
            </w:r>
          </w:p>
          <w:p>
            <w:pPr>
              <w:spacing w:after="20"/>
            </w:pPr>
            <w:r>
              <w:rPr>
                <w:rFonts w:ascii="Calibri" w:cs="Calibri" w:eastAsia="Calibri" w:hAnsi="Calibri"/>
                <w:b/>
                <w:bCs/>
                <w:color w:val="2B211A"/>
                <w:sz w:val="18"/>
                <w:szCs w:val="18"/>
              </w:rPr>
              <w:t xml:space="preserve">OPERATIONS MANAGER / WAREHOUSE LEAD</w:t>
            </w:r>
          </w:p>
          <w:p>
            <w:pPr>
              <w:spacing w:after="20"/>
            </w:pPr>
            <w:r>
              <w:rPr>
                <w:rFonts w:ascii="Calibri" w:cs="Calibri" w:eastAsia="Calibri" w:hAnsi="Calibri"/>
                <w:i/>
                <w:iCs/>
                <w:color w:val="6E6153"/>
                <w:sz w:val="16"/>
                <w:szCs w:val="16"/>
              </w:rPr>
              <w:t xml:space="preserve">Lumière Facilities &amp; Logistics</w:t>
            </w:r>
          </w:p>
          <w:p>
            <w:r>
              <w:rPr>
                <w:rFonts w:ascii="Calibri" w:cs="Calibri" w:eastAsia="Calibri" w:hAnsi="Calibri"/>
                <w:color w:val="6E6153"/>
                <w:sz w:val="16"/>
                <w:szCs w:val="16"/>
              </w:rPr>
              <w:t xml:space="preserve">Verified &amp; Received</w:t>
            </w:r>
          </w:p>
        </w:tc>
      </w:tr>
    </w:tbl>
    <w:sectPr>
      <w:headerReference w:type="default" r:id="rId7"/>
      <w:footerReference w:type="default" r:id="rId8"/>
      <w:pgSz w:w="12240" w:h="15840" w:orient="portrait"/>
      <w:pgMar w:top="1150" w:right="950" w:bottom="1150" w:left="9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AE" w:sz="4" w:space="6"/>
      </w:pBdr>
      <w:spacing w:after="60"/>
    </w:pPr>
    <w:r>
      <w:rPr>
        <w:sz w:val="2"/>
        <w:szCs w:val="2"/>
      </w:rPr>
      <w:t xml:space="preserve"> </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70%"/>
          <w:tcBorders>
            <w:top w:val="none" w:color="FFFFFF" w:sz="0"/>
            <w:left w:val="none" w:color="FFFFFF" w:sz="0"/>
            <w:bottom w:val="none" w:color="FFFFFF" w:sz="0"/>
            <w:right w:val="none" w:color="FFFFFF" w:sz="0"/>
          </w:tcBorders>
        </w:tcPr>
        <w:p>
          <w:r>
            <w:rPr>
              <w:rFonts w:ascii="Calibri" w:cs="Calibri" w:eastAsia="Calibri" w:hAnsi="Calibri"/>
              <w:color w:val="6E6153"/>
              <w:sz w:val="14"/>
              <w:szCs w:val="14"/>
            </w:rPr>
            <w:t xml:space="preserve">LUMIÈRE   ·   System Analytics &amp; Audit Report   ·   Doc Ref: LUM-AUD-2026-09</w:t>
          </w:r>
        </w:p>
      </w:tc>
      <w:tc>
        <w:tcPr>
          <w:tcW w:type="pct" w:w="30%"/>
          <w:tcBorders>
            <w:top w:val="none" w:color="FFFFFF" w:sz="0"/>
            <w:left w:val="none" w:color="FFFFFF" w:sz="0"/>
            <w:bottom w:val="none" w:color="FFFFFF" w:sz="0"/>
            <w:right w:val="none" w:color="FFFFFF" w:sz="0"/>
          </w:tcBorders>
        </w:tcPr>
        <w:p>
          <w:pPr>
            <w:jc w:val="right"/>
          </w:pPr>
          <w:r>
            <w:rPr>
              <w:rFonts w:ascii="Calibri" w:cs="Calibri" w:eastAsia="Calibri" w:hAnsi="Calibri"/>
              <w:color w:val="6E6153"/>
              <w:sz w:val="14"/>
              <w:szCs w:val="14"/>
            </w:rPr>
            <w:t xml:space="preserve">PAGE </w:t>
          </w:r>
          <w:r>
            <w:rPr>
              <w:rFonts w:ascii="Calibri" w:cs="Calibri" w:eastAsia="Calibri" w:hAnsi="Calibri"/>
              <w:color w:val="6E6153"/>
              <w:sz w:val="14"/>
              <w:szCs w:val="14"/>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BAE" w:sz="4" w:space="6"/>
      </w:pBdr>
      <w:jc w:val="right"/>
    </w:pPr>
    <w:r>
      <w:rPr>
        <w:rFonts w:ascii="Calibri" w:cs="Calibri" w:eastAsia="Calibri" w:hAnsi="Calibri"/>
        <w:color w:val="6E6153"/>
        <w:spacing w:val="6"/>
        <w:sz w:val="15"/>
        <w:szCs w:val="15"/>
      </w:rPr>
      <w:t xml:space="preserve">LUMIÈRE — SYSTEM ANALYTICS &amp;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1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2026-09-17T19:24:37.512Z</dcterms:created>
  <dcterms:modified xsi:type="dcterms:W3CDTF">2026-09-17T19:24:37.512Z</dcterms:modified>
</cp:coreProperties>
</file>

<file path=docProps/custom.xml><?xml version="1.0" encoding="utf-8"?>
<Properties xmlns="http://schemas.openxmlformats.org/officeDocument/2006/custom-properties" xmlns:vt="http://schemas.openxmlformats.org/officeDocument/2006/docPropsVTypes"/>
</file>