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FE7CF" w14:textId="0627C453" w:rsidR="00B1071B" w:rsidRPr="003C35C2" w:rsidRDefault="00B1071B" w:rsidP="009F7709">
      <w:pPr>
        <w:rPr>
          <w:lang w:val="es-MX"/>
        </w:rPr>
      </w:pPr>
      <w:r w:rsidRPr="00B1071B">
        <w:rPr>
          <w:b/>
          <w:bCs/>
          <w:lang w:val="es-MX"/>
        </w:rPr>
        <w:t>CUESTIONES BIOÉTICAS</w:t>
      </w:r>
    </w:p>
    <w:p w14:paraId="4D331BAC" w14:textId="58A8D61D" w:rsidR="002A4F19" w:rsidRDefault="00AF4493" w:rsidP="009F7709">
      <w:pPr>
        <w:rPr>
          <w:lang w:val="es-MX"/>
        </w:rPr>
      </w:pPr>
      <w:r>
        <w:rPr>
          <w:lang w:val="es-MX"/>
        </w:rPr>
        <w:t xml:space="preserve">Las BCI como neurotecnología en desarrollo necesitar considerar cuestiones bioéticas sobre su empleo y consecuencias al estar vinculado estrechamente con el cerebro de la persona. De esta forma, las interfaces se vinculan con aspectos como la identidad, la conciencia, la razón, la memoria, la intencionalidad, entre otras (Becerra, 2025). </w:t>
      </w:r>
      <w:r w:rsidR="00111DC9">
        <w:rPr>
          <w:lang w:val="es-MX"/>
        </w:rPr>
        <w:t xml:space="preserve">En base a al modelo anglosajón del </w:t>
      </w:r>
      <w:r w:rsidR="00111DC9" w:rsidRPr="00E560A4">
        <w:rPr>
          <w:i/>
          <w:iCs/>
          <w:lang w:val="es-MX"/>
        </w:rPr>
        <w:t>Informe Belmont</w:t>
      </w:r>
      <w:r w:rsidR="00111DC9">
        <w:rPr>
          <w:lang w:val="es-MX"/>
        </w:rPr>
        <w:t xml:space="preserve">, </w:t>
      </w:r>
      <w:r w:rsidR="00B1071B">
        <w:rPr>
          <w:lang w:val="es-MX"/>
        </w:rPr>
        <w:t xml:space="preserve">se </w:t>
      </w:r>
      <w:r w:rsidR="00111DC9">
        <w:rPr>
          <w:lang w:val="es-MX"/>
        </w:rPr>
        <w:t>describe</w:t>
      </w:r>
      <w:r w:rsidR="00B1071B">
        <w:rPr>
          <w:lang w:val="es-MX"/>
        </w:rPr>
        <w:t>n tres principios bioéticos:</w:t>
      </w:r>
      <w:r w:rsidR="00111DC9">
        <w:rPr>
          <w:lang w:val="es-MX"/>
        </w:rPr>
        <w:t xml:space="preserve"> el respeto a la autonomía</w:t>
      </w:r>
      <w:r w:rsidR="00B1071B">
        <w:rPr>
          <w:lang w:val="es-MX"/>
        </w:rPr>
        <w:t xml:space="preserve">, </w:t>
      </w:r>
      <w:r w:rsidR="00111DC9">
        <w:rPr>
          <w:lang w:val="es-MX"/>
        </w:rPr>
        <w:t>beneficencia</w:t>
      </w:r>
      <w:r w:rsidR="00B1071B">
        <w:rPr>
          <w:lang w:val="es-MX"/>
        </w:rPr>
        <w:t xml:space="preserve"> y </w:t>
      </w:r>
      <w:r w:rsidR="00926D72">
        <w:rPr>
          <w:lang w:val="es-MX"/>
        </w:rPr>
        <w:t>justicia</w:t>
      </w:r>
      <w:r w:rsidR="00B1071B">
        <w:rPr>
          <w:lang w:val="es-MX"/>
        </w:rPr>
        <w:t xml:space="preserve"> (</w:t>
      </w:r>
      <w:r w:rsidR="00B1071B" w:rsidRPr="00B1071B">
        <w:rPr>
          <w:lang w:val="es-MX"/>
        </w:rPr>
        <w:t>García</w:t>
      </w:r>
      <w:r w:rsidR="00B1071B">
        <w:rPr>
          <w:lang w:val="es-MX"/>
        </w:rPr>
        <w:t xml:space="preserve">, </w:t>
      </w:r>
      <w:r w:rsidR="00B1071B" w:rsidRPr="00B1071B">
        <w:rPr>
          <w:lang w:val="es-MX"/>
        </w:rPr>
        <w:t>2006)</w:t>
      </w:r>
      <w:r w:rsidR="00926D72">
        <w:rPr>
          <w:lang w:val="es-MX"/>
        </w:rPr>
        <w:t xml:space="preserve">. En primer lugar, el principio de la autonomía. </w:t>
      </w:r>
      <w:r w:rsidR="002A4F19">
        <w:rPr>
          <w:lang w:val="es-MX"/>
        </w:rPr>
        <w:t xml:space="preserve">En base al respeto a los valores y creencias personales del individuo, </w:t>
      </w:r>
      <w:r w:rsidR="00C17AA4">
        <w:rPr>
          <w:lang w:val="es-MX"/>
        </w:rPr>
        <w:t>interviene</w:t>
      </w:r>
      <w:r w:rsidR="002A4F19">
        <w:rPr>
          <w:lang w:val="es-MX"/>
        </w:rPr>
        <w:t xml:space="preserve"> el</w:t>
      </w:r>
      <w:r w:rsidR="00C17AA4">
        <w:rPr>
          <w:lang w:val="es-MX"/>
        </w:rPr>
        <w:t xml:space="preserve"> concepto de</w:t>
      </w:r>
      <w:r w:rsidR="002A4F19">
        <w:rPr>
          <w:lang w:val="es-MX"/>
        </w:rPr>
        <w:t xml:space="preserve"> consentimiento informado, el cual abarcará la integridad física y mental</w:t>
      </w:r>
      <w:r w:rsidR="00C17AA4">
        <w:rPr>
          <w:lang w:val="es-MX"/>
        </w:rPr>
        <w:t xml:space="preserve"> de un individuo</w:t>
      </w:r>
      <w:r w:rsidR="002A4F19">
        <w:rPr>
          <w:lang w:val="es-MX"/>
        </w:rPr>
        <w:t xml:space="preserve">. Por ejemplo, Macía (2026) menciona que </w:t>
      </w:r>
      <w:r w:rsidR="002A4F19" w:rsidRPr="002A4F19">
        <w:rPr>
          <w:lang w:val="es-MX"/>
        </w:rPr>
        <w:t xml:space="preserve">la implantación de un </w:t>
      </w:r>
      <w:r w:rsidR="002A4F19">
        <w:rPr>
          <w:lang w:val="es-MX"/>
        </w:rPr>
        <w:t>d</w:t>
      </w:r>
      <w:r w:rsidR="002A4F19" w:rsidRPr="002A4F19">
        <w:rPr>
          <w:lang w:val="es-MX"/>
        </w:rPr>
        <w:t>ispositivo de interfaz cerebro</w:t>
      </w:r>
      <w:r w:rsidR="002A4F19">
        <w:rPr>
          <w:lang w:val="es-MX"/>
        </w:rPr>
        <w:t>-</w:t>
      </w:r>
      <w:r w:rsidR="002A4F19" w:rsidRPr="002A4F19">
        <w:rPr>
          <w:lang w:val="es-MX"/>
        </w:rPr>
        <w:t>computadora a un paciente con parálisis puede alterar su personalidad, distorsionar su sentido del yo y su sentimiento de agenci</w:t>
      </w:r>
      <w:r w:rsidR="002A4F19">
        <w:rPr>
          <w:lang w:val="es-MX"/>
        </w:rPr>
        <w:t xml:space="preserve">a. </w:t>
      </w:r>
    </w:p>
    <w:p w14:paraId="6C20CDBA" w14:textId="77777777" w:rsidR="002A4F19" w:rsidRDefault="002A4F19" w:rsidP="009F7709">
      <w:pPr>
        <w:rPr>
          <w:lang w:val="es-MX"/>
        </w:rPr>
      </w:pPr>
    </w:p>
    <w:p w14:paraId="1976DE45" w14:textId="136D68A9" w:rsidR="002A4F19" w:rsidRPr="002A4F19" w:rsidRDefault="002A4F19" w:rsidP="009F7709">
      <w:pPr>
        <w:rPr>
          <w:lang w:val="es-MX"/>
        </w:rPr>
      </w:pPr>
      <w:r w:rsidRPr="002A4F19">
        <w:rPr>
          <w:b/>
          <w:bCs/>
          <w:lang w:val="es-MX"/>
        </w:rPr>
        <w:t>MACÍA (2026):</w:t>
      </w:r>
      <w:r>
        <w:rPr>
          <w:lang w:val="es-MX"/>
        </w:rPr>
        <w:t xml:space="preserve"> </w:t>
      </w:r>
      <w:r w:rsidRPr="002A4F19">
        <w:rPr>
          <w:lang w:val="es-MX"/>
        </w:rPr>
        <w:t xml:space="preserve">Una técnica, por ejemplo, de estimulación neuronal profunda para tratar el  comportamiento  obsesivo  compulsivo  limitará  los  impulsos  del  paciente,  produciendo una </w:t>
      </w:r>
      <w:r w:rsidR="00B1071B" w:rsidRPr="002A4F19">
        <w:rPr>
          <w:lang w:val="es-MX"/>
        </w:rPr>
        <w:t>injerencia en</w:t>
      </w:r>
      <w:r w:rsidRPr="002A4F19">
        <w:rPr>
          <w:lang w:val="es-MX"/>
        </w:rPr>
        <w:t xml:space="preserve">  su  libertad  de  pensamiento;  la  implantación  de  un  dispositivo  de  interfaz cerebro computadora a un paciente con parálisis puede alterar su personalidad, distorsionar su sentido del yo y su sentimiento de agencia; una resonancia magnética funcional permite extraer un  amplio  volumen  de  los  procesos  neuronales  que  proporcionan  una  importante  información que puede acercar a conocer aspectos íntimos del </w:t>
      </w:r>
      <w:r w:rsidR="00B1071B" w:rsidRPr="002A4F19">
        <w:rPr>
          <w:lang w:val="es-MX"/>
        </w:rPr>
        <w:t>paciente; y</w:t>
      </w:r>
      <w:r w:rsidRPr="002A4F19">
        <w:rPr>
          <w:lang w:val="es-MX"/>
        </w:rPr>
        <w:t xml:space="preserve"> así sucesivamente.</w:t>
      </w:r>
    </w:p>
    <w:p w14:paraId="3451CDE6" w14:textId="77777777" w:rsidR="002A4F19" w:rsidRDefault="002A4F19" w:rsidP="009F7709">
      <w:pPr>
        <w:rPr>
          <w:lang w:val="es-MX"/>
        </w:rPr>
      </w:pPr>
    </w:p>
    <w:p w14:paraId="6E4E3E0E" w14:textId="118FEF95" w:rsidR="007342AA" w:rsidRDefault="002A4F19" w:rsidP="009F7709">
      <w:pPr>
        <w:rPr>
          <w:lang w:val="es-MX"/>
        </w:rPr>
      </w:pPr>
      <w:r>
        <w:rPr>
          <w:lang w:val="es-MX"/>
        </w:rPr>
        <w:t xml:space="preserve">Además, es incierta la situación a que se presente a un paciente </w:t>
      </w:r>
      <w:r w:rsidR="007342AA">
        <w:rPr>
          <w:lang w:val="es-MX"/>
        </w:rPr>
        <w:t xml:space="preserve">con una enfermedad que merme su capacidad de consentimiento pleno o sea influenciado por las expectativas de seres queridos. </w:t>
      </w:r>
      <w:r w:rsidR="007342AA">
        <w:rPr>
          <w:lang w:val="es-MX"/>
        </w:rPr>
        <w:t>En segundo lugar, el principio de benefic</w:t>
      </w:r>
      <w:r w:rsidR="007342AA">
        <w:rPr>
          <w:lang w:val="es-MX"/>
        </w:rPr>
        <w:t>encia</w:t>
      </w:r>
      <w:r w:rsidR="007342AA">
        <w:rPr>
          <w:lang w:val="es-MX"/>
        </w:rPr>
        <w:t>.</w:t>
      </w:r>
      <w:r w:rsidR="007342AA">
        <w:rPr>
          <w:lang w:val="es-MX"/>
        </w:rPr>
        <w:t xml:space="preserve"> La aplicación de estos dispositivos no se encuentra libre de riesgos inherentes </w:t>
      </w:r>
      <w:r w:rsidR="005309AE">
        <w:rPr>
          <w:lang w:val="es-MX"/>
        </w:rPr>
        <w:t>de</w:t>
      </w:r>
      <w:r w:rsidR="007342AA">
        <w:rPr>
          <w:lang w:val="es-MX"/>
        </w:rPr>
        <w:t xml:space="preserve"> cirugías cerebrales u otros efectos adversos a </w:t>
      </w:r>
      <w:r w:rsidR="005309AE">
        <w:rPr>
          <w:lang w:val="es-MX"/>
        </w:rPr>
        <w:t xml:space="preserve">medio o </w:t>
      </w:r>
      <w:r w:rsidR="007342AA">
        <w:rPr>
          <w:lang w:val="es-MX"/>
        </w:rPr>
        <w:t>largo plazo</w:t>
      </w:r>
      <w:r w:rsidR="002853AC">
        <w:rPr>
          <w:lang w:val="es-MX"/>
        </w:rPr>
        <w:t xml:space="preserve">. </w:t>
      </w:r>
      <w:r w:rsidR="002853AC" w:rsidRPr="002853AC">
        <w:rPr>
          <w:lang w:val="es-MX"/>
        </w:rPr>
        <w:t>Lavaz</w:t>
      </w:r>
      <w:r w:rsidR="002853AC">
        <w:rPr>
          <w:lang w:val="es-MX"/>
        </w:rPr>
        <w:t>z</w:t>
      </w:r>
      <w:r w:rsidR="002853AC" w:rsidRPr="002853AC">
        <w:rPr>
          <w:lang w:val="es-MX"/>
        </w:rPr>
        <w:t>a et al. (2025) afirm</w:t>
      </w:r>
      <w:r w:rsidR="002853AC">
        <w:rPr>
          <w:lang w:val="es-MX"/>
        </w:rPr>
        <w:t>a sobre</w:t>
      </w:r>
      <w:r w:rsidR="002853AC" w:rsidRPr="002853AC">
        <w:rPr>
          <w:lang w:val="es-MX"/>
        </w:rPr>
        <w:t xml:space="preserve"> los potenciales efectos a medio y largo plazo, incluyendo la calidad de la señal, longevidad del dispositivo y la experiencia del usuario. </w:t>
      </w:r>
      <w:r w:rsidR="002853AC" w:rsidRPr="002853AC">
        <w:rPr>
          <w:lang w:val="es-MX"/>
        </w:rPr>
        <w:t>Además,</w:t>
      </w:r>
      <w:r w:rsidR="002853AC" w:rsidRPr="002853AC">
        <w:rPr>
          <w:lang w:val="es-MX"/>
        </w:rPr>
        <w:t xml:space="preserve"> la probabilidad de extracción o reemplazo del dispositivo y los riesgos asociados a la intervención</w:t>
      </w:r>
      <w:r w:rsidR="002853AC">
        <w:rPr>
          <w:lang w:val="es-MX"/>
        </w:rPr>
        <w:t>; funcionamiento defectuoso</w:t>
      </w:r>
      <w:r w:rsidR="002853AC" w:rsidRPr="002853AC">
        <w:rPr>
          <w:lang w:val="es-MX"/>
        </w:rPr>
        <w:t xml:space="preserve"> súbit</w:t>
      </w:r>
      <w:r w:rsidR="002853AC">
        <w:rPr>
          <w:lang w:val="es-MX"/>
        </w:rPr>
        <w:t>o</w:t>
      </w:r>
      <w:r w:rsidR="002853AC" w:rsidRPr="002853AC">
        <w:rPr>
          <w:lang w:val="es-MX"/>
        </w:rPr>
        <w:t xml:space="preserve"> y la sobrecarga del cerebro por la interacción por dispositivos externos</w:t>
      </w:r>
      <w:r w:rsidR="002853AC">
        <w:rPr>
          <w:lang w:val="es-MX"/>
        </w:rPr>
        <w:t xml:space="preserve">. </w:t>
      </w:r>
      <w:r w:rsidR="00B1071B">
        <w:rPr>
          <w:lang w:val="es-MX"/>
        </w:rPr>
        <w:t>En consecuencia</w:t>
      </w:r>
      <w:r w:rsidR="002853AC">
        <w:rPr>
          <w:lang w:val="es-MX"/>
        </w:rPr>
        <w:t>, se debe priorizar la obtención de un beneficio para la salud para aquellos que lo acuden</w:t>
      </w:r>
      <w:r w:rsidR="007342AA">
        <w:rPr>
          <w:lang w:val="es-MX"/>
        </w:rPr>
        <w:t xml:space="preserve">. </w:t>
      </w:r>
      <w:r w:rsidR="00E560A4">
        <w:rPr>
          <w:lang w:val="es-MX"/>
        </w:rPr>
        <w:t>Finalmente</w:t>
      </w:r>
      <w:r w:rsidR="005309AE">
        <w:rPr>
          <w:lang w:val="es-MX"/>
        </w:rPr>
        <w:t xml:space="preserve">, el principio de justicia. </w:t>
      </w:r>
      <w:r w:rsidR="00B1071B" w:rsidRPr="00B1071B">
        <w:rPr>
          <w:lang w:val="es-MX"/>
        </w:rPr>
        <w:t xml:space="preserve">Este principio pone en tela de juicio la posible accesibilidad que tenga este tipo de </w:t>
      </w:r>
      <w:r w:rsidR="00B1071B" w:rsidRPr="00B1071B">
        <w:rPr>
          <w:lang w:val="es-MX"/>
        </w:rPr>
        <w:t>tecnología</w:t>
      </w:r>
      <w:r w:rsidR="00B1071B" w:rsidRPr="00B1071B">
        <w:rPr>
          <w:lang w:val="es-MX"/>
        </w:rPr>
        <w:t xml:space="preserve"> y evitar </w:t>
      </w:r>
      <w:r w:rsidR="00B1071B" w:rsidRPr="00B1071B">
        <w:rPr>
          <w:lang w:val="es-MX"/>
        </w:rPr>
        <w:t>exacerbar</w:t>
      </w:r>
      <w:r w:rsidR="00B1071B" w:rsidRPr="00B1071B">
        <w:rPr>
          <w:lang w:val="es-MX"/>
        </w:rPr>
        <w:t xml:space="preserve"> brechas médicas ya existentes. Entre centros de investigación privados y pacientes con los recursos </w:t>
      </w:r>
      <w:r w:rsidR="00B1071B" w:rsidRPr="00B1071B">
        <w:rPr>
          <w:lang w:val="es-MX"/>
        </w:rPr>
        <w:lastRenderedPageBreak/>
        <w:t xml:space="preserve">económicos para </w:t>
      </w:r>
      <w:r w:rsidR="00B1071B" w:rsidRPr="00B1071B">
        <w:rPr>
          <w:lang w:val="es-MX"/>
        </w:rPr>
        <w:t>permitírselos</w:t>
      </w:r>
      <w:r w:rsidR="00B1071B" w:rsidRPr="00B1071B">
        <w:rPr>
          <w:lang w:val="es-MX"/>
        </w:rPr>
        <w:t xml:space="preserve">, </w:t>
      </w:r>
      <w:r w:rsidR="00B1071B">
        <w:rPr>
          <w:lang w:val="es-MX"/>
        </w:rPr>
        <w:t xml:space="preserve">también </w:t>
      </w:r>
      <w:r w:rsidR="00B1071B" w:rsidRPr="00B1071B">
        <w:rPr>
          <w:lang w:val="es-MX"/>
        </w:rPr>
        <w:t xml:space="preserve">se debe tomar en cuenta quien se beneficia del desarrollo e </w:t>
      </w:r>
      <w:r w:rsidR="00B1071B" w:rsidRPr="00B1071B">
        <w:rPr>
          <w:lang w:val="es-MX"/>
        </w:rPr>
        <w:t>implementación</w:t>
      </w:r>
      <w:r w:rsidR="00B1071B" w:rsidRPr="00B1071B">
        <w:rPr>
          <w:lang w:val="es-MX"/>
        </w:rPr>
        <w:t xml:space="preserve"> de esta </w:t>
      </w:r>
      <w:r w:rsidR="00B1071B" w:rsidRPr="00B1071B">
        <w:rPr>
          <w:lang w:val="es-MX"/>
        </w:rPr>
        <w:t>tecnología</w:t>
      </w:r>
      <w:r w:rsidR="00B1071B" w:rsidRPr="00B1071B">
        <w:rPr>
          <w:lang w:val="es-MX"/>
        </w:rPr>
        <w:t>, y quien participa en su diseño y aplicación</w:t>
      </w:r>
      <w:r w:rsidR="00B1071B">
        <w:rPr>
          <w:lang w:val="es-MX"/>
        </w:rPr>
        <w:t xml:space="preserve"> </w:t>
      </w:r>
      <w:r w:rsidR="00B1071B">
        <w:rPr>
          <w:lang w:val="es-MX"/>
        </w:rPr>
        <w:t>(Becerra, 2025)</w:t>
      </w:r>
      <w:r w:rsidR="00B1071B">
        <w:rPr>
          <w:lang w:val="es-MX"/>
        </w:rPr>
        <w:t>. Por estos motivos, un campo tan novedoso como el BCI presenta una serie de principios bioéticos ligados a su empleo y funcionamiento con el cerebro.</w:t>
      </w:r>
    </w:p>
    <w:p w14:paraId="7AE05388" w14:textId="77777777" w:rsidR="00B1071B" w:rsidRDefault="00B1071B" w:rsidP="009F7709">
      <w:pPr>
        <w:rPr>
          <w:lang w:val="es-MX"/>
        </w:rPr>
      </w:pPr>
    </w:p>
    <w:p w14:paraId="537639F4" w14:textId="26F87C5E" w:rsidR="00B1071B" w:rsidRPr="002A4F19" w:rsidRDefault="00B1071B" w:rsidP="00B1071B">
      <w:pPr>
        <w:rPr>
          <w:lang w:val="es-MX"/>
        </w:rPr>
      </w:pPr>
      <w:hyperlink r:id="rId4" w:history="1">
        <w:r w:rsidRPr="002A4F19">
          <w:rPr>
            <w:rStyle w:val="Hyperlink"/>
            <w:lang w:val="es-MX"/>
          </w:rPr>
          <w:t>https://personaybioetica.unisabana.edu.co/index.php/personaybioetica/article/view/26217/9520</w:t>
        </w:r>
      </w:hyperlink>
      <w:r w:rsidRPr="002A4F19">
        <w:rPr>
          <w:lang w:val="es-MX"/>
        </w:rPr>
        <w:t xml:space="preserve">  Becer</w:t>
      </w:r>
      <w:r>
        <w:rPr>
          <w:lang w:val="es-MX"/>
        </w:rPr>
        <w:t>ra</w:t>
      </w:r>
      <w:r>
        <w:rPr>
          <w:lang w:val="es-MX"/>
        </w:rPr>
        <w:t xml:space="preserve"> (</w:t>
      </w:r>
      <w:r>
        <w:rPr>
          <w:lang w:val="es-MX"/>
        </w:rPr>
        <w:t>2025)</w:t>
      </w:r>
    </w:p>
    <w:p w14:paraId="799A3A27" w14:textId="65024632" w:rsidR="00B1071B" w:rsidRDefault="00B1071B" w:rsidP="00B1071B">
      <w:pPr>
        <w:rPr>
          <w:lang w:val="es-MX"/>
        </w:rPr>
      </w:pPr>
      <w:hyperlink r:id="rId5" w:history="1">
        <w:r w:rsidRPr="002A4F19">
          <w:rPr>
            <w:rStyle w:val="Hyperlink"/>
            <w:lang w:val="es-MX"/>
          </w:rPr>
          <w:t>https://dialnet.unirioja.es/servlet/articulo?codigo=2037551</w:t>
        </w:r>
      </w:hyperlink>
      <w:r w:rsidRPr="002A4F19">
        <w:rPr>
          <w:lang w:val="es-MX"/>
        </w:rPr>
        <w:t xml:space="preserve"> </w:t>
      </w:r>
      <w:r>
        <w:rPr>
          <w:lang w:val="es-MX"/>
        </w:rPr>
        <w:t>G</w:t>
      </w:r>
      <w:r w:rsidRPr="002A4F19">
        <w:rPr>
          <w:lang w:val="es-MX"/>
        </w:rPr>
        <w:t>a</w:t>
      </w:r>
      <w:r>
        <w:rPr>
          <w:lang w:val="es-MX"/>
        </w:rPr>
        <w:t>rcia</w:t>
      </w:r>
      <w:r>
        <w:rPr>
          <w:lang w:val="es-MX"/>
        </w:rPr>
        <w:t xml:space="preserve"> (</w:t>
      </w:r>
      <w:r>
        <w:rPr>
          <w:lang w:val="es-MX"/>
        </w:rPr>
        <w:t>2006</w:t>
      </w:r>
      <w:r>
        <w:rPr>
          <w:lang w:val="es-MX"/>
        </w:rPr>
        <w:t>)</w:t>
      </w:r>
    </w:p>
    <w:p w14:paraId="2CB5D551" w14:textId="77777777" w:rsidR="00B1071B" w:rsidRDefault="00B1071B" w:rsidP="00B1071B">
      <w:pPr>
        <w:rPr>
          <w:lang w:val="es-MX"/>
        </w:rPr>
      </w:pPr>
      <w:hyperlink r:id="rId6" w:history="1">
        <w:r w:rsidRPr="007342AA">
          <w:rPr>
            <w:rStyle w:val="Hyperlink"/>
            <w:lang w:val="es-MX"/>
          </w:rPr>
          <w:t>https://ojs.ehu.eus/index.php/rdgh/article/view/28175/26199</w:t>
        </w:r>
      </w:hyperlink>
      <w:r w:rsidRPr="007342AA">
        <w:rPr>
          <w:lang w:val="es-MX"/>
        </w:rPr>
        <w:t xml:space="preserve"> Mací</w:t>
      </w:r>
      <w:r>
        <w:rPr>
          <w:lang w:val="es-MX"/>
        </w:rPr>
        <w:t>a (2026)</w:t>
      </w:r>
    </w:p>
    <w:p w14:paraId="56C554AC" w14:textId="77777777" w:rsidR="00B1071B" w:rsidRPr="00E560A4" w:rsidRDefault="00B1071B" w:rsidP="00B1071B">
      <w:pPr>
        <w:rPr>
          <w:lang w:val="es-MX"/>
        </w:rPr>
      </w:pPr>
      <w:hyperlink r:id="rId7" w:history="1">
        <w:r w:rsidRPr="00E560A4">
          <w:rPr>
            <w:rStyle w:val="Hyperlink"/>
            <w:lang w:val="es-MX"/>
          </w:rPr>
          <w:t>https://www.frontiersin.org/journals/human-dynamics/articles/10.3389/fhumd.2025.1553905/full</w:t>
        </w:r>
      </w:hyperlink>
      <w:r w:rsidRPr="00E560A4">
        <w:rPr>
          <w:lang w:val="es-MX"/>
        </w:rPr>
        <w:t xml:space="preserve"> Lava</w:t>
      </w:r>
      <w:r>
        <w:rPr>
          <w:lang w:val="es-MX"/>
        </w:rPr>
        <w:t>zza (2025)</w:t>
      </w:r>
    </w:p>
    <w:p w14:paraId="4CE1FCCE" w14:textId="77777777" w:rsidR="00B1071B" w:rsidRDefault="00B1071B" w:rsidP="009F7709">
      <w:pPr>
        <w:rPr>
          <w:lang w:val="es-MX"/>
        </w:rPr>
      </w:pPr>
    </w:p>
    <w:p w14:paraId="310B5C8E" w14:textId="77777777" w:rsidR="00B1071B" w:rsidRPr="00B1071B" w:rsidRDefault="00B1071B" w:rsidP="00B1071B">
      <w:pPr>
        <w:rPr>
          <w:b/>
          <w:bCs/>
          <w:lang w:val="es-MX"/>
        </w:rPr>
      </w:pPr>
      <w:r w:rsidRPr="00B1071B">
        <w:rPr>
          <w:b/>
          <w:bCs/>
          <w:lang w:val="es-MX"/>
        </w:rPr>
        <w:t>MODIFICAMIENTO DE LA PSIQUE</w:t>
      </w:r>
    </w:p>
    <w:p w14:paraId="2DCB29EE" w14:textId="1AB28FA5" w:rsidR="00B1071B" w:rsidRDefault="00C17AA4" w:rsidP="00B81781">
      <w:pPr>
        <w:rPr>
          <w:lang w:val="es-MX"/>
        </w:rPr>
      </w:pPr>
      <w:r>
        <w:rPr>
          <w:lang w:val="es-MX"/>
        </w:rPr>
        <w:t xml:space="preserve">La integridad mental de una preocupación crítica, ya que las BCI no tienen únicamente la capacidad de leer información, sino de modificarla y cambiarla. </w:t>
      </w:r>
      <w:r w:rsidRPr="00C17AA4">
        <w:rPr>
          <w:lang w:val="es-MX"/>
        </w:rPr>
        <w:t>Götte</w:t>
      </w:r>
      <w:r>
        <w:rPr>
          <w:lang w:val="es-MX"/>
        </w:rPr>
        <w:t xml:space="preserve"> (2024) argumenta que la </w:t>
      </w:r>
      <w:r w:rsidRPr="00C17AA4">
        <w:rPr>
          <w:i/>
          <w:iCs/>
          <w:highlight w:val="yellow"/>
          <w:lang w:val="es-MX"/>
        </w:rPr>
        <w:t>estimulación cerebral profunda</w:t>
      </w:r>
      <w:r>
        <w:rPr>
          <w:lang w:val="es-MX"/>
        </w:rPr>
        <w:t xml:space="preserve"> (ECP) puede potencialmente socavar la identidad personal e inducir el autodistanciamiento, ya que tienen como objetivo áreas específicas del cerebro alterando estados de ánimo, deseos, conductas e incluso valores.</w:t>
      </w:r>
      <w:r w:rsidR="003C35C2">
        <w:rPr>
          <w:lang w:val="es-MX"/>
        </w:rPr>
        <w:t xml:space="preserve"> Por otra parte, Alonso (2022) argumenta que la identidad personal no es amenazada por tecnologías que afectan el cerebro, ya que, </w:t>
      </w:r>
      <w:r w:rsidR="00157827">
        <w:rPr>
          <w:lang w:val="es-MX"/>
        </w:rPr>
        <w:t>a pesar de que</w:t>
      </w:r>
      <w:r w:rsidR="003C35C2">
        <w:rPr>
          <w:lang w:val="es-MX"/>
        </w:rPr>
        <w:t xml:space="preserve"> implique un cambio en la identidad, se debe tomar un modelo dinámico de identidad para comprender que </w:t>
      </w:r>
      <w:r w:rsidR="00157827">
        <w:rPr>
          <w:lang w:val="es-MX"/>
        </w:rPr>
        <w:t xml:space="preserve">este cambio </w:t>
      </w:r>
      <w:r w:rsidR="003C35C2">
        <w:rPr>
          <w:lang w:val="es-MX"/>
        </w:rPr>
        <w:t>no se trata de una “nueva persona”.</w:t>
      </w:r>
    </w:p>
    <w:p w14:paraId="1D67AA6E" w14:textId="77777777" w:rsidR="00C17AA4" w:rsidRPr="00C17AA4" w:rsidRDefault="00C17AA4" w:rsidP="00C17AA4">
      <w:pPr>
        <w:rPr>
          <w:lang w:val="es-MX"/>
        </w:rPr>
      </w:pPr>
    </w:p>
    <w:p w14:paraId="793FC2CF" w14:textId="3E63CBB7" w:rsidR="00C17AA4" w:rsidRDefault="00C17AA4" w:rsidP="00C17AA4">
      <w:hyperlink r:id="rId8" w:history="1">
        <w:r w:rsidRPr="00C17AA4">
          <w:rPr>
            <w:rStyle w:val="Hyperlink"/>
          </w:rPr>
          <w:t>https://www.scielo.cl/pdf/veritas/n59/0718-9273-veritas-59-7.pdf</w:t>
        </w:r>
      </w:hyperlink>
      <w:r w:rsidRPr="00C17AA4">
        <w:t xml:space="preserve"> </w:t>
      </w:r>
      <w:r>
        <w:t>G</w:t>
      </w:r>
      <w:r w:rsidRPr="00C17AA4">
        <w:t>ötte</w:t>
      </w:r>
      <w:r>
        <w:t xml:space="preserve"> (2024)</w:t>
      </w:r>
    </w:p>
    <w:p w14:paraId="5C03931E" w14:textId="4977807C" w:rsidR="003C35C2" w:rsidRPr="003C35C2" w:rsidRDefault="003C35C2" w:rsidP="00C17AA4">
      <w:hyperlink r:id="rId9" w:history="1">
        <w:r w:rsidRPr="003C35C2">
          <w:rPr>
            <w:rStyle w:val="Hyperlink"/>
          </w:rPr>
          <w:t>https://dialnet.unirioja.es/servlet/articulo?codigo=8724142</w:t>
        </w:r>
      </w:hyperlink>
      <w:r w:rsidRPr="003C35C2">
        <w:t xml:space="preserve"> Alon</w:t>
      </w:r>
      <w:r>
        <w:t>so (2022)</w:t>
      </w:r>
    </w:p>
    <w:p w14:paraId="3BEA0B62" w14:textId="1FEBD5FE" w:rsidR="00B81781" w:rsidRPr="003C35C2" w:rsidRDefault="00B81781" w:rsidP="00B81781">
      <w:pPr>
        <w:rPr>
          <w:lang w:val="es-MX"/>
        </w:rPr>
      </w:pPr>
      <w:r w:rsidRPr="003C35C2">
        <w:br w:type="page"/>
      </w:r>
      <w:r w:rsidRPr="003C35C2">
        <w:rPr>
          <w:b/>
          <w:bCs/>
          <w:lang w:val="es-MX"/>
        </w:rPr>
        <w:lastRenderedPageBreak/>
        <w:t>NEURODERECHOS</w:t>
      </w:r>
    </w:p>
    <w:p w14:paraId="1CC38DB0" w14:textId="758C871C" w:rsidR="00B81781" w:rsidRPr="00B81781" w:rsidRDefault="00B81781" w:rsidP="00B81781">
      <w:pPr>
        <w:rPr>
          <w:lang w:val="es-MX"/>
        </w:rPr>
      </w:pPr>
      <w:r w:rsidRPr="00B81781">
        <w:rPr>
          <w:lang w:val="es-MX"/>
        </w:rPr>
        <w:t xml:space="preserve">El constante trabajo colaborativo de expertos en neuroética, bioeticistas, juristas, filósofos y neurocientíficos ha dado como resultado nuevas propuestas desde entonces. En el año 2019, Yuste crea la Neuro Rights Innitiative (NRI) que posteriormente otorga los insumos para que se creara, en el 2022 en la Universidad de Columbia en Nueva York, la fundación Neuro Rights con el objetivo </w:t>
      </w:r>
      <w:r w:rsidRPr="00B81781">
        <w:rPr>
          <w:lang w:val="es-MX"/>
        </w:rPr>
        <w:t>de promover la innovación tecnológica protegiendo</w:t>
      </w:r>
      <w:r w:rsidRPr="00B81781">
        <w:rPr>
          <w:lang w:val="es-MX"/>
        </w:rPr>
        <w:t xml:space="preserve"> los Derechos Humanos. Esta fundación estima que el </w:t>
      </w:r>
      <w:r w:rsidRPr="00B81781">
        <w:rPr>
          <w:lang w:val="es-MX"/>
        </w:rPr>
        <w:t>mercado global de las neurotecnologías pasará de 15 mil</w:t>
      </w:r>
      <w:r w:rsidRPr="00B81781">
        <w:rPr>
          <w:lang w:val="es-MX"/>
        </w:rPr>
        <w:t xml:space="preserve"> millones de dólares en el 2023, a 55 mil millones de dólares en el 2032; en otras palabras, cuadruplicará su valor en tan solo nueve años. Bajo esta iniciativa se propone la creación de cinco neuroderechos (22)</w:t>
      </w:r>
    </w:p>
    <w:p w14:paraId="151F5FAC" w14:textId="6C09EE24" w:rsidR="00B81781" w:rsidRPr="00B81781" w:rsidRDefault="00B81781" w:rsidP="00B81781">
      <w:pPr>
        <w:rPr>
          <w:lang w:val="es-MX"/>
        </w:rPr>
      </w:pPr>
      <w:r w:rsidRPr="00B81781">
        <w:rPr>
          <w:lang w:val="es-MX"/>
        </w:rPr>
        <w:t xml:space="preserve">1. </w:t>
      </w:r>
      <w:r w:rsidRPr="00B81781">
        <w:rPr>
          <w:lang w:val="es-MX"/>
        </w:rPr>
        <w:t>Derecho a la identidad personal</w:t>
      </w:r>
      <w:r w:rsidRPr="00B81781">
        <w:rPr>
          <w:lang w:val="es-MX"/>
        </w:rPr>
        <w:t xml:space="preserve">:  </w:t>
      </w:r>
      <w:r w:rsidRPr="00B81781">
        <w:rPr>
          <w:lang w:val="es-MX"/>
        </w:rPr>
        <w:t>establecimiento de</w:t>
      </w:r>
      <w:r w:rsidRPr="00B81781">
        <w:rPr>
          <w:lang w:val="es-MX"/>
        </w:rPr>
        <w:t xml:space="preserve"> límites claros y estrictos para no permitir que la tecnología interrumpa el sentido ser de uno mismo, es decir, establecer límites entre la conciencia de una persona y los insumos tecnológicos externos, esto es, el derecho a no ser modificado sin el consentimiento explícito. Las BCI, especialmente las que permiten la escritura cerebral o la modulación neuronal, podrían, en teoría, influir o incluso modificar la percepción, la memoria o el estado de ánimo de una persona.</w:t>
      </w:r>
    </w:p>
    <w:p w14:paraId="6FA60EF1" w14:textId="1DB19FC4" w:rsidR="00B81781" w:rsidRPr="00B81781" w:rsidRDefault="00B81781" w:rsidP="00B81781">
      <w:pPr>
        <w:rPr>
          <w:lang w:val="es-MX"/>
        </w:rPr>
      </w:pPr>
      <w:r w:rsidRPr="00B81781">
        <w:rPr>
          <w:lang w:val="es-MX"/>
        </w:rPr>
        <w:t xml:space="preserve">2. Derecho al libre albedrío: protección al control que </w:t>
      </w:r>
      <w:r w:rsidRPr="00B81781">
        <w:rPr>
          <w:lang w:val="es-MX"/>
        </w:rPr>
        <w:t>una persona tiene sobre la toma de decisiones sin manipulación</w:t>
      </w:r>
      <w:r w:rsidRPr="00B81781">
        <w:rPr>
          <w:lang w:val="es-MX"/>
        </w:rPr>
        <w:t xml:space="preserve"> por parte de estas neurotecnologías, como las BCI. Está íntimamente ligado al principio de autonomía: si una BCI es capaz de influir en nuestras intenciones o de inducir acciones, la noción de libre albedrío se vería comprometida. Este derecho salvaguarda la libertad de elección en su dimensión más íntima.</w:t>
      </w:r>
    </w:p>
    <w:p w14:paraId="50981C00" w14:textId="2ACF93EE" w:rsidR="00B81781" w:rsidRPr="00B81781" w:rsidRDefault="00B81781" w:rsidP="00B81781">
      <w:pPr>
        <w:rPr>
          <w:lang w:val="es-MX"/>
        </w:rPr>
      </w:pPr>
      <w:r w:rsidRPr="00B81781">
        <w:rPr>
          <w:lang w:val="es-MX"/>
        </w:rPr>
        <w:t xml:space="preserve">3. </w:t>
      </w:r>
      <w:r w:rsidRPr="00B81781">
        <w:rPr>
          <w:lang w:val="es-MX"/>
        </w:rPr>
        <w:t>Derecho a la privacidad mental</w:t>
      </w:r>
      <w:r w:rsidRPr="00B81781">
        <w:rPr>
          <w:lang w:val="es-MX"/>
        </w:rPr>
        <w:t xml:space="preserve">:  </w:t>
      </w:r>
      <w:r w:rsidRPr="00B81781">
        <w:rPr>
          <w:lang w:val="es-MX"/>
        </w:rPr>
        <w:t>protección a los datos</w:t>
      </w:r>
      <w:r w:rsidRPr="00B81781">
        <w:rPr>
          <w:lang w:val="es-MX"/>
        </w:rPr>
        <w:t xml:space="preserve"> neuronales como datos sensibles, incluyendo el derecho de eliminación de estos datos a petición de la persona, protección ante la posible venta, </w:t>
      </w:r>
      <w:r w:rsidRPr="00B81781">
        <w:rPr>
          <w:lang w:val="es-MX"/>
        </w:rPr>
        <w:t>transferencia</w:t>
      </w:r>
      <w:r w:rsidRPr="00B81781">
        <w:rPr>
          <w:lang w:val="es-MX"/>
        </w:rPr>
        <w:t xml:space="preserve"> comercial y estricta regulación sobre su uso.</w:t>
      </w:r>
    </w:p>
    <w:p w14:paraId="76770DEE" w14:textId="3AA1D322" w:rsidR="00B81781" w:rsidRPr="00B81781" w:rsidRDefault="00B81781" w:rsidP="00B81781">
      <w:pPr>
        <w:rPr>
          <w:lang w:val="es-MX"/>
        </w:rPr>
      </w:pPr>
      <w:r w:rsidRPr="00B81781">
        <w:rPr>
          <w:lang w:val="es-MX"/>
        </w:rPr>
        <w:t xml:space="preserve">4. Acceso equitativo al aumento mental o mejora </w:t>
      </w:r>
      <w:r w:rsidRPr="00B81781">
        <w:rPr>
          <w:lang w:val="es-MX"/>
        </w:rPr>
        <w:t>cognitiva</w:t>
      </w:r>
      <w:r w:rsidRPr="00B81781">
        <w:rPr>
          <w:lang w:val="es-MX"/>
        </w:rPr>
        <w:t xml:space="preserve">: establecimiento de directrices claras tanto a nivel nacional como internacional, que regulen el uso de neurotecnologías enfocadas en la mejora cognitiva, o enhancement, fundamentadas en los principios de </w:t>
      </w:r>
      <w:r w:rsidRPr="00B81781">
        <w:rPr>
          <w:lang w:val="es-MX"/>
        </w:rPr>
        <w:t>justicia e igualdad, especialmente en su acceso</w:t>
      </w:r>
      <w:r w:rsidRPr="00B81781">
        <w:rPr>
          <w:lang w:val="es-MX"/>
        </w:rPr>
        <w:t xml:space="preserve">.  </w:t>
      </w:r>
      <w:r w:rsidRPr="00B81781">
        <w:rPr>
          <w:lang w:val="es-MX"/>
        </w:rPr>
        <w:t>Si las</w:t>
      </w:r>
      <w:r w:rsidRPr="00B81781">
        <w:rPr>
          <w:lang w:val="es-MX"/>
        </w:rPr>
        <w:t xml:space="preserve"> BCI ofrecen beneficios terapéuticos o de mejora significativos, su acceso no puede convertirse en un privilegio exclusivo para unos pocos. Este derecho implicaría la obligación de los estados y de la </w:t>
      </w:r>
      <w:r w:rsidRPr="00B81781">
        <w:rPr>
          <w:lang w:val="es-MX"/>
        </w:rPr>
        <w:t>comunidad</w:t>
      </w:r>
      <w:r w:rsidRPr="00B81781">
        <w:rPr>
          <w:lang w:val="es-MX"/>
        </w:rPr>
        <w:t xml:space="preserve"> internacional de asegurar que estas tecnologías sean asequibles y accesibles para todos aquellos que </w:t>
      </w:r>
      <w:r w:rsidRPr="00B81781">
        <w:rPr>
          <w:lang w:val="es-MX"/>
        </w:rPr>
        <w:t>las necesiten, evitando la creación de una brecha neurotecnológica</w:t>
      </w:r>
      <w:r w:rsidRPr="00B81781">
        <w:rPr>
          <w:lang w:val="es-MX"/>
        </w:rPr>
        <w:t xml:space="preserve"> que profundice las desigualdades sociales y de salud.</w:t>
      </w:r>
    </w:p>
    <w:p w14:paraId="505E4CCF" w14:textId="6AC39C30" w:rsidR="00B81781" w:rsidRPr="00B81781" w:rsidRDefault="00B81781" w:rsidP="00B81781">
      <w:pPr>
        <w:rPr>
          <w:lang w:val="es-MX"/>
        </w:rPr>
      </w:pPr>
      <w:r w:rsidRPr="00B81781">
        <w:rPr>
          <w:lang w:val="es-MX"/>
        </w:rPr>
        <w:lastRenderedPageBreak/>
        <w:t xml:space="preserve">5. Protección contra el sesgo: dispone las medidas </w:t>
      </w:r>
      <w:r w:rsidRPr="00B81781">
        <w:rPr>
          <w:lang w:val="es-MX"/>
        </w:rPr>
        <w:t>necesarias</w:t>
      </w:r>
      <w:r w:rsidRPr="00B81781">
        <w:rPr>
          <w:lang w:val="es-MX"/>
        </w:rPr>
        <w:t xml:space="preserve"> para contrarrestar los sesgos en los algoritmos de las IA y las BCI. Los algoritmos que interpretan las señales cerebrales y que subyacen a las BCI son desarrollados por humanos, por lo tanto, pueden heredar o amplificar sesgos inconscientes. Actualmente, se han identificado múltiples sesgos en la información que alimenta los sistemas de IA, los cuales complementan las neurotecnologías, incluidas las BCI, por lo que podrían llevar a que la decodificación de la actividad cerebral sea errónea o sesgada para ciertos grupos demográficos o que las BCI funcionen de manera menos efectiva para ellos, generando nuevas formas de discriminación o exclusión</w:t>
      </w:r>
      <w:r>
        <w:rPr>
          <w:lang w:val="es-MX"/>
        </w:rPr>
        <w:t>.</w:t>
      </w:r>
    </w:p>
    <w:p w14:paraId="4CB58A06" w14:textId="35FA7617" w:rsidR="00B81781" w:rsidRPr="00B81781" w:rsidRDefault="00B81781" w:rsidP="00B81781">
      <w:pPr>
        <w:rPr>
          <w:lang w:val="es-MX"/>
        </w:rPr>
      </w:pPr>
      <w:r w:rsidRPr="00B81781">
        <w:rPr>
          <w:i/>
          <w:iCs/>
          <w:lang w:val="es-MX"/>
        </w:rPr>
        <w:t>Habeas mentes</w:t>
      </w:r>
      <w:r>
        <w:rPr>
          <w:lang w:val="es-MX"/>
        </w:rPr>
        <w:t>.</w:t>
      </w:r>
    </w:p>
    <w:p w14:paraId="6B7CE670" w14:textId="77777777" w:rsidR="00B81781" w:rsidRPr="00B81781" w:rsidRDefault="00B81781" w:rsidP="00B81781">
      <w:pPr>
        <w:rPr>
          <w:lang w:val="es-MX"/>
        </w:rPr>
      </w:pPr>
    </w:p>
    <w:p w14:paraId="31A143DC" w14:textId="77777777" w:rsidR="00B81781" w:rsidRPr="00B81781" w:rsidRDefault="00B81781" w:rsidP="00B81781">
      <w:pPr>
        <w:rPr>
          <w:b/>
          <w:bCs/>
          <w:lang w:val="es-MX"/>
        </w:rPr>
      </w:pPr>
      <w:r w:rsidRPr="00B81781">
        <w:rPr>
          <w:b/>
          <w:bCs/>
          <w:lang w:val="es-MX"/>
        </w:rPr>
        <w:t>AUSENCIA DE UN MARCO JURÍDICO ESPECÍFICO Y AVANCES</w:t>
      </w:r>
    </w:p>
    <w:p w14:paraId="12B51B6D" w14:textId="77777777" w:rsidR="00B81781" w:rsidRPr="00B81781" w:rsidRDefault="00B81781" w:rsidP="00B81781">
      <w:pPr>
        <w:rPr>
          <w:lang w:val="es-MX"/>
        </w:rPr>
      </w:pPr>
      <w:r w:rsidRPr="00B81781">
        <w:rPr>
          <w:lang w:val="es-MX"/>
        </w:rPr>
        <w:t>En la actualidad, son pocos los países en el mundo que tienen una regulación específica relacionada con la neurotecnología y son menos aquellos que cuentan con un marco normativo relacionado con los neuroderecho</w:t>
      </w:r>
    </w:p>
    <w:p w14:paraId="48E9E988" w14:textId="77777777" w:rsidR="00B81781" w:rsidRPr="00B81781" w:rsidRDefault="00B81781" w:rsidP="00B81781">
      <w:pPr>
        <w:rPr>
          <w:lang w:val="es-MX"/>
        </w:rPr>
      </w:pPr>
    </w:p>
    <w:p w14:paraId="0E619E1E" w14:textId="6FAB4B37" w:rsidR="00B81781" w:rsidRPr="00B81781" w:rsidRDefault="00B81781" w:rsidP="00B81781">
      <w:pPr>
        <w:rPr>
          <w:b/>
          <w:bCs/>
          <w:lang w:val="es-MX"/>
        </w:rPr>
      </w:pPr>
      <w:r w:rsidRPr="00B81781">
        <w:rPr>
          <w:b/>
          <w:bCs/>
          <w:lang w:val="es-MX"/>
        </w:rPr>
        <w:t>BCI EN CONTEXTOS NO MÉDICOS: CONSIDERACIONES ÉTICAS PARA EL USO</w:t>
      </w:r>
      <w:r w:rsidRPr="00B81781">
        <w:rPr>
          <w:b/>
          <w:bCs/>
          <w:lang w:val="es-MX"/>
        </w:rPr>
        <w:t xml:space="preserve"> </w:t>
      </w:r>
      <w:r w:rsidRPr="00B81781">
        <w:rPr>
          <w:b/>
          <w:bCs/>
          <w:lang w:val="es-MX"/>
        </w:rPr>
        <w:t>RECREATIVO, MILITAR O COMERCIAL DE LAS BC</w:t>
      </w:r>
    </w:p>
    <w:p w14:paraId="033B3071" w14:textId="443AC9E8" w:rsidR="009B7F80" w:rsidRPr="00B81781" w:rsidRDefault="009B7F80" w:rsidP="009F7709">
      <w:pPr>
        <w:rPr>
          <w:lang w:val="es-MX"/>
        </w:rPr>
      </w:pPr>
    </w:p>
    <w:sectPr w:rsidR="009B7F80" w:rsidRPr="00B817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709"/>
    <w:rsid w:val="00111DC9"/>
    <w:rsid w:val="00157827"/>
    <w:rsid w:val="002853AC"/>
    <w:rsid w:val="002A4F19"/>
    <w:rsid w:val="002F7B67"/>
    <w:rsid w:val="003C2856"/>
    <w:rsid w:val="003C35C2"/>
    <w:rsid w:val="005309AE"/>
    <w:rsid w:val="007342AA"/>
    <w:rsid w:val="00926D72"/>
    <w:rsid w:val="009540C1"/>
    <w:rsid w:val="009B7F80"/>
    <w:rsid w:val="009F7709"/>
    <w:rsid w:val="00A004CF"/>
    <w:rsid w:val="00AF4493"/>
    <w:rsid w:val="00B1071B"/>
    <w:rsid w:val="00B81781"/>
    <w:rsid w:val="00C00AD0"/>
    <w:rsid w:val="00C17AA4"/>
    <w:rsid w:val="00E560A4"/>
    <w:rsid w:val="00E962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2CB86"/>
  <w15:chartTrackingRefBased/>
  <w15:docId w15:val="{7443126A-49A5-43DD-8952-CCDA7124B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77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77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77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77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77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7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7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7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7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7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77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77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77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77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7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7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7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7709"/>
    <w:rPr>
      <w:rFonts w:eastAsiaTheme="majorEastAsia" w:cstheme="majorBidi"/>
      <w:color w:val="272727" w:themeColor="text1" w:themeTint="D8"/>
    </w:rPr>
  </w:style>
  <w:style w:type="paragraph" w:styleId="Title">
    <w:name w:val="Title"/>
    <w:basedOn w:val="Normal"/>
    <w:next w:val="Normal"/>
    <w:link w:val="TitleChar"/>
    <w:uiPriority w:val="10"/>
    <w:qFormat/>
    <w:rsid w:val="009F7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7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7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7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7709"/>
    <w:pPr>
      <w:spacing w:before="160"/>
      <w:jc w:val="center"/>
    </w:pPr>
    <w:rPr>
      <w:i/>
      <w:iCs/>
      <w:color w:val="404040" w:themeColor="text1" w:themeTint="BF"/>
    </w:rPr>
  </w:style>
  <w:style w:type="character" w:customStyle="1" w:styleId="QuoteChar">
    <w:name w:val="Quote Char"/>
    <w:basedOn w:val="DefaultParagraphFont"/>
    <w:link w:val="Quote"/>
    <w:uiPriority w:val="29"/>
    <w:rsid w:val="009F7709"/>
    <w:rPr>
      <w:i/>
      <w:iCs/>
      <w:color w:val="404040" w:themeColor="text1" w:themeTint="BF"/>
    </w:rPr>
  </w:style>
  <w:style w:type="paragraph" w:styleId="ListParagraph">
    <w:name w:val="List Paragraph"/>
    <w:basedOn w:val="Normal"/>
    <w:uiPriority w:val="34"/>
    <w:qFormat/>
    <w:rsid w:val="009F7709"/>
    <w:pPr>
      <w:ind w:left="720"/>
      <w:contextualSpacing/>
    </w:pPr>
  </w:style>
  <w:style w:type="character" w:styleId="IntenseEmphasis">
    <w:name w:val="Intense Emphasis"/>
    <w:basedOn w:val="DefaultParagraphFont"/>
    <w:uiPriority w:val="21"/>
    <w:qFormat/>
    <w:rsid w:val="009F7709"/>
    <w:rPr>
      <w:i/>
      <w:iCs/>
      <w:color w:val="0F4761" w:themeColor="accent1" w:themeShade="BF"/>
    </w:rPr>
  </w:style>
  <w:style w:type="paragraph" w:styleId="IntenseQuote">
    <w:name w:val="Intense Quote"/>
    <w:basedOn w:val="Normal"/>
    <w:next w:val="Normal"/>
    <w:link w:val="IntenseQuoteChar"/>
    <w:uiPriority w:val="30"/>
    <w:qFormat/>
    <w:rsid w:val="009F77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7709"/>
    <w:rPr>
      <w:i/>
      <w:iCs/>
      <w:color w:val="0F4761" w:themeColor="accent1" w:themeShade="BF"/>
    </w:rPr>
  </w:style>
  <w:style w:type="character" w:styleId="IntenseReference">
    <w:name w:val="Intense Reference"/>
    <w:basedOn w:val="DefaultParagraphFont"/>
    <w:uiPriority w:val="32"/>
    <w:qFormat/>
    <w:rsid w:val="009F7709"/>
    <w:rPr>
      <w:b/>
      <w:bCs/>
      <w:smallCaps/>
      <w:color w:val="0F4761" w:themeColor="accent1" w:themeShade="BF"/>
      <w:spacing w:val="5"/>
    </w:rPr>
  </w:style>
  <w:style w:type="character" w:styleId="Hyperlink">
    <w:name w:val="Hyperlink"/>
    <w:basedOn w:val="DefaultParagraphFont"/>
    <w:uiPriority w:val="99"/>
    <w:unhideWhenUsed/>
    <w:rsid w:val="00AF4493"/>
    <w:rPr>
      <w:color w:val="467886" w:themeColor="hyperlink"/>
      <w:u w:val="single"/>
    </w:rPr>
  </w:style>
  <w:style w:type="character" w:styleId="UnresolvedMention">
    <w:name w:val="Unresolved Mention"/>
    <w:basedOn w:val="DefaultParagraphFont"/>
    <w:uiPriority w:val="99"/>
    <w:semiHidden/>
    <w:unhideWhenUsed/>
    <w:rsid w:val="00AF44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lo.cl/pdf/veritas/n59/0718-9273-veritas-59-7.pdf" TargetMode="External"/><Relationship Id="rId3" Type="http://schemas.openxmlformats.org/officeDocument/2006/relationships/webSettings" Target="webSettings.xml"/><Relationship Id="rId7" Type="http://schemas.openxmlformats.org/officeDocument/2006/relationships/hyperlink" Target="https://www.frontiersin.org/journals/human-dynamics/articles/10.3389/fhumd.2025.1553905/ful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ojs.ehu.eus/index.php/rdgh/article/view/28175/26199" TargetMode="External"/><Relationship Id="rId11" Type="http://schemas.openxmlformats.org/officeDocument/2006/relationships/theme" Target="theme/theme1.xml"/><Relationship Id="rId5" Type="http://schemas.openxmlformats.org/officeDocument/2006/relationships/hyperlink" Target="https://dialnet.unirioja.es/servlet/articulo?codigo=2037551" TargetMode="External"/><Relationship Id="rId10" Type="http://schemas.openxmlformats.org/officeDocument/2006/relationships/fontTable" Target="fontTable.xml"/><Relationship Id="rId4" Type="http://schemas.openxmlformats.org/officeDocument/2006/relationships/hyperlink" Target="https://personaybioetica.unisabana.edu.co/index.php/personaybioetica/article/view/26217/9520" TargetMode="External"/><Relationship Id="rId9" Type="http://schemas.openxmlformats.org/officeDocument/2006/relationships/hyperlink" Target="https://dialnet.unirioja.es/servlet/articulo?codigo=87241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4</Pages>
  <Words>1306</Words>
  <Characters>7447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diegoseb110606@gmail.com</dc:creator>
  <cp:keywords/>
  <dc:description/>
  <cp:lastModifiedBy>diegoseb110606@gmail.com</cp:lastModifiedBy>
  <cp:revision>1</cp:revision>
  <dcterms:created xsi:type="dcterms:W3CDTF">2026-07-21T02:41:00Z</dcterms:created>
  <dcterms:modified xsi:type="dcterms:W3CDTF">2026-07-21T06:54:00Z</dcterms:modified>
</cp:coreProperties>
</file>