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rPr>
          <w:b/>
          <w:bCs/>
        </w:rPr>
        <w:t xml:space="preserve">ReliCheck: Project Memory</w:t>
      </w:r>
    </w:p>
    <w:p>
      <w:r>
        <w:t xml:space="preserve">This file is the shared context for the ReliCheck project across machines. It lives in the synced project folder and should be read at the start of every Cowork session. Update it whenever a meaningful decision is made or new context emerges.</w:t>
      </w:r>
    </w:p>
    <w:p>
      <w:r>
        <w:rPr>
          <w:b/>
          <w:bCs/>
        </w:rPr>
        <w:t xml:space="preserve">Last updated: </w:t>
      </w:r>
      <w:r>
        <w:t xml:space="preserve">2026-05-17</w:t>
      </w:r>
    </w:p>
    <w:p>
      <w:pPr>
        <w:pBdr>
          <w:bottom w:val="single" w:color="CCCCCC" w:sz="6" w:space="6"/>
        </w:pBdr>
        <w:spacing w:after="120" w:before="120"/>
      </w:pPr>
      <w:r>
        <w:t xml:space="preserve"/>
      </w:r>
    </w:p>
    <w:p>
      <w:pPr>
        <w:pStyle w:val="Heading1"/>
      </w:pPr>
      <w:r>
        <w:t xml:space="preserve">Product</w:t>
      </w:r>
    </w:p>
    <w:p>
      <w:r>
        <w:rPr>
          <w:b/>
          <w:bCs/>
        </w:rPr>
        <w:t xml:space="preserve">Name: </w:t>
      </w:r>
      <w:r>
        <w:t xml:space="preserve">ReliCheck</w:t>
      </w:r>
    </w:p>
    <w:p>
      <w:r>
        <w:rPr>
          <w:b/>
          <w:bCs/>
        </w:rPr>
        <w:t xml:space="preserve">Site: </w:t>
      </w:r>
      <w:r>
        <w:t xml:space="preserve">relichecksurvey.com</w:t>
      </w:r>
    </w:p>
    <w:p>
      <w:r>
        <w:rPr>
          <w:b/>
          <w:bCs/>
        </w:rPr>
        <w:t xml:space="preserve">One-line description: </w:t>
      </w:r>
      <w:r>
        <w:t xml:space="preserve">An evidence-driven survey platform built around statistical reliability features.</w:t>
      </w:r>
    </w:p>
    <w:p>
      <w:r>
        <w:rPr>
          <w:b/>
          <w:bCs/>
        </w:rPr>
        <w:t xml:space="preserve">Stage: </w:t>
      </w:r>
      <w:r>
        <w:t xml:space="preserve">public beta, marketing site and app are live at relichecksurvey.com</w:t>
      </w:r>
    </w:p>
    <w:p>
      <w:r>
        <w:rPr>
          <w:b/>
          <w:bCs/>
        </w:rPr>
        <w:t xml:space="preserve">Target users: </w:t>
      </w:r>
      <w:r>
        <w:t xml:space="preserve">researchers, program evaluators, HR teams, and education leaders who need defensible survey results</w:t>
      </w:r>
    </w:p>
    <w:p>
      <w:r>
        <w:rPr>
          <w:b/>
          <w:bCs/>
        </w:rPr>
        <w:t xml:space="preserve">Core differentiator: </w:t>
      </w:r>
      <w:r>
        <w:t xml:space="preserve">every survey is scored on the Survey Strength Index (SSI), a 0 to 100 composite that weighs reliability, factor structure, item quality, response patterns, open-ended depth, and actionability. Where other tools stop at collecting responses, ReliCheck adds a credibility verdict on top of them.</w:t>
      </w:r>
    </w:p>
    <w:p>
      <w:pPr>
        <w:pStyle w:val="Heading2"/>
      </w:pPr>
      <w:r>
        <w:t xml:space="preserve">What ReliCheck does</w:t>
      </w:r>
    </w:p>
    <w:p>
      <w:r>
        <w:rPr>
          <w:i/>
          <w:iCs/>
          <w:color w:val="666666"/>
        </w:rPr>
        <w:t xml:space="preserve">ReliCheck lets users build, import, or upload a survey and then runs it through reliability, validity, and response-quality checks so the findings are defensible. Users see a single Survey Strength Index plus a four-tier “Can I Use These Results?” verdict before they share anything with stakeholders.</w:t>
      </w:r>
    </w:p>
    <w:p>
      <w:pPr>
        <w:pStyle w:val="Heading2"/>
      </w:pPr>
      <w:r>
        <w:t xml:space="preserve">What ReliCheck does not do</w:t>
      </w:r>
    </w:p>
    <w:p>
      <w:r>
        <w:rPr>
          <w:i/>
          <w:iCs/>
          <w:color w:val="666666"/>
        </w:rPr>
        <w:t xml:space="preserve">ReliCheck is not a general-purpose form builder, not a customer-experience platform, and not a replacement for a statistics package. It does not store sensitive personal identifiers beyond what a respondent provides voluntarily.</w:t>
      </w:r>
    </w:p>
    <w:p>
      <w:pPr>
        <w:pBdr>
          <w:bottom w:val="single" w:color="CCCCCC" w:sz="6" w:space="6"/>
        </w:pBdr>
        <w:spacing w:after="120" w:before="120"/>
      </w:pPr>
      <w:r>
        <w:t xml:space="preserve"/>
      </w:r>
    </w:p>
    <w:p>
      <w:pPr>
        <w:pStyle w:val="Heading1"/>
      </w:pPr>
      <w:r>
        <w:t xml:space="preserve">Owner context</w:t>
      </w:r>
    </w:p>
    <w:p>
      <w:r>
        <w:rPr>
          <w:b/>
          <w:bCs/>
        </w:rPr>
        <w:t xml:space="preserve">Founder: </w:t>
      </w:r>
      <w:r>
        <w:t xml:space="preserve">Dr. Donald R. Easton-Brooks</w:t>
      </w:r>
    </w:p>
    <w:p>
      <w:r>
        <w:rPr>
          <w:b/>
          <w:bCs/>
        </w:rPr>
        <w:t xml:space="preserve">Day role: </w:t>
      </w:r>
      <w:r>
        <w:t xml:space="preserve">Dean, College of Education and Human Development, University of Nevada, Reno</w:t>
      </w:r>
    </w:p>
    <w:p>
      <w:r>
        <w:rPr>
          <w:b/>
          <w:bCs/>
        </w:rPr>
        <w:t xml:space="preserve">Why ReliCheck: </w:t>
      </w:r>
      <w:r>
        <w:t xml:space="preserve">after years of seeing programs make decisions on surveys with no reliability evidence behind them, the goal is to give practitioners and researchers a tool that flags weak instruments before the data gets used. The target audience is the program evaluator or department head who needs results they can defend in front of a board or a journal reviewer.</w:t>
      </w:r>
    </w:p>
    <w:p>
      <w:r>
        <w:rPr>
          <w:b/>
          <w:bCs/>
        </w:rPr>
        <w:t xml:space="preserve">Time available for ReliCheck: </w:t>
      </w:r>
      <w:r>
        <w:t xml:space="preserve">evenings and weekends, roughly 10 to 15 hours per week. Builds in focused sprints between Cowork sessions across two machines.</w:t>
      </w:r>
    </w:p>
    <w:p>
      <w:pPr>
        <w:pBdr>
          <w:bottom w:val="single" w:color="CCCCCC" w:sz="6" w:space="6"/>
        </w:pBdr>
        <w:spacing w:after="120" w:before="120"/>
      </w:pPr>
      <w:r>
        <w:t xml:space="preserve"/>
      </w:r>
    </w:p>
    <w:p>
      <w:pPr>
        <w:pStyle w:val="Heading1"/>
      </w:pPr>
      <w:r>
        <w:t xml:space="preserve">Brand identity</w:t>
      </w:r>
    </w:p>
    <w:p>
      <w:r>
        <w:rPr>
          <w:b/>
          <w:bCs/>
        </w:rPr>
        <w:t xml:space="preserve">Palette:</w:t>
      </w:r>
    </w:p>
    <w:p>
      <w:pPr>
        <w:pStyle w:val="ListParagraph"/>
        <w:numPr>
          <w:ilvl w:val="0"/>
          <w:numId w:val="2"/>
        </w:numPr>
      </w:pPr>
      <w:r>
        <w:t xml:space="preserve">Cream: #FBF7EE</w:t>
      </w:r>
    </w:p>
    <w:p>
      <w:pPr>
        <w:pStyle w:val="ListParagraph"/>
        <w:numPr>
          <w:ilvl w:val="0"/>
          <w:numId w:val="2"/>
        </w:numPr>
      </w:pPr>
      <w:r>
        <w:t xml:space="preserve">Coral-red: #C2410C</w:t>
      </w:r>
    </w:p>
    <w:p>
      <w:pPr>
        <w:pStyle w:val="ListParagraph"/>
        <w:numPr>
          <w:ilvl w:val="0"/>
          <w:numId w:val="2"/>
        </w:numPr>
      </w:pPr>
      <w:r>
        <w:t xml:space="preserve">Navy: #0F2942</w:t>
      </w:r>
    </w:p>
    <w:p>
      <w:r>
        <w:rPr>
          <w:b/>
          <w:bCs/>
        </w:rPr>
        <w:t xml:space="preserve">Typography: </w:t>
      </w:r>
      <w:r>
        <w:t xml:space="preserve">system stack on the marketing site and inside the app; Inter or the platform default sans-serif for body, same family bold for headings</w:t>
      </w:r>
    </w:p>
    <w:p>
      <w:r>
        <w:rPr>
          <w:b/>
          <w:bCs/>
        </w:rPr>
        <w:t xml:space="preserve">Logo: </w:t>
      </w:r>
      <w:r>
        <w:t xml:space="preserve">assets/logo/relicheck-logo.svg in the project root; also exported as PNG for Stripe and social</w:t>
      </w:r>
    </w:p>
    <w:p>
      <w:r>
        <w:rPr>
          <w:b/>
          <w:bCs/>
        </w:rPr>
        <w:t xml:space="preserve">Voice and tone:</w:t>
      </w:r>
    </w:p>
    <w:p>
      <w:pPr>
        <w:pStyle w:val="ListParagraph"/>
        <w:numPr>
          <w:ilvl w:val="0"/>
          <w:numId w:val="2"/>
        </w:numPr>
      </w:pPr>
      <w:r>
        <w:t xml:space="preserve">Formal but accessible, evidence-driven rather than hype-driven</w:t>
      </w:r>
    </w:p>
    <w:p>
      <w:pPr>
        <w:pStyle w:val="ListParagraph"/>
        <w:numPr>
          <w:ilvl w:val="0"/>
          <w:numId w:val="2"/>
        </w:numPr>
      </w:pPr>
      <w:r>
        <w:t xml:space="preserve">No em dashes</w:t>
      </w:r>
    </w:p>
    <w:p>
      <w:pPr>
        <w:pStyle w:val="ListParagraph"/>
        <w:numPr>
          <w:ilvl w:val="0"/>
          <w:numId w:val="2"/>
        </w:numPr>
      </w:pPr>
      <w:r>
        <w:t xml:space="preserve">No personification: avoid giving abstract concepts, environments, or feelings human-like agency</w:t>
      </w:r>
    </w:p>
    <w:p>
      <w:pPr>
        <w:pStyle w:val="ListParagraph"/>
        <w:numPr>
          <w:ilvl w:val="0"/>
          <w:numId w:val="2"/>
        </w:numPr>
      </w:pPr>
      <w:r>
        <w:t xml:space="preserve">Avoid starting consecutive sentences with the same word unless the repetition is clearly earned</w:t>
      </w:r>
    </w:p>
    <w:p>
      <w:pPr>
        <w:pStyle w:val="ListParagraph"/>
        <w:numPr>
          <w:ilvl w:val="0"/>
          <w:numId w:val="2"/>
        </w:numPr>
      </w:pPr>
      <w:r>
        <w:t xml:space="preserve">Use conjunctions and transition words for flow</w:t>
      </w:r>
    </w:p>
    <w:p>
      <w:pPr>
        <w:pStyle w:val="ListParagraph"/>
        <w:numPr>
          <w:ilvl w:val="0"/>
          <w:numId w:val="2"/>
        </w:numPr>
      </w:pPr>
      <w:r>
        <w:t xml:space="preserve">Active voice where possible</w:t>
      </w:r>
    </w:p>
    <w:p>
      <w:r>
        <w:rPr>
          <w:b/>
          <w:bCs/>
        </w:rPr>
        <w:t xml:space="preserve">Words and phrases to avoid: </w:t>
      </w:r>
      <w:r>
        <w:t xml:space="preserve">no em dashes, no “effortless,” no “revolutionize,” no “game-changer,” no “empower” in marketing copy. Avoid “AI-powered” as a lead phrase; describe what the AI does instead.</w:t>
      </w:r>
    </w:p>
    <w:p>
      <w:pPr>
        <w:pBdr>
          <w:bottom w:val="single" w:color="CCCCCC" w:sz="6" w:space="6"/>
        </w:pBdr>
        <w:spacing w:after="120" w:before="120"/>
      </w:pPr>
      <w:r>
        <w:t xml:space="preserve"/>
      </w:r>
    </w:p>
    <w:p>
      <w:pPr>
        <w:pStyle w:val="Heading1"/>
      </w:pPr>
      <w:r>
        <w:t xml:space="preserve">Marketing and launch</w:t>
      </w:r>
    </w:p>
    <w:p>
      <w:r>
        <w:rPr>
          <w:b/>
          <w:bCs/>
        </w:rPr>
        <w:t xml:space="preserve">LinkedIn campaign:</w:t>
      </w:r>
    </w:p>
    <w:p>
      <w:pPr>
        <w:pStyle w:val="ListParagraph"/>
        <w:numPr>
          <w:ilvl w:val="0"/>
          <w:numId w:val="2"/>
        </w:numPr>
      </w:pPr>
      <w:r>
        <w:t xml:space="preserve">Status: Phase 2, evidence-driven posts that pair an SSI screenshot with a one-paragraph explainer</w:t>
      </w:r>
    </w:p>
    <w:p>
      <w:pPr>
        <w:pStyle w:val="ListParagraph"/>
        <w:numPr>
          <w:ilvl w:val="0"/>
          <w:numId w:val="2"/>
        </w:numPr>
      </w:pPr>
      <w:r>
        <w:t xml:space="preserve">Cadence: two posts per week, Tuesday and Thursday mornings</w:t>
      </w:r>
    </w:p>
    <w:p>
      <w:pPr>
        <w:pStyle w:val="ListParagraph"/>
        <w:numPr>
          <w:ilvl w:val="0"/>
          <w:numId w:val="2"/>
        </w:numPr>
      </w:pPr>
      <w:r>
        <w:t xml:space="preserve">Next post due: to be scheduled, topic: walk-through of the Can I Use These Results? verdict card</w:t>
      </w:r>
    </w:p>
    <w:p>
      <w:r>
        <w:rPr>
          <w:b/>
          <w:bCs/>
        </w:rPr>
        <w:t xml:space="preserve">Cover images:</w:t>
      </w:r>
    </w:p>
    <w:p>
      <w:pPr>
        <w:pStyle w:val="ListParagraph"/>
        <w:numPr>
          <w:ilvl w:val="0"/>
          <w:numId w:val="2"/>
        </w:numPr>
      </w:pPr>
      <w:r>
        <w:t xml:space="preserve">Personal LinkedIn cover: assets/social/linkedin-personal-cover.png</w:t>
      </w:r>
    </w:p>
    <w:p>
      <w:pPr>
        <w:pStyle w:val="ListParagraph"/>
        <w:numPr>
          <w:ilvl w:val="0"/>
          <w:numId w:val="2"/>
        </w:numPr>
      </w:pPr>
      <w:r>
        <w:t xml:space="preserve">Company LinkedIn cover: assets/social/linkedin-company-cover.png</w:t>
      </w:r>
    </w:p>
    <w:p>
      <w:r>
        <w:rPr>
          <w:b/>
          <w:bCs/>
        </w:rPr>
        <w:t xml:space="preserve">Cross-posting:</w:t>
      </w:r>
    </w:p>
    <w:p>
      <w:pPr>
        <w:pStyle w:val="ListParagraph"/>
        <w:numPr>
          <w:ilvl w:val="0"/>
          <w:numId w:val="2"/>
        </w:numPr>
      </w:pPr>
      <w:r>
        <w:t xml:space="preserve">Medium publication: medium.com/the-cultural-context-of-knowledge</w:t>
      </w:r>
    </w:p>
    <w:p>
      <w:pPr>
        <w:pStyle w:val="ListParagraph"/>
        <w:numPr>
          <w:ilvl w:val="0"/>
          <w:numId w:val="2"/>
        </w:numPr>
      </w:pPr>
      <w:r>
        <w:t xml:space="preserve">occasional cross-post to X and to the Substack mirror; podcast clips go to Instagram, TikTok, and YouTube Shorts through the cck-podcast workflow</w:t>
      </w:r>
    </w:p>
    <w:p>
      <w:r>
        <w:rPr>
          <w:b/>
          <w:bCs/>
        </w:rPr>
        <w:t xml:space="preserve">Lead capture and email list: </w:t>
      </w:r>
      <w:r>
        <w:t xml:space="preserve">list captured via the marketing site footer form, stored in the ReliCheck database; signup is triggered on the homepage CTA, the methodology page, and the pricing page. Current count tracked in the admin panel rather than a third-party tool.</w:t>
      </w:r>
    </w:p>
    <w:p>
      <w:pPr>
        <w:pBdr>
          <w:bottom w:val="single" w:color="CCCCCC" w:sz="6" w:space="6"/>
        </w:pBdr>
        <w:spacing w:after="120" w:before="120"/>
      </w:pPr>
      <w:r>
        <w:t xml:space="preserve"/>
      </w:r>
    </w:p>
    <w:p>
      <w:pPr>
        <w:pStyle w:val="Heading1"/>
      </w:pPr>
      <w:r>
        <w:t xml:space="preserve">Payments and subscription</w:t>
      </w:r>
    </w:p>
    <w:p>
      <w:r>
        <w:rPr>
          <w:b/>
          <w:bCs/>
        </w:rPr>
        <w:t xml:space="preserve">Stripe setup:</w:t>
      </w:r>
    </w:p>
    <w:p>
      <w:pPr>
        <w:pStyle w:val="ListParagraph"/>
        <w:numPr>
          <w:ilvl w:val="0"/>
          <w:numId w:val="2"/>
        </w:numPr>
      </w:pPr>
      <w:r>
        <w:t xml:space="preserve">Account status: active, live mode</w:t>
      </w:r>
    </w:p>
    <w:p>
      <w:pPr>
        <w:pStyle w:val="ListParagraph"/>
        <w:numPr>
          <w:ilvl w:val="0"/>
          <w:numId w:val="2"/>
        </w:numPr>
      </w:pPr>
      <w:r>
        <w:t xml:space="preserve">Products and prices defined: Free, Pro, and Team tiers defined in Stripe; see pricing.md in this folder for the canonical list</w:t>
      </w:r>
    </w:p>
    <w:p>
      <w:pPr>
        <w:pStyle w:val="ListParagraph"/>
        <w:numPr>
          <w:ilvl w:val="0"/>
          <w:numId w:val="2"/>
        </w:numPr>
      </w:pPr>
      <w:r>
        <w:t xml:space="preserve">Payment Links in use: yes, on the marketing pricing page and inside the app upgrade modal</w:t>
      </w:r>
    </w:p>
    <w:p>
      <w:pPr>
        <w:pStyle w:val="ListParagraph"/>
        <w:numPr>
          <w:ilvl w:val="0"/>
          <w:numId w:val="2"/>
        </w:numPr>
      </w:pPr>
      <w:r>
        <w:t xml:space="preserve">Subscription tiers: Free (limited surveys, no SSI history), Pro (single seat, full analytics), Team (multi-seat workspace, shared dashboards and panels)</w:t>
      </w:r>
    </w:p>
    <w:p>
      <w:pPr>
        <w:pStyle w:val="ListParagraph"/>
        <w:numPr>
          <w:ilvl w:val="0"/>
          <w:numId w:val="2"/>
        </w:numPr>
      </w:pPr>
      <w:r>
        <w:t xml:space="preserve">Logo uploaded to Stripe: yes</w:t>
      </w:r>
    </w:p>
    <w:p>
      <w:r>
        <w:rPr>
          <w:b/>
          <w:bCs/>
        </w:rPr>
        <w:t xml:space="preserve">Tax and compliance notes: </w:t>
      </w:r>
      <w:r>
        <w:t xml:space="preserve">Stripe Tax enabled. SOC 2, FERPA, and GDPR language tightened in the help center on 2026-05-09 and still needs a final sanity pass before any enterprise pitch.</w:t>
      </w:r>
    </w:p>
    <w:p>
      <w:pPr>
        <w:pBdr>
          <w:bottom w:val="single" w:color="CCCCCC" w:sz="6" w:space="6"/>
        </w:pBdr>
        <w:spacing w:after="120" w:before="120"/>
      </w:pPr>
      <w:r>
        <w:t xml:space="preserve"/>
      </w:r>
    </w:p>
    <w:p>
      <w:pPr>
        <w:pStyle w:val="Heading1"/>
      </w:pPr>
      <w:r>
        <w:t xml:space="preserve">Website</w:t>
      </w:r>
    </w:p>
    <w:p>
      <w:r>
        <w:rPr>
          <w:b/>
          <w:bCs/>
        </w:rPr>
        <w:t xml:space="preserve">Host: </w:t>
      </w:r>
      <w:r>
        <w:t xml:space="preserve">IONOS, static site built via Cowork</w:t>
      </w:r>
    </w:p>
    <w:p>
      <w:r>
        <w:rPr>
          <w:b/>
          <w:bCs/>
        </w:rPr>
        <w:t xml:space="preserve">Pages live:</w:t>
      </w:r>
    </w:p>
    <w:p>
      <w:pPr>
        <w:pStyle w:val="ListParagraph"/>
        <w:numPr>
          <w:ilvl w:val="0"/>
          <w:numId w:val="2"/>
        </w:numPr>
      </w:pPr>
      <w:r>
        <w:t xml:space="preserve">index, about, methodology, pricing, businesses, education, accreditation, 360-surveys, course-evaluation, customer-feedback, import-survey, import-data, validity-guide, reliability-guide, case-studies (with five detail pages), blog (tagged), help center (split into subpages with embedded search), and the full app at /app-2026.html</w:t>
      </w:r>
    </w:p>
    <w:p>
      <w:r>
        <w:rPr>
          <w:b/>
          <w:bCs/>
        </w:rPr>
        <w:t xml:space="preserve">Pages planned:</w:t>
      </w:r>
    </w:p>
    <w:p>
      <w:pPr>
        <w:pStyle w:val="ListParagraph"/>
        <w:numPr>
          <w:ilvl w:val="0"/>
          <w:numId w:val="2"/>
        </w:numPr>
      </w:pPr>
      <w:r>
        <w:t xml:space="preserve">Survey design guide (still “Coming soon” in the Resources nav), dedicated changelog page, customer-story landing for each case study, and an enterprise/SSO page once the SSO and 2FA flows from Phase 149 are battle-tested.</w:t>
      </w:r>
    </w:p>
    <w:p>
      <w:r>
        <w:rPr>
          <w:b/>
          <w:bCs/>
        </w:rPr>
        <w:t xml:space="preserve">Update workflow: </w:t>
      </w:r>
      <w:r>
        <w:t xml:space="preserve">edits drafted in Cowork against the local Dropbox project folder, then uploaded to IONOS via FileZilla following the deployment manifest. Schema changes go through phpMyAdmin, never FileZilla. Cron entries are managed on cron-job.org, not the IONOS panel.</w:t>
      </w:r>
    </w:p>
    <w:p>
      <w:pPr>
        <w:pBdr>
          <w:bottom w:val="single" w:color="CCCCCC" w:sz="6" w:space="6"/>
        </w:pBdr>
        <w:spacing w:after="120" w:before="120"/>
      </w:pPr>
      <w:r>
        <w:t xml:space="preserve"/>
      </w:r>
    </w:p>
    <w:p>
      <w:pPr>
        <w:pStyle w:val="Heading1"/>
      </w:pPr>
      <w:r>
        <w:t xml:space="preserve">File map (this folder)</w:t>
      </w:r>
    </w:p>
    <w:p>
      <w:pPr>
        <w:pStyle w:val="ListParagraph"/>
        <w:numPr>
          <w:ilvl w:val="0"/>
          <w:numId w:val="2"/>
        </w:numPr>
      </w:pPr>
      <w:r>
        <w:t xml:space="preserve">project-memory.md: this file</w:t>
      </w:r>
    </w:p>
    <w:p>
      <w:pPr>
        <w:pStyle w:val="ListParagraph"/>
        <w:numPr>
          <w:ilvl w:val="0"/>
          <w:numId w:val="2"/>
        </w:numPr>
      </w:pPr>
      <w:r>
        <w:t xml:space="preserve">voice-and-style.md: detailed writing rules, examples of good and bad</w:t>
      </w:r>
    </w:p>
    <w:p>
      <w:pPr>
        <w:pStyle w:val="ListParagraph"/>
        <w:numPr>
          <w:ilvl w:val="0"/>
          <w:numId w:val="2"/>
        </w:numPr>
      </w:pPr>
      <w:r>
        <w:t xml:space="preserve">decisions.md: running log of decisions with dates</w:t>
      </w:r>
    </w:p>
    <w:p>
      <w:pPr>
        <w:pStyle w:val="ListParagraph"/>
        <w:numPr>
          <w:ilvl w:val="0"/>
          <w:numId w:val="2"/>
        </w:numPr>
      </w:pPr>
      <w:r>
        <w:t xml:space="preserve">assets/: logos, cover images, brand files</w:t>
      </w:r>
    </w:p>
    <w:p>
      <w:pPr>
        <w:pStyle w:val="ListParagraph"/>
        <w:numPr>
          <w:ilvl w:val="0"/>
          <w:numId w:val="2"/>
        </w:numPr>
      </w:pPr>
      <w:r>
        <w:t xml:space="preserve">marketing/: drafts, post variants, campaign plans</w:t>
      </w:r>
    </w:p>
    <w:p>
      <w:pPr>
        <w:pStyle w:val="ListParagraph"/>
        <w:numPr>
          <w:ilvl w:val="0"/>
          <w:numId w:val="2"/>
        </w:numPr>
      </w:pPr>
      <w:r>
        <w:t xml:space="preserve">website/: page content, copy, HTML where applicable</w:t>
      </w:r>
    </w:p>
    <w:p>
      <w:pPr>
        <w:pStyle w:val="ListParagraph"/>
        <w:numPr>
          <w:ilvl w:val="0"/>
          <w:numId w:val="2"/>
        </w:numPr>
      </w:pPr>
      <w:r>
        <w:t xml:space="preserve">outputs/: finished deliverables produced by Cowork</w:t>
      </w:r>
    </w:p>
    <w:p>
      <w:pPr>
        <w:pBdr>
          <w:bottom w:val="single" w:color="CCCCCC" w:sz="6" w:space="6"/>
        </w:pBdr>
        <w:spacing w:after="120" w:before="120"/>
      </w:pPr>
      <w:r>
        <w:t xml:space="preserve"/>
      </w:r>
    </w:p>
    <w:p>
      <w:pPr>
        <w:pStyle w:val="Heading1"/>
      </w:pPr>
      <w:r>
        <w:t xml:space="preserve">Active threads</w:t>
      </w:r>
    </w:p>
    <w:p>
      <w:r>
        <w:t xml:space="preserve">A short list of what is in motion right now. Keep this current.</w:t>
      </w:r>
    </w:p>
    <w:p>
      <w:pPr>
        <w:pStyle w:val="ListParagraph"/>
        <w:numPr>
          <w:ilvl w:val="0"/>
          <w:numId w:val="2"/>
        </w:numPr>
      </w:pPr>
      <w:r>
        <w:t xml:space="preserve">[ ] 2026-05-17: Finish the marketing-site catch-up for the Phase 47 to 57 AI feature batch (validity guide is done; needs a Strength Index explainer page and a Can I Use These Results? walk-through)</w:t>
      </w:r>
    </w:p>
    <w:p>
      <w:pPr>
        <w:pStyle w:val="ListParagraph"/>
        <w:numPr>
          <w:ilvl w:val="0"/>
          <w:numId w:val="2"/>
        </w:numPr>
      </w:pPr>
      <w:r>
        <w:t xml:space="preserve">[ ] 2026-05-17: Decide whether the per-tab PDF export from Phase 142 should also chain into the server-backed Reports flow from Phase 148, or stay as a separate download path.</w:t>
      </w:r>
    </w:p>
    <w:p>
      <w:pPr>
        <w:pStyle w:val="ListParagraph"/>
        <w:numPr>
          <w:ilvl w:val="0"/>
          <w:numId w:val="2"/>
        </w:numPr>
      </w:pPr>
      <w:r>
        <w:t xml:space="preserve">[ ] 2026-05-17: Plan the Phase 155+ work for the Builder, including question types not yet ported (matrix grid, NPS, ranking) and the long-deferred Microsoft 365 integration.</w:t>
      </w:r>
    </w:p>
    <w:p>
      <w:pPr>
        <w:pBdr>
          <w:bottom w:val="single" w:color="CCCCCC" w:sz="6" w:space="6"/>
        </w:pBdr>
        <w:spacing w:after="120" w:before="120"/>
      </w:pPr>
      <w:r>
        <w:t xml:space="preserve"/>
      </w:r>
    </w:p>
    <w:p>
      <w:pPr>
        <w:pStyle w:val="Heading1"/>
      </w:pPr>
      <w:r>
        <w:t xml:space="preserve">Decisions log</w:t>
      </w:r>
    </w:p>
    <w:p>
      <w:r>
        <w:t xml:space="preserve">Append-only. Do not edit past entries; if a decision changes, add a new entry that supersedes the old one.</w:t>
      </w:r>
    </w:p>
    <w:p>
      <w:pPr>
        <w:pStyle w:val="ListParagraph"/>
        <w:numPr>
          <w:ilvl w:val="0"/>
          <w:numId w:val="2"/>
        </w:numPr>
      </w:pPr>
      <w:r>
        <w:t xml:space="preserve">2026-05-16: Phase 134, Home view rebuilt as a 2x2 customizable card grid (Quick, Recent, Activity, Usage), order persisted via users.prefs.home_2026.order.</w:t>
      </w:r>
    </w:p>
    <w:p>
      <w:pPr>
        <w:pStyle w:val="ListParagraph"/>
        <w:numPr>
          <w:ilvl w:val="0"/>
          <w:numId w:val="2"/>
        </w:numPr>
      </w:pPr>
      <w:r>
        <w:t xml:space="preserve">2026-05-17: Phase 135, new Tests sidebar entry and /tests route added with a KPI strip and row list; Build and Upload buttons handed off to the classic app temporarily.</w:t>
      </w:r>
    </w:p>
    <w:p>
      <w:pPr>
        <w:pStyle w:val="ListParagraph"/>
        <w:numPr>
          <w:ilvl w:val="0"/>
          <w:numId w:val="2"/>
        </w:numPr>
      </w:pPr>
      <w:r>
        <w:t xml:space="preserve">2026-05-17: Phase 139, Projects view regained its Phase 37a power-ups inside app-2026: folders, favorites, archive and restore, bulk actions, 14-day sparkline, health dot, sort dropdown, sticky filter bar.</w:t>
      </w:r>
    </w:p>
    <w:p>
      <w:pPr>
        <w:pStyle w:val="ListParagraph"/>
        <w:numPr>
          <w:ilvl w:val="0"/>
          <w:numId w:val="2"/>
        </w:numPr>
      </w:pPr>
      <w:r>
        <w:t xml:space="preserve">2026-05-17: Phase 140, Create and Upload flows mostly native: template tile fixed, scratch survey, AI generate, and import-definition modals all run inside app-2026.</w:t>
      </w:r>
    </w:p>
    <w:p>
      <w:pPr>
        <w:pStyle w:val="ListParagraph"/>
        <w:numPr>
          <w:ilvl w:val="0"/>
          <w:numId w:val="2"/>
        </w:numPr>
      </w:pPr>
      <w:r>
        <w:t xml:space="preserve">2026-05-17: Phase 141, Builder completion shipped all 11 backlog items, including native tab strip (Questions, Design, Settings, Logic, arms, Distribute), HTML5 drag-and-drop reorder, skip-logic editor, randomization, branching arms, and four inline AI helpers.</w:t>
      </w:r>
    </w:p>
    <w:p>
      <w:pPr>
        <w:pStyle w:val="ListParagraph"/>
        <w:numPr>
          <w:ilvl w:val="0"/>
          <w:numId w:val="2"/>
        </w:numPr>
      </w:pPr>
      <w:r>
        <w:t xml:space="preserve">2026-05-17: Phase 142, Analyze polish: SVG-to-PNG rasterizer and charts in per-tab PDFs, Full Report button on the Strength Index tab (one combined report.pdf), Stats.bartlettSphericity added, narrator snapshots corrected for Pre-Post, Subgroups, Validity, and Predictors.</w:t>
      </w:r>
    </w:p>
    <w:p>
      <w:pPr>
        <w:pStyle w:val="ListParagraph"/>
        <w:numPr>
          <w:ilvl w:val="0"/>
          <w:numId w:val="2"/>
        </w:numPr>
      </w:pPr>
      <w:r>
        <w:t xml:space="preserve">2026-05-17: Phase 147, Distribute polish and respondent footer: Web Link UTM helper persisted to localStorage, Calendar Outlook variant, and a “Powered by ReliCheck” footer on every respondent survey page (take.html and take-2026.html).</w:t>
      </w:r>
    </w:p>
    <w:p>
      <w:pPr>
        <w:pStyle w:val="ListParagraph"/>
        <w:numPr>
          <w:ilvl w:val="0"/>
          <w:numId w:val="2"/>
        </w:numPr>
      </w:pPr>
      <w:r>
        <w:t xml:space="preserve">2026-05-17: Phase 148, Reports went server-backed (reports and report_shares tables, eight /api/reports/* endpoints, /api/public/report.php, /api/cron-regenerate-reports.php). AI draft paragraph button added on the Strength Index tab.</w:t>
      </w:r>
    </w:p>
    <w:p>
      <w:pPr>
        <w:pStyle w:val="ListParagraph"/>
        <w:numPr>
          <w:ilvl w:val="0"/>
          <w:numId w:val="2"/>
        </w:numPr>
      </w:pPr>
      <w:r>
        <w:t xml:space="preserve">2026-05-17: Phase 149, Account view backend completed all seven backlog items with native modals for Google, Webhooks, Custom domain, 2FA, SSO, Sessions, API tokens, and Delete workspace.</w:t>
      </w:r>
    </w:p>
    <w:p>
      <w:pPr>
        <w:pStyle w:val="ListParagraph"/>
        <w:numPr>
          <w:ilvl w:val="0"/>
          <w:numId w:val="2"/>
        </w:numPr>
      </w:pPr>
      <w:r>
        <w:t xml:space="preserve">2026-05-17: Phase 150, Help center went native at /help with a debounced search bar, eight category tiles, long-form guide cards, and a contact-support panel. Catalog and search endpoints back 37 articles.</w:t>
      </w:r>
    </w:p>
    <w:p>
      <w:pPr>
        <w:pStyle w:val="ListParagraph"/>
        <w:numPr>
          <w:ilvl w:val="0"/>
          <w:numId w:val="2"/>
        </w:numPr>
      </w:pPr>
      <w:r>
        <w:t xml:space="preserve">2026-05-17: Phase 151, Datasets got a dedicated view and sidebar entry at /datasets, with a list, a detail page (column mapping editor, schema, 10-row preview), a Re-upload modal, and a new /api/datasets/refresh.php endpoint.</w:t>
      </w:r>
    </w:p>
    <w:p>
      <w:pPr>
        <w:pStyle w:val="ListParagraph"/>
        <w:numPr>
          <w:ilvl w:val="0"/>
          <w:numId w:val="2"/>
        </w:numPr>
      </w:pPr>
      <w:r>
        <w:t xml:space="preserve">2026-05-17: Phase 152, Webhooks got a native /webhooks route with a list, a detail page with the subscribed-events editor, a delivery log (last 50), and Test, Replay, Rotate, Edit, Toggle, and Delete actions. New webhook_deliveries table.</w:t>
      </w:r>
    </w:p>
    <w:p>
      <w:pPr>
        <w:pStyle w:val="ListParagraph"/>
        <w:numPr>
          <w:ilvl w:val="0"/>
          <w:numId w:val="2"/>
        </w:numPr>
      </w:pPr>
      <w:r>
        <w:t xml:space="preserve">2026-05-17: Phase 153, Panels and Suites are native under Tools. Panels list and panel detail (subjects with rater-relationship chips) plus subject reports. Suites tile grid plus suite detail with template tiles and bound surveys. Backend reused from Phases 129 and 133.</w:t>
      </w:r>
    </w:p>
    <w:p>
      <w:pPr>
        <w:pStyle w:val="ListParagraph"/>
        <w:numPr>
          <w:ilvl w:val="0"/>
          <w:numId w:val="2"/>
        </w:numPr>
      </w:pPr>
      <w:r>
        <w:t xml:space="preserve">2026-05-17: Phase 154, Survey Settings consolidated inside the Builder Settings tab as the canonical survey-settings surface, expanded to six panels (Identity, Behavior, Status, Share URL, Response limits, Danger zone) with deep links from Projects, Analyze, and Distribute.</w:t>
      </w:r>
    </w:p>
    <w:p>
      <w:pPr>
        <w:pStyle w:val="ListParagraph"/>
        <w:numPr>
          <w:ilvl w:val="0"/>
          <w:numId w:val="2"/>
        </w:numPr>
      </w:pPr>
      <w:r>
        <w:t xml:space="preserve">2026-05-17: Voice rules locked into this file: no em dashes anywhere (including PHP source), no personification, no unintentional anaphora. Any Cowork session reading this file inherits the rules automatically.</w:t>
      </w:r>
    </w:p>
    <w:p>
      <w:pPr>
        <w:pStyle w:val="ListParagraph"/>
        <w:numPr>
          <w:ilvl w:val="0"/>
          <w:numId w:val="2"/>
        </w:numPr>
      </w:pPr>
      <w:r>
        <w:t xml:space="preserve">2026-05-17: Cowork sessions on both machines should treat this file as the source of truth and prefer it over local memory whenever the two disagree.</w:t>
      </w:r>
    </w:p>
    <w:p>
      <w:pPr>
        <w:pBdr>
          <w:bottom w:val="single" w:color="CCCCCC" w:sz="6" w:space="6"/>
        </w:pBdr>
        <w:spacing w:after="120" w:before="120"/>
      </w:pPr>
      <w:r>
        <w:t xml:space="preserve"/>
      </w:r>
    </w:p>
    <w:p>
      <w:pPr>
        <w:pStyle w:val="Heading1"/>
      </w:pPr>
      <w:r>
        <w:t xml:space="preserve">Open questions</w:t>
      </w:r>
    </w:p>
    <w:p>
      <w:r>
        <w:t xml:space="preserve">Things not yet decided. Useful for Cowork to flag rather than guess.</w:t>
      </w:r>
    </w:p>
    <w:p>
      <w:pPr>
        <w:pStyle w:val="ListParagraph"/>
        <w:numPr>
          <w:ilvl w:val="0"/>
          <w:numId w:val="2"/>
        </w:numPr>
      </w:pPr>
      <w:r>
        <w:t xml:space="preserve">Should the classic app.html be retired once app-2026.html reaches parity, or kept as a fallback indefinitely for users on older browsers?</w:t>
      </w:r>
    </w:p>
    <w:p>
      <w:pPr>
        <w:pStyle w:val="ListParagraph"/>
        <w:numPr>
          <w:ilvl w:val="0"/>
          <w:numId w:val="2"/>
        </w:numPr>
      </w:pPr>
      <w:r>
        <w:t xml:space="preserve">Microsoft 365 integration was discussed and deferred earlier; what is the trigger for picking it back up, and which surface does it land on first (sign-in, calendar, or SharePoint embed)?</w:t>
      </w:r>
    </w:p>
    <w:p>
      <w:pPr>
        <w:pStyle w:val="ListParagraph"/>
        <w:numPr>
          <w:ilvl w:val="0"/>
          <w:numId w:val="2"/>
        </w:numPr>
      </w:pPr>
      <w:r>
        <w:t xml:space="preserve">Pricing tiers are defined in Stripe but the marketing-site pricing page still leans on placeholder copy in places. When does the final pricing pass happen?</w:t>
      </w:r>
    </w:p>
    <w:p>
      <w:pPr>
        <w:pStyle w:val="ListParagraph"/>
        <w:numPr>
          <w:ilvl w:val="0"/>
          <w:numId w:val="2"/>
        </w:numPr>
      </w:pPr>
      <w:r>
        <w:t xml:space="preserve">The Reports server-backed flow from Phase 148 and the per-tab PDF export from Phase 142 currently produce different artifacts. Should they converge or stay separate?</w:t>
      </w:r>
    </w:p>
    <w:p>
      <w:pPr>
        <w:pBdr>
          <w:bottom w:val="single" w:color="CCCCCC" w:sz="6" w:space="6"/>
        </w:pBdr>
        <w:spacing w:after="120" w:before="120"/>
      </w:pPr>
      <w:r>
        <w:t xml:space="preserve"/>
      </w:r>
    </w:p>
    <w:p>
      <w:pPr>
        <w:pStyle w:val="Heading1"/>
      </w:pPr>
      <w:r>
        <w:t xml:space="preserve">How to keep this file useful</w:t>
      </w:r>
    </w:p>
    <w:p>
      <w:r>
        <w:t xml:space="preserve">When something meaningful changes, edit this file directly or ask Cowork to update it. After any session that produced a new decision or learning, add it to the relevant section and bump the "Last updated" date at the top. Treat this file as the source of truth for cross-machine continuity. If Cowork’s internal memory on one machine diverges from this file, this file wins.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ReliCheck Project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color w:val="1A2A4A"/>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A2A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ReliCheck: Project Memory</dc:title>
  <dc:creator>Claude</dc:creator>
  <cp:lastModifiedBy>Un-named</cp:lastModifiedBy>
  <cp:revision>1</cp:revision>
  <dcterms:created xsi:type="dcterms:W3CDTF">2026-05-18T01:40:27.651Z</dcterms:created>
  <dcterms:modified xsi:type="dcterms:W3CDTF">2026-05-18T01:40:27.651Z</dcterms:modified>
</cp:coreProperties>
</file>

<file path=docProps/custom.xml><?xml version="1.0" encoding="utf-8"?>
<Properties xmlns="http://schemas.openxmlformats.org/officeDocument/2006/custom-properties" xmlns:vt="http://schemas.openxmlformats.org/officeDocument/2006/docPropsVTypes"/>
</file>