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B1733"/>
          <w:sz w:val="40"/>
          <w:szCs w:val="40"/>
        </w:rPr>
        <w:t xml:space="preserve">ReliCheck vs. SurveyMonkey vs. Qualtrics</w:t>
      </w:r>
    </w:p>
    <w:p>
      <w:pPr>
        <w:spacing w:after="80"/>
      </w:pPr>
      <w:r>
        <w:rPr>
          <w:i/>
          <w:iCs/>
          <w:color w:val="E85D3A"/>
          <w:sz w:val="26"/>
          <w:szCs w:val="26"/>
        </w:rPr>
        <w:t xml:space="preserve">Marketing site assessment and prioritized recommendations</w:t>
      </w:r>
    </w:p>
    <w:p>
      <w:pPr>
        <w:spacing w:after="280"/>
      </w:pPr>
      <w:r>
        <w:rPr>
          <w:color w:val="4A5568"/>
          <w:sz w:val="20"/>
          <w:szCs w:val="20"/>
        </w:rPr>
        <w:t xml:space="preserve">Prepared for Donald Easton-Brooks  |  May 8, 2026</w:t>
      </w:r>
    </w:p>
    <w:p>
      <w:pPr>
        <w:pStyle w:val="Heading1"/>
        <w:spacing w:after="180" w:before="360"/>
      </w:pPr>
      <w:r>
        <w:rPr>
          <w:color w:val="0B1733"/>
        </w:rPr>
        <w:t xml:space="preserve">The brief</w:t>
      </w:r>
    </w:p>
    <w:p>
      <w:pPr>
        <w:spacing w:after="140"/>
        <w:jc w:val="left"/>
      </w:pPr>
      <w:r>
        <w:t xml:space="preserve">This assessment compares ReliCheck's marketing site against the two largest survey platforms, SurveyMonkey and Qualtrics, across six dimensions: hero and positioning, navigation and information architecture, pricing and conversion, social proof and trust signals, copy voice and messaging, and audience and solutions pages. The goal is to identify where each competitor outperforms ReliCheck, where ReliCheck has a real lane the competitors cannot easily copy, and what to ship next.</w:t>
      </w:r>
    </w:p>
    <w:p>
      <w:pPr>
        <w:spacing w:after="140"/>
        <w:jc w:val="left"/>
      </w:pPr>
      <w:r>
        <w:t xml:space="preserve">Two findings shape everything that follows. First, SurveyMonkey and Qualtrics solve different problems and target different buyers, so ReliCheck does not need to imitate either of them. Second, the gap between ReliCheck's product positioning (sharp, specific, defensible) and ReliCheck's site infrastructure (light on social proof, light on conversion machinery, light on industry depth) is the real opportunity. The recommendations focus there.</w:t>
      </w:r>
    </w:p>
    <w:p>
      <w:pPr>
        <w:pStyle w:val="Heading1"/>
        <w:spacing w:after="180" w:before="360"/>
      </w:pPr>
      <w:r>
        <w:rPr>
          <w:color w:val="0B1733"/>
        </w:rPr>
        <w:t xml:space="preserve">Executive summary</w:t>
      </w:r>
    </w:p>
    <w:p>
      <w:pPr>
        <w:spacing w:after="140"/>
        <w:jc w:val="left"/>
      </w:pPr>
      <w:r>
        <w:rPr>
          <w:b/>
          <w:bCs/>
        </w:rPr>
        <w:t xml:space="preserve">SurveyMonkey </w:t>
      </w:r>
      <w:r>
        <w:t xml:space="preserve">sells speed and self-service. The hero is action-oriented ("Get the answers you need"), the AI Survey Generator is the visible CTA ("build a survey in under 60 seconds"), and the page is dense with social proof: a "100% of Fortune 500" claim, customer logos, "16 million questions daily" callouts, and testimonials. Pricing is published, plans are tiered cleanly from free to enterprise, and signup is one click. Their lane is breadth, ease, and volume.</w:t>
      </w:r>
    </w:p>
    <w:p>
      <w:pPr>
        <w:spacing w:after="140"/>
        <w:jc w:val="left"/>
      </w:pPr>
      <w:r>
        <w:rPr>
          <w:b/>
          <w:bCs/>
        </w:rPr>
        <w:t xml:space="preserve">Qualtrics </w:t>
      </w:r>
      <w:r>
        <w:t xml:space="preserve">sells enterprise outcomes. The hero frames AI-powered experience management as a way to "build something better" and deliver "unbreakable loyalty." There is no published pricing. The CTA is "request a demo." Trust signals are heavy: 99 of the top 100 business schools, 20,000+ brands, 8,500 customers, the 2026 Gartner Magic Quadrant Leader badge, and named results ("research costs reduced 70%, NPS +43 points"). Their lane is depth, scale, and strategic credibility.</w:t>
      </w:r>
    </w:p>
    <w:p>
      <w:pPr>
        <w:spacing w:after="140"/>
        <w:jc w:val="left"/>
      </w:pPr>
      <w:r>
        <w:rPr>
          <w:b/>
          <w:bCs/>
        </w:rPr>
        <w:t xml:space="preserve">ReliCheck </w:t>
      </w:r>
      <w:r>
        <w:t xml:space="preserve">sits in a different lane that neither competitor can occupy: AI-assisted survey work paired with reliability scoring and methodological transparency. Audience hero pages are sharp ("Engagement scores managers actually trust," "NPS lifts your CFO will actually believe," "Findings that survive peer review"). A Methodology page documents every statistic the platform reports, which no other survey product publishes. A new AI page, shipped this week, closes the visible-AI gap. What remains is a social-proof and conversion gap that has nothing to do with positioning, and a few specific places where the site is doing less than it could to route a visitor toward signup.</w:t>
      </w:r>
    </w:p>
    <w:p>
      <w:pPr>
        <w:spacing w:after="140"/>
        <w:jc w:val="left"/>
      </w:pPr>
      <w:r>
        <w:t xml:space="preserve">The prioritized recommendations cluster into three buckets: ship trust signals (logos, statistics, a customer story or two), tighten the conversion path (pricing CTAs, comparison page, signup-to-first-survey friction), and add depth to audience pages (industry-specific landing pages within Education and HR). Effort and impact bands are at the end of the report.</w:t>
      </w:r>
    </w:p>
    <w:p>
      <w:pPr>
        <w:pStyle w:val="Heading1"/>
        <w:spacing w:after="180" w:before="360"/>
      </w:pPr>
      <w:r>
        <w:rPr>
          <w:color w:val="0B1733"/>
        </w:rPr>
        <w:t xml:space="preserve">SurveyMonkey: full assessment</w:t>
      </w:r>
    </w:p>
    <w:p>
      <w:pPr>
        <w:pStyle w:val="Heading2"/>
        <w:spacing w:after="140" w:before="280"/>
      </w:pPr>
      <w:r>
        <w:rPr>
          <w:color w:val="0B1733"/>
        </w:rPr>
        <w:t xml:space="preserve">Hero and positioning</w:t>
      </w:r>
    </w:p>
    <w:p>
      <w:pPr>
        <w:spacing w:after="140"/>
        <w:jc w:val="left"/>
      </w:pPr>
      <w:r>
        <w:t xml:space="preserve">SurveyMonkey's hero is action-oriented and speed-led. The headline is a verb-phrase imperative ("Get the answers you need"), the subhead carries the social proof ("16 million questions daily"), and the primary CTA is the AI Survey Generator with a 60-second promise. The visual emphasis is on the prompt-to-survey workflow.</w:t>
      </w:r>
    </w:p>
    <w:p>
      <w:pPr>
        <w:spacing w:after="140"/>
        <w:jc w:val="left"/>
      </w:pPr>
      <w:r>
        <w:rPr>
          <w:b/>
          <w:bCs/>
        </w:rPr>
        <w:t xml:space="preserve">What this does well: </w:t>
      </w:r>
      <w:r>
        <w:t xml:space="preserve">it answers the visitor's first question (what is this for?) in five words, reduces the perceived effort of starting (60 seconds, AI does the work), and lands social proof in the same screen. A user with no context understands the value in under three seconds.</w:t>
      </w:r>
    </w:p>
    <w:p>
      <w:pPr>
        <w:spacing w:after="140"/>
        <w:jc w:val="left"/>
      </w:pPr>
      <w:r>
        <w:rPr>
          <w:b/>
          <w:bCs/>
        </w:rPr>
        <w:t xml:space="preserve">What it gives up: </w:t>
      </w:r>
      <w:r>
        <w:t xml:space="preserve">the headline says nothing about quality, depth, or trustworthiness. SurveyMonkey is not trying to win the buyer who needs to defend a result in front of a board, an accreditor, or a peer reviewer.</w:t>
      </w:r>
    </w:p>
    <w:p>
      <w:pPr>
        <w:pStyle w:val="Heading2"/>
        <w:spacing w:after="140" w:before="280"/>
      </w:pPr>
      <w:r>
        <w:rPr>
          <w:color w:val="0B1733"/>
        </w:rPr>
        <w:t xml:space="preserve">Navigation and information architecture</w:t>
      </w:r>
    </w:p>
    <w:p>
      <w:pPr>
        <w:spacing w:after="140"/>
        <w:jc w:val="left"/>
      </w:pPr>
      <w:r>
        <w:t xml:space="preserve">The nav is shallow and self-serve. Top-level items cover Product (with AI as a peer to Survey Builder, Templates, Analytics, Integrations), Solutions (segmented by team and use case), Resources, and Pricing. The footer is dense and links to use-case pages, integrations, learning content, and template categories.</w:t>
      </w:r>
    </w:p>
    <w:p>
      <w:pPr>
        <w:spacing w:after="140"/>
        <w:jc w:val="left"/>
      </w:pPr>
      <w:r>
        <w:rPr>
          <w:b/>
          <w:bCs/>
        </w:rPr>
        <w:t xml:space="preserve">What this does well: </w:t>
      </w:r>
      <w:r>
        <w:t xml:space="preserve">a visitor can reach a relevant product or solution page in one click. Every nav item maps to a marketing page, and every marketing page leads to signup. The architecture is built for self-serve conversion.</w:t>
      </w:r>
    </w:p>
    <w:p>
      <w:pPr>
        <w:spacing w:after="140"/>
        <w:jc w:val="left"/>
      </w:pPr>
      <w:r>
        <w:rPr>
          <w:b/>
          <w:bCs/>
        </w:rPr>
        <w:t xml:space="preserve">What it gives up: </w:t>
      </w:r>
      <w:r>
        <w:t xml:space="preserve">depth. The audience pages are template-led ("HR survey templates") rather than outcome-led ("engagement scores you can act on"). Nothing on the site implies expertise.</w:t>
      </w:r>
    </w:p>
    <w:p>
      <w:pPr>
        <w:pStyle w:val="Heading2"/>
        <w:spacing w:after="140" w:before="280"/>
      </w:pPr>
      <w:r>
        <w:rPr>
          <w:color w:val="0B1733"/>
        </w:rPr>
        <w:t xml:space="preserve">Pricing and conversion</w:t>
      </w:r>
    </w:p>
    <w:p>
      <w:pPr>
        <w:spacing w:after="140"/>
        <w:jc w:val="left"/>
      </w:pPr>
      <w:r>
        <w:t xml:space="preserve">SurveyMonkey publishes its pricing transparently. The free Basic plan offers unlimited surveys with 10 questions and limited responses. Paid plans tier from Advantage Annual at $39/month for individuals, to Team Advantage at $25 per user per month, up to custom Enterprise pricing. The signup CTA appears in the nav, the hero, the section breaks, and the footer.</w:t>
      </w:r>
    </w:p>
    <w:p>
      <w:pPr>
        <w:spacing w:after="140"/>
        <w:jc w:val="left"/>
      </w:pPr>
      <w:r>
        <w:rPr>
          <w:b/>
          <w:bCs/>
        </w:rPr>
        <w:t xml:space="preserve">What this does well: </w:t>
      </w:r>
      <w:r>
        <w:t xml:space="preserve">the visitor can self-qualify in under a minute, which is the right move for a long-tail self-serve product. The free tier is the conversion mechanism, with the 10-question cap creating natural upgrade pressure.</w:t>
      </w:r>
    </w:p>
    <w:p>
      <w:pPr>
        <w:spacing w:after="140"/>
        <w:jc w:val="left"/>
      </w:pPr>
      <w:r>
        <w:rPr>
          <w:b/>
          <w:bCs/>
        </w:rPr>
        <w:t xml:space="preserve">What it gives up: </w:t>
      </w:r>
      <w:r>
        <w:t xml:space="preserve">enterprise buyers who associate transparent pricing with consumer-grade product depth. Qualtrics deliberately hides pricing for the same reason.</w:t>
      </w:r>
    </w:p>
    <w:p>
      <w:pPr>
        <w:pStyle w:val="Heading2"/>
        <w:spacing w:after="140" w:before="280"/>
      </w:pPr>
      <w:r>
        <w:rPr>
          <w:color w:val="0B1733"/>
        </w:rPr>
        <w:t xml:space="preserve">Social proof and trust signals</w:t>
      </w:r>
    </w:p>
    <w:p>
      <w:pPr>
        <w:spacing w:after="140"/>
        <w:jc w:val="left"/>
      </w:pPr>
      <w:r>
        <w:t xml:space="preserve">This is where SurveyMonkey carries its weight. The page combines a Fortune 500 statistic, daily question counts, customer logos, testimonials, and template counts. Multiple signals stack on the same screen, and each one defends a different objection (will it scale, will my peers use it, will it cover my use case).</w:t>
      </w:r>
    </w:p>
    <w:p>
      <w:pPr>
        <w:spacing w:after="140"/>
        <w:jc w:val="left"/>
      </w:pPr>
      <w:r>
        <w:rPr>
          <w:b/>
          <w:bCs/>
        </w:rPr>
        <w:t xml:space="preserve">What this does well: </w:t>
      </w:r>
      <w:r>
        <w:t xml:space="preserve">trust is built in seconds, not minutes. A skeptical visitor finds at least one signal that matches their concern.</w:t>
      </w:r>
    </w:p>
    <w:p>
      <w:pPr>
        <w:spacing w:after="140"/>
        <w:jc w:val="left"/>
      </w:pPr>
      <w:r>
        <w:rPr>
          <w:b/>
          <w:bCs/>
        </w:rPr>
        <w:t xml:space="preserve">What it gives up: </w:t>
      </w:r>
      <w:r>
        <w:t xml:space="preserve">very little. The trust strategy is the strongest part of SurveyMonkey's site.</w:t>
      </w:r>
    </w:p>
    <w:p>
      <w:pPr>
        <w:pStyle w:val="Heading2"/>
        <w:spacing w:after="140" w:before="280"/>
      </w:pPr>
      <w:r>
        <w:rPr>
          <w:color w:val="0B1733"/>
        </w:rPr>
        <w:t xml:space="preserve">Copy voice and messaging</w:t>
      </w:r>
    </w:p>
    <w:p>
      <w:pPr>
        <w:spacing w:after="140"/>
        <w:jc w:val="left"/>
      </w:pPr>
      <w:r>
        <w:t xml:space="preserve">The voice is plain, productized, and benefit-led. Sentences are short. Every product feature is named in Title Case. The reader is addressed in second person ("Get the answers you need"). Jargon is light. Outcomes ("save time," "make smarter decisions") get more space than methodology.</w:t>
      </w:r>
    </w:p>
    <w:p>
      <w:pPr>
        <w:spacing w:after="140"/>
        <w:jc w:val="left"/>
      </w:pPr>
      <w:r>
        <w:rPr>
          <w:b/>
          <w:bCs/>
        </w:rPr>
        <w:t xml:space="preserve">What this does well: </w:t>
      </w:r>
      <w:r>
        <w:t xml:space="preserve">the page is readable by anyone in 90 seconds. There are no concepts the visitor needs to look up.</w:t>
      </w:r>
    </w:p>
    <w:p>
      <w:pPr>
        <w:spacing w:after="140"/>
        <w:jc w:val="left"/>
      </w:pPr>
      <w:r>
        <w:rPr>
          <w:b/>
          <w:bCs/>
        </w:rPr>
        <w:t xml:space="preserve">What it gives up: </w:t>
      </w:r>
      <w:r>
        <w:t xml:space="preserve">depth and specificity. The voice does not differentiate from a dozen other survey tools that use the same vocabulary.</w:t>
      </w:r>
    </w:p>
    <w:p>
      <w:pPr>
        <w:pStyle w:val="Heading2"/>
        <w:spacing w:after="140" w:before="280"/>
      </w:pPr>
      <w:r>
        <w:rPr>
          <w:color w:val="0B1733"/>
        </w:rPr>
        <w:t xml:space="preserve">Audience and solutions pages</w:t>
      </w:r>
    </w:p>
    <w:p>
      <w:pPr>
        <w:spacing w:after="140"/>
        <w:jc w:val="left"/>
      </w:pPr>
      <w:r>
        <w:t xml:space="preserve">Audience pages segment by team (HR, Marketing, Customer Service) and by use case (NPS, employee engagement, market research). Each page leads with a template gallery, supports a few benefit-led headlines, and routes to a relevant CTA.</w:t>
      </w:r>
    </w:p>
    <w:p>
      <w:pPr>
        <w:spacing w:after="140"/>
        <w:jc w:val="left"/>
      </w:pPr>
      <w:r>
        <w:rPr>
          <w:b/>
          <w:bCs/>
        </w:rPr>
        <w:t xml:space="preserve">What this does well: </w:t>
      </w:r>
      <w:r>
        <w:t xml:space="preserve">the visitor finds their use case quickly, sees a working starting point, and can sign up to use it in the same session.</w:t>
      </w:r>
    </w:p>
    <w:p>
      <w:pPr>
        <w:spacing w:after="140"/>
        <w:jc w:val="left"/>
      </w:pPr>
      <w:r>
        <w:rPr>
          <w:b/>
          <w:bCs/>
        </w:rPr>
        <w:t xml:space="preserve">What it gives up: </w:t>
      </w:r>
      <w:r>
        <w:t xml:space="preserve">industry depth. There is no "for community colleges" or "for Title IX program evaluation" page. SurveyMonkey targets horizontal use cases, not vertical industries.</w:t>
      </w:r>
    </w:p>
    <w:p>
      <w:r>
        <w:br w:type="page"/>
      </w:r>
    </w:p>
    <w:p>
      <w:pPr>
        <w:pStyle w:val="Heading1"/>
        <w:spacing w:after="180" w:before="360"/>
      </w:pPr>
      <w:r>
        <w:rPr>
          <w:color w:val="0B1733"/>
        </w:rPr>
        <w:t xml:space="preserve">Qualtrics: full assessment</w:t>
      </w:r>
    </w:p>
    <w:p>
      <w:pPr>
        <w:pStyle w:val="Heading2"/>
        <w:spacing w:after="140" w:before="280"/>
      </w:pPr>
      <w:r>
        <w:rPr>
          <w:color w:val="0B1733"/>
        </w:rPr>
        <w:t xml:space="preserve">Hero and positioning</w:t>
      </w:r>
    </w:p>
    <w:p>
      <w:pPr>
        <w:spacing w:after="140"/>
        <w:jc w:val="left"/>
      </w:pPr>
      <w:r>
        <w:t xml:space="preserve">Qualtrics frames itself as the AI-powered experience management platform. The headline carries strategic weight ("build something better," "unbreakable loyalty"), and the subhead positions AI as a unifier of signals across customer, employee, brand, and product touchpoints. The CTA is "request a demo," not "sign up."</w:t>
      </w:r>
    </w:p>
    <w:p>
      <w:pPr>
        <w:spacing w:after="140"/>
        <w:jc w:val="left"/>
      </w:pPr>
      <w:r>
        <w:rPr>
          <w:b/>
          <w:bCs/>
        </w:rPr>
        <w:t xml:space="preserve">What this does well: </w:t>
      </w:r>
      <w:r>
        <w:t xml:space="preserve">it credentials the platform for a senior buyer in five seconds. The vocabulary ("experience management," "unbreakable loyalty," "every touchpoint") signals that this is a strategic investment, not a tactical purchase.</w:t>
      </w:r>
    </w:p>
    <w:p>
      <w:pPr>
        <w:spacing w:after="140"/>
        <w:jc w:val="left"/>
      </w:pPr>
      <w:r>
        <w:rPr>
          <w:b/>
          <w:bCs/>
        </w:rPr>
        <w:t xml:space="preserve">What it gives up: </w:t>
      </w:r>
      <w:r>
        <w:t xml:space="preserve">a self-serve audience entirely. A visitor with a $500 budget and a single survey to run will bounce within ten seconds.</w:t>
      </w:r>
    </w:p>
    <w:p>
      <w:pPr>
        <w:pStyle w:val="Heading2"/>
        <w:spacing w:after="140" w:before="280"/>
      </w:pPr>
      <w:r>
        <w:rPr>
          <w:color w:val="0B1733"/>
        </w:rPr>
        <w:t xml:space="preserve">Navigation and information architecture</w:t>
      </w:r>
    </w:p>
    <w:p>
      <w:pPr>
        <w:spacing w:after="140"/>
        <w:jc w:val="left"/>
      </w:pPr>
      <w:r>
        <w:t xml:space="preserve">The nav is organized around outcomes (Customer Experience, Employee Experience, Brand Experience, Product Experience), industries (Healthcare, Financial Services, Retail, etc.), and capabilities (AI, Research, Insights). The structure mirrors how an enterprise buyer thinks about budget categories.</w:t>
      </w:r>
    </w:p>
    <w:p>
      <w:pPr>
        <w:spacing w:after="140"/>
        <w:jc w:val="left"/>
      </w:pPr>
      <w:r>
        <w:rPr>
          <w:b/>
          <w:bCs/>
        </w:rPr>
        <w:t xml:space="preserve">What this does well: </w:t>
      </w:r>
      <w:r>
        <w:t xml:space="preserve">the architecture aligns with how organizations of a certain size are organized. A CX leader, an HR leader, and a brand leader each find their landing page in one click.</w:t>
      </w:r>
    </w:p>
    <w:p>
      <w:pPr>
        <w:spacing w:after="140"/>
        <w:jc w:val="left"/>
      </w:pPr>
      <w:r>
        <w:rPr>
          <w:b/>
          <w:bCs/>
        </w:rPr>
        <w:t xml:space="preserve">What it gives up: </w:t>
      </w:r>
      <w:r>
        <w:t xml:space="preserve">visibility into what the product actually does. A visitor who wants to see a survey builder has to drill several levels deep.</w:t>
      </w:r>
    </w:p>
    <w:p>
      <w:pPr>
        <w:pStyle w:val="Heading2"/>
        <w:spacing w:after="140" w:before="280"/>
      </w:pPr>
      <w:r>
        <w:rPr>
          <w:color w:val="0B1733"/>
        </w:rPr>
        <w:t xml:space="preserve">Pricing and conversion</w:t>
      </w:r>
    </w:p>
    <w:p>
      <w:pPr>
        <w:spacing w:after="140"/>
        <w:jc w:val="left"/>
      </w:pPr>
      <w:r>
        <w:t xml:space="preserve">Qualtrics publishes no pricing. Every conversion path leads to "request a demo" or "contact sales." Independent reporting shows actual contracts running from $5,000 to over $100,000 per year, with a median around $28,000, and sales cycles of 30 to 60 days.</w:t>
      </w:r>
    </w:p>
    <w:p>
      <w:pPr>
        <w:spacing w:after="140"/>
        <w:jc w:val="left"/>
      </w:pPr>
      <w:r>
        <w:rPr>
          <w:b/>
          <w:bCs/>
        </w:rPr>
        <w:t xml:space="preserve">What this does well: </w:t>
      </w:r>
      <w:r>
        <w:t xml:space="preserve">it qualifies the buyer before any conversation happens. Anyone clicking "request a demo" is, by definition, willing to engage with sales. The custom-quote model also lets Qualtrics capture more value from large customers than transparent tiers would allow.</w:t>
      </w:r>
    </w:p>
    <w:p>
      <w:pPr>
        <w:spacing w:after="140"/>
        <w:jc w:val="left"/>
      </w:pPr>
      <w:r>
        <w:rPr>
          <w:b/>
          <w:bCs/>
        </w:rPr>
        <w:t xml:space="preserve">What it gives up: </w:t>
      </w:r>
      <w:r>
        <w:t xml:space="preserve">any buyer who needs to compare vendors quickly, run a small pilot, or test the product without a committee. Qualtrics has decided that buyer is not their customer.</w:t>
      </w:r>
    </w:p>
    <w:p>
      <w:pPr>
        <w:pStyle w:val="Heading2"/>
        <w:spacing w:after="140" w:before="280"/>
      </w:pPr>
      <w:r>
        <w:rPr>
          <w:color w:val="0B1733"/>
        </w:rPr>
        <w:t xml:space="preserve">Social proof and trust signals</w:t>
      </w:r>
    </w:p>
    <w:p>
      <w:pPr>
        <w:spacing w:after="140"/>
        <w:jc w:val="left"/>
      </w:pPr>
      <w:r>
        <w:t xml:space="preserve">The site emphasizes scale and authority. The customer count ("99 of the top 100 business schools," "20,000+ brands"), the analyst recognition ("Leader in the 2026 Gartner Magic Quadrant for Voice of the Customer"), and the named case study results ("research costs reduced 70%, NPS +43 points") work together to defend a budget conversation. Specific company logos appear on solutions pages and in the customer story pages.</w:t>
      </w:r>
    </w:p>
    <w:p>
      <w:pPr>
        <w:spacing w:after="140"/>
        <w:jc w:val="left"/>
      </w:pPr>
      <w:r>
        <w:rPr>
          <w:b/>
          <w:bCs/>
        </w:rPr>
        <w:t xml:space="preserve">What this does well: </w:t>
      </w:r>
      <w:r>
        <w:t xml:space="preserve">a strategic buyer reading the page finds defensible language they can paraphrase in a board memo. The Gartner Quadrant is doing real work in the conversion path, since it shortens the buyer's procurement-committee defense.</w:t>
      </w:r>
    </w:p>
    <w:p>
      <w:pPr>
        <w:spacing w:after="140"/>
        <w:jc w:val="left"/>
      </w:pPr>
      <w:r>
        <w:rPr>
          <w:b/>
          <w:bCs/>
        </w:rPr>
        <w:t xml:space="preserve">What it gives up: </w:t>
      </w:r>
      <w:r>
        <w:t xml:space="preserve">relatability for a smaller team. The page implies that ReliCheck-sized organizations are not the target, which is correct for Qualtrics but a tell for buyers who cannot afford the platform.</w:t>
      </w:r>
    </w:p>
    <w:p>
      <w:pPr>
        <w:pStyle w:val="Heading2"/>
        <w:spacing w:after="140" w:before="280"/>
      </w:pPr>
      <w:r>
        <w:rPr>
          <w:color w:val="0B1733"/>
        </w:rPr>
        <w:t xml:space="preserve">Copy voice and messaging</w:t>
      </w:r>
    </w:p>
    <w:p>
      <w:pPr>
        <w:spacing w:after="140"/>
        <w:jc w:val="left"/>
      </w:pPr>
      <w:r>
        <w:t xml:space="preserve">The voice is consultative, abstract, and outcome-led. Sentences carry strategic vocabulary ("loyalty," "experience," "signals," "intelligence"). The reader is addressed as a leader making a decision, not as an operator running a task. Methodology is implied, never named.</w:t>
      </w:r>
    </w:p>
    <w:p>
      <w:pPr>
        <w:spacing w:after="140"/>
        <w:jc w:val="left"/>
      </w:pPr>
      <w:r>
        <w:rPr>
          <w:b/>
          <w:bCs/>
        </w:rPr>
        <w:t xml:space="preserve">What this does well: </w:t>
      </w:r>
      <w:r>
        <w:t xml:space="preserve">it credentials the platform for the buyer who decides on a six-figure annual contract.</w:t>
      </w:r>
    </w:p>
    <w:p>
      <w:pPr>
        <w:spacing w:after="140"/>
        <w:jc w:val="left"/>
      </w:pPr>
      <w:r>
        <w:rPr>
          <w:b/>
          <w:bCs/>
        </w:rPr>
        <w:t xml:space="preserve">What it gives up: </w:t>
      </w:r>
      <w:r>
        <w:t xml:space="preserve">any reader who wants to see how the product works. The page is selling a strategy, not a tool.</w:t>
      </w:r>
    </w:p>
    <w:p>
      <w:pPr>
        <w:pStyle w:val="Heading2"/>
        <w:spacing w:after="140" w:before="280"/>
      </w:pPr>
      <w:r>
        <w:rPr>
          <w:color w:val="0B1733"/>
        </w:rPr>
        <w:t xml:space="preserve">Audience and solutions pages</w:t>
      </w:r>
    </w:p>
    <w:p>
      <w:pPr>
        <w:spacing w:after="140"/>
        <w:jc w:val="left"/>
      </w:pPr>
      <w:r>
        <w:t xml:space="preserve">Solutions pages are the backbone of the site. Each combines a strategic headline, a few outcome statistics, named customer stories, and an industry-specific framing. Industries get their own pages with healthcare, financial services, retail, education, and government as the primary verticals.</w:t>
      </w:r>
    </w:p>
    <w:p>
      <w:pPr>
        <w:spacing w:after="140"/>
        <w:jc w:val="left"/>
      </w:pPr>
      <w:r>
        <w:rPr>
          <w:b/>
          <w:bCs/>
        </w:rPr>
        <w:t xml:space="preserve">What this does well: </w:t>
      </w:r>
      <w:r>
        <w:t xml:space="preserve">the buyer sees a page already framed in their language and referencing their peer companies. A hospital administrator visiting Qualtrics finds a healthcare page, healthcare case studies, and healthcare-specific terminology.</w:t>
      </w:r>
    </w:p>
    <w:p>
      <w:pPr>
        <w:spacing w:after="140"/>
        <w:jc w:val="left"/>
      </w:pPr>
      <w:r>
        <w:rPr>
          <w:b/>
          <w:bCs/>
        </w:rPr>
        <w:t xml:space="preserve">What it gives up: </w:t>
      </w:r>
      <w:r>
        <w:t xml:space="preserve">lateral discovery. A visitor who is not yet sure what category they fall into has nowhere obvious to start.</w:t>
      </w:r>
    </w:p>
    <w:p>
      <w:r>
        <w:br w:type="page"/>
      </w:r>
    </w:p>
    <w:p>
      <w:pPr>
        <w:pStyle w:val="Heading1"/>
        <w:spacing w:after="180" w:before="360"/>
      </w:pPr>
      <w:r>
        <w:rPr>
          <w:color w:val="0B1733"/>
        </w:rPr>
        <w:t xml:space="preserve">ReliCheck baseline (current state)</w:t>
      </w:r>
    </w:p>
    <w:p>
      <w:pPr>
        <w:pStyle w:val="Heading2"/>
        <w:spacing w:after="140" w:before="280"/>
      </w:pPr>
      <w:r>
        <w:rPr>
          <w:color w:val="0B1733"/>
        </w:rPr>
        <w:t xml:space="preserve">What is on the site already</w:t>
      </w:r>
    </w:p>
    <w:p>
      <w:pPr>
        <w:spacing w:after="140"/>
        <w:jc w:val="left"/>
      </w:pPr>
      <w:r>
        <w:t xml:space="preserve">The homepage hero carries a strong, two-clause positioning line ("Surveys you can trust. Insights you can explain.") and was recently extended with an AI plus reliability thesis chip. The four-step strip (Build, Collect, Analyze, Report) gives a fast read of the workflow. A "How it works" four-card section, an intent grid ("What are you trying to do?"), an audience grid ("Who it's for"), and a feature section ("What makes ReliCheck different") build a complete narrative through the page. A new "AI in ReliCheck" section was added in the most recent shipment.</w:t>
      </w:r>
    </w:p>
    <w:p>
      <w:pPr>
        <w:spacing w:after="140"/>
        <w:jc w:val="left"/>
      </w:pPr>
      <w:r>
        <w:t xml:space="preserve">Audience pages exist for Education, HR and Teams, Customer Feedback, Research, and Mixed-Methods Research. Each one carries a sharp, audience-targeted hero headline. A Methodology page documents every formula, convention, and interpretation rule the platform uses. Beneath it, a Reliability Guide explains why these statistics matter for survey work. A new AI Features page documents how AI works in the platform with a human-review default. Pricing is published with clear tiers (free $0, paid $19, $49, $99, plus annual variants).</w:t>
      </w:r>
    </w:p>
    <w:p>
      <w:pPr>
        <w:pStyle w:val="Heading2"/>
        <w:spacing w:after="140" w:before="280"/>
      </w:pPr>
      <w:r>
        <w:rPr>
          <w:color w:val="0B1733"/>
        </w:rPr>
        <w:t xml:space="preserve">What is conspicuously absent</w:t>
      </w:r>
    </w:p>
    <w:p>
      <w:pPr>
        <w:spacing w:after="140"/>
        <w:jc w:val="left"/>
      </w:pPr>
      <w:r>
        <w:t xml:space="preserve">A scan of the marketing pages shows several gaps that competitors fill aggressively:</w:t>
      </w:r>
    </w:p>
    <w:p>
      <w:pPr>
        <w:pStyle w:val="ListParagraph"/>
        <w:numPr>
          <w:ilvl w:val="0"/>
          <w:numId w:val="2"/>
        </w:numPr>
        <w:spacing w:after="100"/>
      </w:pPr>
      <w:r>
        <w:t xml:space="preserve">No customer logos or "trusted by" strip anywhere on the site.</w:t>
      </w:r>
    </w:p>
    <w:p>
      <w:pPr>
        <w:pStyle w:val="ListParagraph"/>
        <w:numPr>
          <w:ilvl w:val="0"/>
          <w:numId w:val="2"/>
        </w:numPr>
        <w:spacing w:after="100"/>
      </w:pPr>
      <w:r>
        <w:t xml:space="preserve">No testimonials, customer quotes, or named case studies displayed.</w:t>
      </w:r>
    </w:p>
    <w:p>
      <w:pPr>
        <w:pStyle w:val="ListParagraph"/>
        <w:numPr>
          <w:ilvl w:val="0"/>
          <w:numId w:val="2"/>
        </w:numPr>
        <w:spacing w:after="100"/>
      </w:pPr>
      <w:r>
        <w:t xml:space="preserve">No usage statistics ("X surveys created," "Y respondents," "Z institutions").</w:t>
      </w:r>
    </w:p>
    <w:p>
      <w:pPr>
        <w:pStyle w:val="ListParagraph"/>
        <w:numPr>
          <w:ilvl w:val="0"/>
          <w:numId w:val="2"/>
        </w:numPr>
        <w:spacing w:after="100"/>
      </w:pPr>
      <w:r>
        <w:t xml:space="preserve">No press mentions, awards, or analyst recognition.</w:t>
      </w:r>
    </w:p>
    <w:p>
      <w:pPr>
        <w:pStyle w:val="ListParagraph"/>
        <w:numPr>
          <w:ilvl w:val="0"/>
          <w:numId w:val="2"/>
        </w:numPr>
        <w:spacing w:after="100"/>
      </w:pPr>
      <w:r>
        <w:t xml:space="preserve">No security or compliance badges (SOC 2, GDPR, FERPA) displayed visibly, even though the language implies the underlying capability.</w:t>
      </w:r>
    </w:p>
    <w:p>
      <w:pPr>
        <w:pStyle w:val="ListParagraph"/>
        <w:numPr>
          <w:ilvl w:val="0"/>
          <w:numId w:val="2"/>
        </w:numPr>
        <w:spacing w:after="100"/>
      </w:pPr>
      <w:r>
        <w:t xml:space="preserve">No industry-specific landing pages within the audience verticals (no "for community colleges," no "for Title IX," no "for healthcare HR," no "for academic medical centers").</w:t>
      </w:r>
    </w:p>
    <w:p>
      <w:pPr>
        <w:pStyle w:val="ListParagraph"/>
        <w:numPr>
          <w:ilvl w:val="0"/>
          <w:numId w:val="2"/>
        </w:numPr>
        <w:spacing w:after="100"/>
      </w:pPr>
      <w:r>
        <w:t xml:space="preserve">No comparison page versus SurveyMonkey or Qualtrics, even though the positioning is sharp enough to support one.</w:t>
      </w:r>
    </w:p>
    <w:p>
      <w:pPr>
        <w:pStyle w:val="ListParagraph"/>
        <w:numPr>
          <w:ilvl w:val="0"/>
          <w:numId w:val="2"/>
        </w:numPr>
        <w:spacing w:after="100"/>
      </w:pPr>
      <w:r>
        <w:t xml:space="preserve">No video, demo recording, or interactive sample on the homepage.</w:t>
      </w:r>
    </w:p>
    <w:p>
      <w:pPr>
        <w:pStyle w:val="ListParagraph"/>
        <w:numPr>
          <w:ilvl w:val="0"/>
          <w:numId w:val="2"/>
        </w:numPr>
        <w:spacing w:after="100"/>
      </w:pPr>
      <w:r>
        <w:t xml:space="preserve">No multilingual messaging (SurveyMonkey advertises 70+ languages).</w:t>
      </w:r>
    </w:p>
    <w:p>
      <w:pPr>
        <w:pStyle w:val="ListParagraph"/>
        <w:numPr>
          <w:ilvl w:val="0"/>
          <w:numId w:val="2"/>
        </w:numPr>
        <w:spacing w:after="100"/>
      </w:pPr>
      <w:r>
        <w:t xml:space="preserve">No mobile-app or browser-extension footprint.</w:t>
      </w:r>
    </w:p>
    <w:p>
      <w:pPr>
        <w:spacing w:after="140"/>
        <w:jc w:val="left"/>
      </w:pPr>
      <w:r>
        <w:t xml:space="preserve">These gaps are not voice gaps. They are inventory gaps.</w:t>
      </w:r>
    </w:p>
    <w:p>
      <w:pPr>
        <w:pStyle w:val="Heading1"/>
        <w:spacing w:after="180" w:before="360"/>
      </w:pPr>
      <w:r>
        <w:rPr>
          <w:color w:val="0B1733"/>
        </w:rPr>
        <w:t xml:space="preserve">Where ReliCheck wins (and competitors cannot easily copy)</w:t>
      </w:r>
    </w:p>
    <w:p>
      <w:pPr>
        <w:spacing w:after="140"/>
        <w:jc w:val="left"/>
      </w:pPr>
      <w:r>
        <w:t xml:space="preserve">Three things separate ReliCheck from both competitors, and the marketing site is already saying most of this:</w:t>
      </w:r>
    </w:p>
    <w:p>
      <w:pPr>
        <w:spacing w:after="140"/>
        <w:jc w:val="left"/>
      </w:pPr>
      <w:r>
        <w:rPr>
          <w:b/>
          <w:bCs/>
        </w:rPr>
        <w:t xml:space="preserve">1. Reliability scoring. </w:t>
      </w:r>
      <w:r>
        <w:t xml:space="preserve">SurveyMonkey treats statistical depth as out-of-scope. Qualtrics implies it without documenting it. ReliCheck publishes Cronbach's alpha, item-rest correlations, KMO, and split-half on every report. No competitor at any price point ships methodological transparency.</w:t>
      </w:r>
    </w:p>
    <w:p>
      <w:pPr>
        <w:spacing w:after="140"/>
        <w:jc w:val="left"/>
      </w:pPr>
      <w:r>
        <w:rPr>
          <w:b/>
          <w:bCs/>
        </w:rPr>
        <w:t xml:space="preserve">2. Methodological documentation. </w:t>
      </w:r>
      <w:r>
        <w:t xml:space="preserve">The Methodology page is the artifact a peer reviewer, accreditor, or auditor wants to read. SurveyMonkey does not have one. Qualtrics' methodology lives in support documentation, not in the marketing surface. ReliCheck's Methodology page belongs in the Resources nav, the footer, and the audience pages.</w:t>
      </w:r>
    </w:p>
    <w:p>
      <w:pPr>
        <w:spacing w:after="140"/>
        <w:jc w:val="left"/>
      </w:pPr>
      <w:r>
        <w:rPr>
          <w:b/>
          <w:bCs/>
        </w:rPr>
        <w:t xml:space="preserve">3. Audience hero specificity. </w:t>
      </w:r>
      <w:r>
        <w:t xml:space="preserve">"Engagement scores managers actually trust" and "NPS lifts your CFO will actually believe" are stronger than anything on either competitor's site. Both competitors hero around generic outcomes. ReliCheck heroes around the buyer's defensive posture, which is a sharper read of what the buyer actually wants.</w:t>
      </w:r>
    </w:p>
    <w:p>
      <w:pPr>
        <w:spacing w:after="140"/>
        <w:jc w:val="left"/>
      </w:pPr>
      <w:r>
        <w:t xml:space="preserve">The third point matters most for the recommendations. ReliCheck's voice is the moat. Anything that adds inventory (logos, statistics, case studies, industry pages) without changing the voice is high-leverage work.</w:t>
      </w:r>
    </w:p>
    <w:p>
      <w:r>
        <w:br w:type="page"/>
      </w:r>
    </w:p>
    <w:p>
      <w:pPr>
        <w:pStyle w:val="Heading1"/>
        <w:spacing w:after="180" w:before="360"/>
      </w:pPr>
      <w:r>
        <w:rPr>
          <w:color w:val="0B1733"/>
        </w:rPr>
        <w:t xml:space="preserve">Gap analysis</w:t>
      </w:r>
    </w:p>
    <w:p>
      <w:pPr>
        <w:spacing w:after="140"/>
        <w:jc w:val="left"/>
      </w:pPr>
      <w:r>
        <w:t xml:space="preserve">Where each platform stands on the dimensions that matter most for marketing-site conversion.</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640"/>
        <w:gridCol w:w="1740"/>
        <w:gridCol w:w="1740"/>
        <w:gridCol w:w="1740"/>
      </w:tblGrid>
      <w:tr>
        <w:tc>
          <w:tcPr>
            <w:tcW w:type="dxa" w:w="2640"/>
            <w:tcBorders>
              <w:top w:val="single" w:color="CCCCCC" w:sz="4"/>
              <w:left w:val="single" w:color="CCCCCC" w:sz="4"/>
              <w:bottom w:val="single" w:color="CCCCCC" w:sz="4"/>
              <w:right w:val="single" w:color="CCCCCC" w:sz="4"/>
            </w:tcBorders>
            <w:shd w:fill="0B1733" w:color="auto" w:val="clear"/>
            <w:tcMar>
              <w:top w:type="dxa" w:w="100"/>
              <w:left w:type="dxa" w:w="140"/>
              <w:bottom w:type="dxa" w:w="100"/>
              <w:right w:type="dxa" w:w="140"/>
            </w:tcMar>
          </w:tcPr>
          <w:p>
            <w:pPr>
              <w:spacing w:after="0"/>
              <w:jc w:val="center"/>
            </w:pPr>
            <w:r>
              <w:rPr>
                <w:b/>
                <w:bCs/>
                <w:color w:val="FFFFFF"/>
                <w:sz w:val="18"/>
                <w:szCs w:val="18"/>
              </w:rPr>
              <w:t xml:space="preserve">Dimension</w:t>
            </w:r>
          </w:p>
        </w:tc>
        <w:tc>
          <w:tcPr>
            <w:tcW w:type="dxa" w:w="1740"/>
            <w:tcBorders>
              <w:top w:val="single" w:color="CCCCCC" w:sz="4"/>
              <w:left w:val="single" w:color="CCCCCC" w:sz="4"/>
              <w:bottom w:val="single" w:color="CCCCCC" w:sz="4"/>
              <w:right w:val="single" w:color="CCCCCC" w:sz="4"/>
            </w:tcBorders>
            <w:shd w:fill="0B1733" w:color="auto" w:val="clear"/>
            <w:tcMar>
              <w:top w:type="dxa" w:w="100"/>
              <w:left w:type="dxa" w:w="140"/>
              <w:bottom w:type="dxa" w:w="100"/>
              <w:right w:type="dxa" w:w="140"/>
            </w:tcMar>
          </w:tcPr>
          <w:p>
            <w:pPr>
              <w:spacing w:after="0"/>
              <w:jc w:val="center"/>
            </w:pPr>
            <w:r>
              <w:rPr>
                <w:b/>
                <w:bCs/>
                <w:color w:val="FFFFFF"/>
                <w:sz w:val="18"/>
                <w:szCs w:val="18"/>
              </w:rPr>
              <w:t xml:space="preserve">SurveyMonkey</w:t>
            </w:r>
          </w:p>
        </w:tc>
        <w:tc>
          <w:tcPr>
            <w:tcW w:type="dxa" w:w="1740"/>
            <w:tcBorders>
              <w:top w:val="single" w:color="CCCCCC" w:sz="4"/>
              <w:left w:val="single" w:color="CCCCCC" w:sz="4"/>
              <w:bottom w:val="single" w:color="CCCCCC" w:sz="4"/>
              <w:right w:val="single" w:color="CCCCCC" w:sz="4"/>
            </w:tcBorders>
            <w:shd w:fill="0B1733" w:color="auto" w:val="clear"/>
            <w:tcMar>
              <w:top w:type="dxa" w:w="100"/>
              <w:left w:type="dxa" w:w="140"/>
              <w:bottom w:type="dxa" w:w="100"/>
              <w:right w:type="dxa" w:w="140"/>
            </w:tcMar>
          </w:tcPr>
          <w:p>
            <w:pPr>
              <w:spacing w:after="0"/>
              <w:jc w:val="center"/>
            </w:pPr>
            <w:r>
              <w:rPr>
                <w:b/>
                <w:bCs/>
                <w:color w:val="FFFFFF"/>
                <w:sz w:val="18"/>
                <w:szCs w:val="18"/>
              </w:rPr>
              <w:t xml:space="preserve">Qualtrics</w:t>
            </w:r>
          </w:p>
        </w:tc>
        <w:tc>
          <w:tcPr>
            <w:tcW w:type="dxa" w:w="1740"/>
            <w:tcBorders>
              <w:top w:val="single" w:color="CCCCCC" w:sz="4"/>
              <w:left w:val="single" w:color="CCCCCC" w:sz="4"/>
              <w:bottom w:val="single" w:color="CCCCCC" w:sz="4"/>
              <w:right w:val="single" w:color="CCCCCC" w:sz="4"/>
            </w:tcBorders>
            <w:shd w:fill="0B1733" w:color="auto" w:val="clear"/>
            <w:tcMar>
              <w:top w:type="dxa" w:w="100"/>
              <w:left w:type="dxa" w:w="140"/>
              <w:bottom w:type="dxa" w:w="100"/>
              <w:right w:type="dxa" w:w="140"/>
            </w:tcMar>
          </w:tcPr>
          <w:p>
            <w:pPr>
              <w:spacing w:after="0"/>
              <w:jc w:val="center"/>
            </w:pPr>
            <w:r>
              <w:rPr>
                <w:b/>
                <w:bCs/>
                <w:color w:val="FFFFFF"/>
                <w:sz w:val="18"/>
                <w:szCs w:val="18"/>
              </w:rPr>
              <w:t xml:space="preserve">ReliCheck</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bCs/>
                <w:color w:val="2A3346"/>
                <w:sz w:val="18"/>
                <w:szCs w:val="18"/>
              </w:rPr>
              <w:t xml:space="preserve">Hero positioning</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val="false"/>
                <w:bCs w:val="false"/>
                <w:color w:val="2A3346"/>
                <w:sz w:val="18"/>
                <w:szCs w:val="18"/>
              </w:rPr>
              <w:t xml:space="preserve">Speed plus AI</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val="false"/>
                <w:bCs w:val="false"/>
                <w:color w:val="2A3346"/>
                <w:sz w:val="18"/>
                <w:szCs w:val="18"/>
              </w:rPr>
              <w:t xml:space="preserve">Strategic XM</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val="false"/>
                <w:bCs w:val="false"/>
                <w:color w:val="2A3346"/>
                <w:sz w:val="18"/>
                <w:szCs w:val="18"/>
              </w:rPr>
              <w:t xml:space="preserve">Trust plus credibility</w:t>
            </w:r>
          </w:p>
        </w:tc>
      </w:tr>
      <w:tr>
        <w:tc>
          <w:tcPr>
            <w:tcW w:type="dxa" w:w="26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bCs/>
                <w:color w:val="2A3346"/>
                <w:sz w:val="18"/>
                <w:szCs w:val="18"/>
              </w:rPr>
              <w:t xml:space="preserve">Customer logos</w:t>
            </w:r>
          </w:p>
        </w:tc>
        <w:tc>
          <w:tcPr>
            <w:tcW w:type="dxa" w:w="17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val="false"/>
                <w:bCs w:val="false"/>
                <w:color w:val="2A3346"/>
                <w:sz w:val="18"/>
                <w:szCs w:val="18"/>
              </w:rPr>
              <w:t xml:space="preserve">Yes (Fortune 500 strip)</w:t>
            </w:r>
          </w:p>
        </w:tc>
        <w:tc>
          <w:tcPr>
            <w:tcW w:type="dxa" w:w="17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val="false"/>
                <w:bCs w:val="false"/>
                <w:color w:val="2A3346"/>
                <w:sz w:val="18"/>
                <w:szCs w:val="18"/>
              </w:rPr>
              <w:t xml:space="preserve">Yes (named brands)</w:t>
            </w:r>
          </w:p>
        </w:tc>
        <w:tc>
          <w:tcPr>
            <w:tcW w:type="dxa" w:w="17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val="false"/>
                <w:bCs w:val="false"/>
                <w:color w:val="2A3346"/>
                <w:sz w:val="18"/>
                <w:szCs w:val="18"/>
              </w:rPr>
              <w:t xml:space="preserve">None</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bCs/>
                <w:color w:val="2A3346"/>
                <w:sz w:val="18"/>
                <w:szCs w:val="18"/>
              </w:rPr>
              <w:t xml:space="preserve">Usage statistics</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val="false"/>
                <w:bCs w:val="false"/>
                <w:color w:val="2A3346"/>
                <w:sz w:val="18"/>
                <w:szCs w:val="18"/>
              </w:rPr>
              <w:t xml:space="preserve">Yes (16M questions daily)</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val="false"/>
                <w:bCs w:val="false"/>
                <w:color w:val="2A3346"/>
                <w:sz w:val="18"/>
                <w:szCs w:val="18"/>
              </w:rPr>
              <w:t xml:space="preserve">Yes (99 of top 100 schools)</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val="false"/>
                <w:bCs w:val="false"/>
                <w:color w:val="2A3346"/>
                <w:sz w:val="18"/>
                <w:szCs w:val="18"/>
              </w:rPr>
              <w:t xml:space="preserve">None</w:t>
            </w:r>
          </w:p>
        </w:tc>
      </w:tr>
      <w:tr>
        <w:tc>
          <w:tcPr>
            <w:tcW w:type="dxa" w:w="26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bCs/>
                <w:color w:val="2A3346"/>
                <w:sz w:val="18"/>
                <w:szCs w:val="18"/>
              </w:rPr>
              <w:t xml:space="preserve">Testimonials or case studies</w:t>
            </w:r>
          </w:p>
        </w:tc>
        <w:tc>
          <w:tcPr>
            <w:tcW w:type="dxa" w:w="17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val="false"/>
                <w:bCs w:val="false"/>
                <w:color w:val="2A3346"/>
                <w:sz w:val="18"/>
                <w:szCs w:val="18"/>
              </w:rPr>
              <w:t xml:space="preserve">Yes (multiple)</w:t>
            </w:r>
          </w:p>
        </w:tc>
        <w:tc>
          <w:tcPr>
            <w:tcW w:type="dxa" w:w="17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val="false"/>
                <w:bCs w:val="false"/>
                <w:color w:val="2A3346"/>
                <w:sz w:val="18"/>
                <w:szCs w:val="18"/>
              </w:rPr>
              <w:t xml:space="preserve">Yes (industry-segmented)</w:t>
            </w:r>
          </w:p>
        </w:tc>
        <w:tc>
          <w:tcPr>
            <w:tcW w:type="dxa" w:w="17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val="false"/>
                <w:bCs w:val="false"/>
                <w:color w:val="2A3346"/>
                <w:sz w:val="18"/>
                <w:szCs w:val="18"/>
              </w:rPr>
              <w:t xml:space="preserve">None</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bCs/>
                <w:color w:val="2A3346"/>
                <w:sz w:val="18"/>
                <w:szCs w:val="18"/>
              </w:rPr>
              <w:t xml:space="preserve">Analyst recognition</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val="false"/>
                <w:bCs w:val="false"/>
                <w:color w:val="2A3346"/>
                <w:sz w:val="18"/>
                <w:szCs w:val="18"/>
              </w:rPr>
              <w:t xml:space="preserve">Implied</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val="false"/>
                <w:bCs w:val="false"/>
                <w:color w:val="2A3346"/>
                <w:sz w:val="18"/>
                <w:szCs w:val="18"/>
              </w:rPr>
              <w:t xml:space="preserve">Gartner Magic Quadrant Leader</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val="false"/>
                <w:bCs w:val="false"/>
                <w:color w:val="2A3346"/>
                <w:sz w:val="18"/>
                <w:szCs w:val="18"/>
              </w:rPr>
              <w:t xml:space="preserve">None</w:t>
            </w:r>
          </w:p>
        </w:tc>
      </w:tr>
      <w:tr>
        <w:tc>
          <w:tcPr>
            <w:tcW w:type="dxa" w:w="26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bCs/>
                <w:color w:val="2A3346"/>
                <w:sz w:val="18"/>
                <w:szCs w:val="18"/>
              </w:rPr>
              <w:t xml:space="preserve">Compliance badges</w:t>
            </w:r>
          </w:p>
        </w:tc>
        <w:tc>
          <w:tcPr>
            <w:tcW w:type="dxa" w:w="17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val="false"/>
                <w:bCs w:val="false"/>
                <w:color w:val="2A3346"/>
                <w:sz w:val="18"/>
                <w:szCs w:val="18"/>
              </w:rPr>
              <w:t xml:space="preserve">Visible</w:t>
            </w:r>
          </w:p>
        </w:tc>
        <w:tc>
          <w:tcPr>
            <w:tcW w:type="dxa" w:w="17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val="false"/>
                <w:bCs w:val="false"/>
                <w:color w:val="2A3346"/>
                <w:sz w:val="18"/>
                <w:szCs w:val="18"/>
              </w:rPr>
              <w:t xml:space="preserve">Visible</w:t>
            </w:r>
          </w:p>
        </w:tc>
        <w:tc>
          <w:tcPr>
            <w:tcW w:type="dxa" w:w="17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val="false"/>
                <w:bCs w:val="false"/>
                <w:color w:val="2A3346"/>
                <w:sz w:val="18"/>
                <w:szCs w:val="18"/>
              </w:rPr>
              <w:t xml:space="preserve">Mentioned, not surfaced</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bCs/>
                <w:color w:val="2A3346"/>
                <w:sz w:val="18"/>
                <w:szCs w:val="18"/>
              </w:rPr>
              <w:t xml:space="preserve">Pricing transparency</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val="false"/>
                <w:bCs w:val="false"/>
                <w:color w:val="2A3346"/>
                <w:sz w:val="18"/>
                <w:szCs w:val="18"/>
              </w:rPr>
              <w:t xml:space="preserve">Full tiers published</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val="false"/>
                <w:bCs w:val="false"/>
                <w:color w:val="2A3346"/>
                <w:sz w:val="18"/>
                <w:szCs w:val="18"/>
              </w:rPr>
              <w:t xml:space="preserve">Hidden, demo-led</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val="false"/>
                <w:bCs w:val="false"/>
                <w:color w:val="2A3346"/>
                <w:sz w:val="18"/>
                <w:szCs w:val="18"/>
              </w:rPr>
              <w:t xml:space="preserve">Full tiers published</w:t>
            </w:r>
          </w:p>
        </w:tc>
      </w:tr>
      <w:tr>
        <w:tc>
          <w:tcPr>
            <w:tcW w:type="dxa" w:w="26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bCs/>
                <w:color w:val="2A3346"/>
                <w:sz w:val="18"/>
                <w:szCs w:val="18"/>
              </w:rPr>
              <w:t xml:space="preserve">Free plan</w:t>
            </w:r>
          </w:p>
        </w:tc>
        <w:tc>
          <w:tcPr>
            <w:tcW w:type="dxa" w:w="17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val="false"/>
                <w:bCs w:val="false"/>
                <w:color w:val="2A3346"/>
                <w:sz w:val="18"/>
                <w:szCs w:val="18"/>
              </w:rPr>
              <w:t xml:space="preserve">Yes (10 questions)</w:t>
            </w:r>
          </w:p>
        </w:tc>
        <w:tc>
          <w:tcPr>
            <w:tcW w:type="dxa" w:w="17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val="false"/>
                <w:bCs w:val="false"/>
                <w:color w:val="2A3346"/>
                <w:sz w:val="18"/>
                <w:szCs w:val="18"/>
              </w:rPr>
              <w:t xml:space="preserve">None</w:t>
            </w:r>
          </w:p>
        </w:tc>
        <w:tc>
          <w:tcPr>
            <w:tcW w:type="dxa" w:w="17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val="false"/>
                <w:bCs w:val="false"/>
                <w:color w:val="2A3346"/>
                <w:sz w:val="18"/>
                <w:szCs w:val="18"/>
              </w:rPr>
              <w:t xml:space="preserve">Yes</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bCs/>
                <w:color w:val="2A3346"/>
                <w:sz w:val="18"/>
                <w:szCs w:val="18"/>
              </w:rPr>
              <w:t xml:space="preserve">Industry pages</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val="false"/>
                <w:bCs w:val="false"/>
                <w:color w:val="2A3346"/>
                <w:sz w:val="18"/>
                <w:szCs w:val="18"/>
              </w:rPr>
              <w:t xml:space="preserve">None (use-case based)</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val="false"/>
                <w:bCs w:val="false"/>
                <w:color w:val="2A3346"/>
                <w:sz w:val="18"/>
                <w:szCs w:val="18"/>
              </w:rPr>
              <w:t xml:space="preserve">Many (healthcare, finance, retail)</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val="false"/>
                <w:bCs w:val="false"/>
                <w:color w:val="2A3346"/>
                <w:sz w:val="18"/>
                <w:szCs w:val="18"/>
              </w:rPr>
              <w:t xml:space="preserve">None</w:t>
            </w:r>
          </w:p>
        </w:tc>
      </w:tr>
      <w:tr>
        <w:tc>
          <w:tcPr>
            <w:tcW w:type="dxa" w:w="26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bCs/>
                <w:color w:val="2A3346"/>
                <w:sz w:val="18"/>
                <w:szCs w:val="18"/>
              </w:rPr>
              <w:t xml:space="preserve">Comparison page</w:t>
            </w:r>
          </w:p>
        </w:tc>
        <w:tc>
          <w:tcPr>
            <w:tcW w:type="dxa" w:w="17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val="false"/>
                <w:bCs w:val="false"/>
                <w:color w:val="2A3346"/>
                <w:sz w:val="18"/>
                <w:szCs w:val="18"/>
              </w:rPr>
              <w:t xml:space="preserve">Yes (vs. competitors)</w:t>
            </w:r>
          </w:p>
        </w:tc>
        <w:tc>
          <w:tcPr>
            <w:tcW w:type="dxa" w:w="17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val="false"/>
                <w:bCs w:val="false"/>
                <w:color w:val="2A3346"/>
                <w:sz w:val="18"/>
                <w:szCs w:val="18"/>
              </w:rPr>
              <w:t xml:space="preserve">None</w:t>
            </w:r>
          </w:p>
        </w:tc>
        <w:tc>
          <w:tcPr>
            <w:tcW w:type="dxa" w:w="17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val="false"/>
                <w:bCs w:val="false"/>
                <w:color w:val="2A3346"/>
                <w:sz w:val="18"/>
                <w:szCs w:val="18"/>
              </w:rPr>
              <w:t xml:space="preserve">None</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bCs/>
                <w:color w:val="2A3346"/>
                <w:sz w:val="18"/>
                <w:szCs w:val="18"/>
              </w:rPr>
              <w:t xml:space="preserve">Methodology documentation</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val="false"/>
                <w:bCs w:val="false"/>
                <w:color w:val="2A3346"/>
                <w:sz w:val="18"/>
                <w:szCs w:val="18"/>
              </w:rPr>
              <w:t xml:space="preserve">None</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val="false"/>
                <w:bCs w:val="false"/>
                <w:color w:val="2A3346"/>
                <w:sz w:val="18"/>
                <w:szCs w:val="18"/>
              </w:rPr>
              <w:t xml:space="preserve">None</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jc w:val="left"/>
            </w:pPr>
            <w:r>
              <w:rPr>
                <w:b w:val="false"/>
                <w:bCs w:val="false"/>
                <w:color w:val="2A3346"/>
                <w:sz w:val="18"/>
                <w:szCs w:val="18"/>
              </w:rPr>
              <w:t xml:space="preserve">Yes (unique)</w:t>
            </w:r>
          </w:p>
        </w:tc>
      </w:tr>
      <w:tr>
        <w:tc>
          <w:tcPr>
            <w:tcW w:type="dxa" w:w="26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bCs/>
                <w:color w:val="2A3346"/>
                <w:sz w:val="18"/>
                <w:szCs w:val="18"/>
              </w:rPr>
              <w:t xml:space="preserve">AI page</w:t>
            </w:r>
          </w:p>
        </w:tc>
        <w:tc>
          <w:tcPr>
            <w:tcW w:type="dxa" w:w="17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val="false"/>
                <w:bCs w:val="false"/>
                <w:color w:val="2A3346"/>
                <w:sz w:val="18"/>
                <w:szCs w:val="18"/>
              </w:rPr>
              <w:t xml:space="preserve">Yes</w:t>
            </w:r>
          </w:p>
        </w:tc>
        <w:tc>
          <w:tcPr>
            <w:tcW w:type="dxa" w:w="17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val="false"/>
                <w:bCs w:val="false"/>
                <w:color w:val="2A3346"/>
                <w:sz w:val="18"/>
                <w:szCs w:val="18"/>
              </w:rPr>
              <w:t xml:space="preserve">Yes</w:t>
            </w:r>
          </w:p>
        </w:tc>
        <w:tc>
          <w:tcPr>
            <w:tcW w:type="dxa" w:w="1740"/>
            <w:tcBorders>
              <w:top w:val="single" w:color="CCCCCC" w:sz="4"/>
              <w:left w:val="single" w:color="CCCCCC" w:sz="4"/>
              <w:bottom w:val="single" w:color="CCCCCC" w:sz="4"/>
              <w:right w:val="single" w:color="CCCCCC" w:sz="4"/>
            </w:tcBorders>
            <w:shd w:fill="F5F7FB" w:color="auto" w:val="clear"/>
            <w:tcMar>
              <w:top w:type="dxa" w:w="100"/>
              <w:left w:type="dxa" w:w="140"/>
              <w:bottom w:type="dxa" w:w="100"/>
              <w:right w:type="dxa" w:w="140"/>
            </w:tcMar>
          </w:tcPr>
          <w:p>
            <w:pPr>
              <w:spacing w:after="0"/>
              <w:jc w:val="left"/>
            </w:pPr>
            <w:r>
              <w:rPr>
                <w:b w:val="false"/>
                <w:bCs w:val="false"/>
                <w:color w:val="2A3346"/>
                <w:sz w:val="18"/>
                <w:szCs w:val="18"/>
              </w:rPr>
              <w:t xml:space="preserve">Yes (just shipped)</w:t>
            </w:r>
          </w:p>
        </w:tc>
      </w:tr>
    </w:tbl>
    <w:p>
      <w:pPr>
        <w:spacing w:after="200"/>
      </w:pPr>
      <w:r>
        <w:t xml:space="preserve"/>
      </w:r>
    </w:p>
    <w:p>
      <w:pPr>
        <w:spacing w:after="140"/>
        <w:jc w:val="left"/>
      </w:pPr>
      <w:r>
        <w:t xml:space="preserve">The pattern is clear. ReliCheck is doing well on the hard, defensible items (positioning voice, methodology, AI page, pricing transparency) and poorly on the cheap, mechanical items (logos, statistics, badges, case studies).</w:t>
      </w:r>
    </w:p>
    <w:p>
      <w:pPr>
        <w:pStyle w:val="Heading1"/>
        <w:spacing w:after="180" w:before="360"/>
      </w:pPr>
      <w:r>
        <w:rPr>
          <w:color w:val="0B1733"/>
        </w:rPr>
        <w:t xml:space="preserve">Recommendations, prioritized</w:t>
      </w:r>
    </w:p>
    <w:p>
      <w:pPr>
        <w:pStyle w:val="Heading2"/>
        <w:spacing w:after="140" w:before="280"/>
      </w:pPr>
      <w:r>
        <w:rPr>
          <w:color w:val="0B1733"/>
        </w:rPr>
        <w:t xml:space="preserve">Tier 1: high impact, low effort (ship within two weeks)</w:t>
      </w:r>
    </w:p>
    <w:p>
      <w:pPr>
        <w:spacing w:after="140"/>
        <w:jc w:val="left"/>
      </w:pPr>
      <w:r>
        <w:rPr>
          <w:b/>
          <w:bCs/>
        </w:rPr>
        <w:t xml:space="preserve">1. Add a "trusted by" customer logo strip below the hero. </w:t>
      </w:r>
      <w:r>
        <w:t xml:space="preserve">Even three or four logos is enough to defuse the "is this real?" objection. If named institutional customers are not yet ready to be public, use category logos ("a top-25 business school," "a state university system," "an accredited graduate program"). The strip should appear on index.html, education.html, hr-teams.html, and research.html.</w:t>
      </w:r>
    </w:p>
    <w:p>
      <w:pPr>
        <w:spacing w:after="140"/>
        <w:jc w:val="left"/>
      </w:pPr>
      <w:r>
        <w:rPr>
          <w:b/>
          <w:bCs/>
        </w:rPr>
        <w:t xml:space="preserve">2. Surface compliance badges in the footer and on the privacy page. </w:t>
      </w:r>
      <w:r>
        <w:t xml:space="preserve">SOC 2, GDPR, FERPA where applicable. Badges signal due diligence even when no one reads the underlying audit.</w:t>
      </w:r>
    </w:p>
    <w:p>
      <w:pPr>
        <w:spacing w:after="140"/>
        <w:jc w:val="left"/>
      </w:pPr>
      <w:r>
        <w:rPr>
          <w:b/>
          <w:bCs/>
        </w:rPr>
        <w:t xml:space="preserve">3. Add a usage statistic line near the hero. </w:t>
      </w:r>
      <w:r>
        <w:t xml:space="preserve">Three options, in order of preference: "Used by [N] research teams," "[N] surveys analyzed for reliability," or "Trusted by faculty at [N] institutions." The number does not need to be large to be useful. It needs to be specific.</w:t>
      </w:r>
    </w:p>
    <w:p>
      <w:pPr>
        <w:spacing w:after="140"/>
        <w:jc w:val="left"/>
      </w:pPr>
      <w:r>
        <w:rPr>
          <w:b/>
          <w:bCs/>
        </w:rPr>
        <w:t xml:space="preserve">4. Move the Methodology link out of the Resources dropdown and into the footer's Product column. </w:t>
      </w:r>
      <w:r>
        <w:t xml:space="preserve">The Methodology page is a competitive moat, and burying it in Resources understates it.</w:t>
      </w:r>
    </w:p>
    <w:p>
      <w:pPr>
        <w:spacing w:after="140"/>
        <w:jc w:val="left"/>
      </w:pPr>
      <w:r>
        <w:rPr>
          <w:b/>
          <w:bCs/>
        </w:rPr>
        <w:t xml:space="preserve">5. Replace the generic "Get started" CTA with audience-specific CTAs on audience pages. </w:t>
      </w:r>
      <w:r>
        <w:t xml:space="preserve">"Run a course evaluation," "Field an engagement survey," "Start a peer-review-ready study." Specificity converts.</w:t>
      </w:r>
    </w:p>
    <w:p>
      <w:pPr>
        <w:pStyle w:val="Heading2"/>
        <w:spacing w:after="140" w:before="280"/>
      </w:pPr>
      <w:r>
        <w:rPr>
          <w:color w:val="0B1733"/>
        </w:rPr>
        <w:t xml:space="preserve">Tier 2: high impact, medium effort (ship within one to two months)</w:t>
      </w:r>
    </w:p>
    <w:p>
      <w:pPr>
        <w:spacing w:after="140"/>
        <w:jc w:val="left"/>
      </w:pPr>
      <w:r>
        <w:rPr>
          <w:b/>
          <w:bCs/>
        </w:rPr>
        <w:t xml:space="preserve">6. Build one customer story per audience vertical. </w:t>
      </w:r>
      <w:r>
        <w:t xml:space="preserve">Five total: Education, HR, Customer Feedback, Research, Mixed-Methods. Each one needs a setup, a method, a result with numbers, and a quote. The case studies become the social proof layer for the rest of the site, the sales conversation, and the LinkedIn content calendar at the same time. If launch customers are not yet ready, lead with a pilot study or a methodological case study.</w:t>
      </w:r>
    </w:p>
    <w:p>
      <w:pPr>
        <w:spacing w:after="140"/>
        <w:jc w:val="left"/>
      </w:pPr>
      <w:r>
        <w:rPr>
          <w:b/>
          <w:bCs/>
        </w:rPr>
        <w:t xml:space="preserve">7. Add a comparison page (relicheck-vs-surveymonkey, relicheck-vs-qualtrics). </w:t>
      </w:r>
      <w:r>
        <w:t xml:space="preserve">The positioning is sharp enough to support honest comparisons. Use a feature-by-feature table where ReliCheck wins on reliability, methodology, AI plus reliability, and the audience verticals where the buyer cares about defensible results. Do not pretend to win on breadth, ease, or scale.</w:t>
      </w:r>
    </w:p>
    <w:p>
      <w:pPr>
        <w:spacing w:after="140"/>
        <w:jc w:val="left"/>
      </w:pPr>
      <w:r>
        <w:rPr>
          <w:b/>
          <w:bCs/>
        </w:rPr>
        <w:t xml:space="preserve">8. Build two industry pages within Education. </w:t>
      </w:r>
      <w:r>
        <w:t xml:space="preserve">"For community colleges" and "for academic medical centers" are the two highest-value verticals where reliability and methodology matter most for accreditation. Each industry page reuses the audience template but swaps the language, examples, and templates.</w:t>
      </w:r>
    </w:p>
    <w:p>
      <w:pPr>
        <w:spacing w:after="140"/>
        <w:jc w:val="left"/>
      </w:pPr>
      <w:r>
        <w:rPr>
          <w:b/>
          <w:bCs/>
        </w:rPr>
        <w:t xml:space="preserve">9. Add a 60-second product video to the homepage hero. </w:t>
      </w:r>
      <w:r>
        <w:t xml:space="preserve">Not a polished marketing reel. A real screen recording of a survey going from blank to fielded to reliability-scored. The 60-second video is the most efficient way to defuse the "what does this actually do?" objection.</w:t>
      </w:r>
    </w:p>
    <w:p>
      <w:pPr>
        <w:pStyle w:val="Heading2"/>
        <w:spacing w:after="140" w:before="280"/>
      </w:pPr>
      <w:r>
        <w:rPr>
          <w:color w:val="0B1733"/>
        </w:rPr>
        <w:t xml:space="preserve">Tier 3: high impact, larger effort (next quarter)</w:t>
      </w:r>
    </w:p>
    <w:p>
      <w:pPr>
        <w:spacing w:after="140"/>
        <w:jc w:val="left"/>
      </w:pPr>
      <w:r>
        <w:rPr>
          <w:b/>
          <w:bCs/>
        </w:rPr>
        <w:t xml:space="preserve">10. Build a "Press and recognition" section. </w:t>
      </w:r>
      <w:r>
        <w:t xml:space="preserve">This requires earning the recognition first. Submit ReliCheck for an analyst report (G2, Capterra, Software Advice, Gartner Cool Vendor list), a CHEA accreditation services callout, or a research-tools roundup at Educause or AERA. Each item earned becomes a social proof asset for the next two years.</w:t>
      </w:r>
    </w:p>
    <w:p>
      <w:pPr>
        <w:spacing w:after="140"/>
        <w:jc w:val="left"/>
      </w:pPr>
      <w:r>
        <w:rPr>
          <w:b/>
          <w:bCs/>
        </w:rPr>
        <w:t xml:space="preserve">11. Add a "ReliCheck for [industry]" page family. </w:t>
      </w:r>
      <w:r>
        <w:t xml:space="preserve">Healthcare HR, K-12, government program evaluation, nonprofit grant reporting. Each one extends the existing audience pages but speaks to a specific budget conversation. Industry pages are how Qualtrics defends a six-figure ACV. ReliCheck does not need to defend that price point, but the pages still help with self-routing.</w:t>
      </w:r>
    </w:p>
    <w:p>
      <w:pPr>
        <w:spacing w:after="140"/>
        <w:jc w:val="left"/>
      </w:pPr>
      <w:r>
        <w:rPr>
          <w:b/>
          <w:bCs/>
        </w:rPr>
        <w:t xml:space="preserve">12. Build an interactive sample report. </w:t>
      </w:r>
      <w:r>
        <w:t xml:space="preserve">The Samples page already exists. Add one report that loads sample data, lets the visitor click through reliability scoring, AI question review, and theme extraction without signing up. The interactive sample is the closest thing to a working demo without an account creation step.</w:t>
      </w:r>
    </w:p>
    <w:p>
      <w:pPr>
        <w:pStyle w:val="Heading2"/>
        <w:spacing w:after="140" w:before="280"/>
      </w:pPr>
      <w:r>
        <w:rPr>
          <w:color w:val="0B1733"/>
        </w:rPr>
        <w:t xml:space="preserve">What not to do</w:t>
      </w:r>
    </w:p>
    <w:p>
      <w:pPr>
        <w:spacing w:after="140"/>
        <w:jc w:val="left"/>
      </w:pPr>
      <w:r>
        <w:rPr>
          <w:b/>
          <w:bCs/>
        </w:rPr>
        <w:t xml:space="preserve">Do not build an "AI Survey Generator" in the SurveyMonkey style. </w:t>
      </w:r>
      <w:r>
        <w:t xml:space="preserve">A prompt-to-survey tool produces instruments that fail reliability checks, which is exactly the problem ReliCheck was built to solve. Letting AI generate the survey from scratch undermines the positioning.</w:t>
      </w:r>
    </w:p>
    <w:p>
      <w:pPr>
        <w:spacing w:after="140"/>
        <w:jc w:val="left"/>
      </w:pPr>
      <w:r>
        <w:rPr>
          <w:b/>
          <w:bCs/>
        </w:rPr>
        <w:t xml:space="preserve">Do not hide pricing. </w:t>
      </w:r>
      <w:r>
        <w:t xml:space="preserve">Qualtrics' demo-led model works because Qualtrics has 8,500 customers and a Gartner badge. ReliCheck does not need to manufacture friction at the entry point.</w:t>
      </w:r>
    </w:p>
    <w:p>
      <w:pPr>
        <w:spacing w:after="140"/>
        <w:jc w:val="left"/>
      </w:pPr>
      <w:r>
        <w:rPr>
          <w:b/>
          <w:bCs/>
        </w:rPr>
        <w:t xml:space="preserve">Do not chase enterprise vocabulary. </w:t>
      </w:r>
      <w:r>
        <w:t xml:space="preserve">"Experience management," "unbreakable loyalty," "signals across every touchpoint." Each one is borrowed clothing for ReliCheck. The sharper voice is already on the audience pages.</w:t>
      </w:r>
    </w:p>
    <w:p>
      <w:pPr>
        <w:pStyle w:val="Heading1"/>
        <w:spacing w:after="180" w:before="360"/>
      </w:pPr>
      <w:r>
        <w:rPr>
          <w:color w:val="0B1733"/>
        </w:rPr>
        <w:t xml:space="preserve">Closing</w:t>
      </w:r>
    </w:p>
    <w:p>
      <w:pPr>
        <w:spacing w:after="140"/>
        <w:jc w:val="left"/>
      </w:pPr>
      <w:r>
        <w:t xml:space="preserve">ReliCheck has two assets neither competitor can buy: a positioning voice that already names the buyer's actual concern, and a methodological foundation that no other survey product documents publicly. The work to do now is mechanical, not strategic. Logos, statistics, case studies, comparison pages, and industry depth are the missing inventory. The voice that holds the site together does not need to change.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4A5568"/>
        <w:sz w:val="18"/>
        <w:szCs w:val="18"/>
      </w:rPr>
      <w:t xml:space="preserve">Prepared by Claude for Donald Easton-Brooks</w:t>
    </w:r>
    <w:r>
      <w:t xml:space="preserve">	</w:t>
    </w:r>
    <w:r>
      <w:rPr>
        <w:color w:val="4A5568"/>
        <w:sz w:val="18"/>
        <w:szCs w:val="18"/>
      </w:rPr>
      <w:t xml:space="preserve">Page </w:t>
    </w:r>
    <w:r>
      <w:rPr>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568"/>
        <w:sz w:val="18"/>
        <w:szCs w:val="18"/>
      </w:rPr>
      <w:t xml:space="preserve">ReliCheck Marketing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B1733"/>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B173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B17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ReliCheck vs. SurveyMonkey vs. Qualtrics — Marketing Assessment</dc:title>
  <dc:creator>Claude for Donald Easton-Brooks</dc:creator>
  <dc:description>Marketing site assessment with prioritized recommendations</dc:description>
  <cp:lastModifiedBy>Un-named</cp:lastModifiedBy>
  <cp:revision>1</cp:revision>
  <dcterms:created xsi:type="dcterms:W3CDTF">2026-05-08T12:12:11.400Z</dcterms:created>
  <dcterms:modified xsi:type="dcterms:W3CDTF">2026-05-08T12:12:11.400Z</dcterms:modified>
</cp:coreProperties>
</file>

<file path=docProps/custom.xml><?xml version="1.0" encoding="utf-8"?>
<Properties xmlns="http://schemas.openxmlformats.org/officeDocument/2006/custom-properties" xmlns:vt="http://schemas.openxmlformats.org/officeDocument/2006/docPropsVTypes"/>
</file>