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color w:val="5A6470"/>
          <w:sz w:val="22"/>
          <w:szCs w:val="22"/>
        </w:rPr>
        <w:t xml:space="preserve">ReliCheck Mixed Methods Studio</w:t>
      </w:r>
    </w:p>
    <w:p>
      <w:pPr>
        <w:spacing w:after="240"/>
        <w:jc w:val="left"/>
      </w:pPr>
      <w:r>
        <w:rPr>
          <w:b/>
          <w:bCs/>
          <w:sz w:val="36"/>
          <w:szCs w:val="36"/>
        </w:rPr>
        <w:t xml:space="preserve">Panel Design Proposal: Reliability</w:t>
      </w:r>
    </w:p>
    <w:p>
      <w:pPr>
        <w:spacing w:after="80" w:before="80"/>
      </w:pPr>
      <w:r>
        <w:rPr>
          <w:b w:val="false"/>
          <w:bCs w:val="false"/>
          <w:i w:val="false"/>
          <w:iCs w:val="false"/>
        </w:rPr>
        <w:t xml:space="preserve">Panel-by-panel redesign, step by step. This document covers the Reliability panel only — Cronbach’s alpha and McDonald’s omega. Once you approve, this becomes the implementation spec. We then move to the next panel.</w:t>
      </w:r>
    </w:p>
    <w:p>
      <w:r>
        <w:t xml:space="preserve"/>
      </w:r>
    </w:p>
    <w:p>
      <w:pPr>
        <w:pStyle w:val="Heading1"/>
      </w:pPr>
      <w:r>
        <w:t xml:space="preserve">1. What this panel is for</w:t>
      </w:r>
    </w:p>
    <w:p>
      <w:pPr>
        <w:spacing w:after="80" w:before="80"/>
      </w:pPr>
      <w:r>
        <w:rPr>
          <w:b w:val="false"/>
          <w:bCs w:val="false"/>
          <w:i w:val="false"/>
          <w:iCs w:val="false"/>
        </w:rPr>
        <w:t xml:space="preserve">The Reliability panel exists to give a mixed-methods researcher the internal-consistency evidence they will defend in their methods chapter. It is not a builder tool. It is not a survey diagnostic. It is the page where a researcher takes a screenshot, copies a sentence, and pastes both into the Reliability subsection of their methods write-up.</w:t>
      </w:r>
    </w:p>
    <w:p>
      <w:pPr>
        <w:spacing w:after="80" w:before="80"/>
      </w:pPr>
      <w:r>
        <w:rPr>
          <w:b w:val="false"/>
          <w:bCs w:val="false"/>
          <w:i w:val="false"/>
          <w:iCs w:val="false"/>
        </w:rPr>
        <w:t xml:space="preserve">This framing changes every design decision. The headline number is alpha. The supporting number is omega. The supporting evidence is item-total correlations and alpha-if-item-deleted. The output the user actually needs is a defensible methods paragraph with the numbers already inserted in APA form.</w:t>
      </w:r>
    </w:p>
    <w:p>
      <w:pPr>
        <w:spacing w:after="80" w:before="80"/>
      </w:pPr>
      <w:r>
        <w:rPr>
          <w:b w:val="false"/>
          <w:bCs w:val="false"/>
          <w:i w:val="false"/>
          <w:iCs w:val="false"/>
        </w:rPr>
        <w:t xml:space="preserve">It is the panel doing methodology-defense work. Diagnostic features (drag items in and out, alpha trajectory, recommend item drops) are deliberately not in this panel — they belong on a future Instrument tab, not here. If a researcher wants to iterate on the instrument, they go to that tab. Here, they get evidence for what they already have.</w:t>
      </w:r>
    </w:p>
    <w:p>
      <w:pPr>
        <w:pStyle w:val="Heading1"/>
      </w:pPr>
      <w:r>
        <w:t xml:space="preserve">2. What it computes and where the math comes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4F5F7" w:val="clear"/>
            <w:tcMar>
              <w:top w:type="dxa" w:w="80"/>
              <w:left w:type="dxa" w:w="120"/>
              <w:bottom w:type="dxa" w:w="80"/>
              <w:right w:type="dxa" w:w="120"/>
            </w:tcMar>
          </w:tcPr>
          <w:p>
            <w:r>
              <w:rPr>
                <w:b/>
                <w:bCs/>
              </w:rPr>
              <w:t xml:space="preserve">Cronbach’s alpha</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Standard alpha across the items in each Likert scale. Computed server-side by ReliCheck’s existing reliability endpoint. Reused as-is. The math is the same in MM Studio as in the main app.</w:t>
            </w:r>
          </w:p>
        </w:tc>
      </w:tr>
      <w:tr>
        <w:tc>
          <w:tcPr>
            <w:tcW w:type="dxa" w:w="2600"/>
            <w:tcBorders>
              <w:top w:val="single" w:color="CCCCCC" w:sz="4"/>
              <w:left w:val="single" w:color="CCCCCC" w:sz="4"/>
              <w:bottom w:val="single" w:color="CCCCCC" w:sz="4"/>
              <w:right w:val="single" w:color="CCCCCC" w:sz="4"/>
            </w:tcBorders>
            <w:shd w:fill="F4F5F7" w:val="clear"/>
            <w:tcMar>
              <w:top w:type="dxa" w:w="80"/>
              <w:left w:type="dxa" w:w="120"/>
              <w:bottom w:type="dxa" w:w="80"/>
              <w:right w:type="dxa" w:w="120"/>
            </w:tcMar>
          </w:tcPr>
          <w:p>
            <w:r>
              <w:rPr>
                <w:b/>
                <w:bCs/>
              </w:rPr>
              <w:t xml:space="preserve">McDonald’s omega</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Hierarchical omega from a one-factor model. Same server-side endpoint.</w:t>
            </w:r>
          </w:p>
        </w:tc>
      </w:tr>
      <w:tr>
        <w:tc>
          <w:tcPr>
            <w:tcW w:type="dxa" w:w="2600"/>
            <w:tcBorders>
              <w:top w:val="single" w:color="CCCCCC" w:sz="4"/>
              <w:left w:val="single" w:color="CCCCCC" w:sz="4"/>
              <w:bottom w:val="single" w:color="CCCCCC" w:sz="4"/>
              <w:right w:val="single" w:color="CCCCCC" w:sz="4"/>
            </w:tcBorders>
            <w:shd w:fill="F4F5F7" w:val="clear"/>
            <w:tcMar>
              <w:top w:type="dxa" w:w="80"/>
              <w:left w:type="dxa" w:w="120"/>
              <w:bottom w:type="dxa" w:w="80"/>
              <w:right w:type="dxa" w:w="120"/>
            </w:tcMar>
          </w:tcPr>
          <w:p>
            <w:r>
              <w:rPr>
                <w:b/>
                <w:bCs/>
              </w:rPr>
              <w:t xml:space="preserve">Item-total correlations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Per-item corrected item-total correlation. Same endpoint.</w:t>
            </w:r>
          </w:p>
        </w:tc>
      </w:tr>
      <w:tr>
        <w:tc>
          <w:tcPr>
            <w:tcW w:type="dxa" w:w="2600"/>
            <w:tcBorders>
              <w:top w:val="single" w:color="CCCCCC" w:sz="4"/>
              <w:left w:val="single" w:color="CCCCCC" w:sz="4"/>
              <w:bottom w:val="single" w:color="CCCCCC" w:sz="4"/>
              <w:right w:val="single" w:color="CCCCCC" w:sz="4"/>
            </w:tcBorders>
            <w:shd w:fill="F4F5F7" w:val="clear"/>
            <w:tcMar>
              <w:top w:type="dxa" w:w="80"/>
              <w:left w:type="dxa" w:w="120"/>
              <w:bottom w:type="dxa" w:w="80"/>
              <w:right w:type="dxa" w:w="120"/>
            </w:tcMar>
          </w:tcPr>
          <w:p>
            <w:r>
              <w:rPr>
                <w:b/>
                <w:bCs/>
              </w:rPr>
              <w:t xml:space="preserve">Alpha-if-item-deleted</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Per-item alpha excluding that item. Same endpoint.</w:t>
            </w:r>
          </w:p>
        </w:tc>
      </w:tr>
      <w:tr>
        <w:tc>
          <w:tcPr>
            <w:tcW w:type="dxa" w:w="2600"/>
            <w:tcBorders>
              <w:top w:val="single" w:color="CCCCCC" w:sz="4"/>
              <w:left w:val="single" w:color="CCCCCC" w:sz="4"/>
              <w:bottom w:val="single" w:color="CCCCCC" w:sz="4"/>
              <w:right w:val="single" w:color="CCCCCC" w:sz="4"/>
            </w:tcBorders>
            <w:shd w:fill="F4F5F7" w:val="clear"/>
            <w:tcMar>
              <w:top w:type="dxa" w:w="80"/>
              <w:left w:type="dxa" w:w="120"/>
              <w:bottom w:type="dxa" w:w="80"/>
              <w:right w:type="dxa" w:w="120"/>
            </w:tcMar>
          </w:tcPr>
          <w:p>
            <w:r>
              <w:rPr>
                <w:b/>
                <w:bCs/>
              </w:rPr>
              <w:t xml:space="preserve">95% confidence interval on alpha</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Computed from sample size and item count. Same endpoint. Reported next to the alpha number.</w:t>
            </w:r>
          </w:p>
        </w:tc>
      </w:tr>
      <w:tr>
        <w:tc>
          <w:tcPr>
            <w:tcW w:type="dxa" w:w="2600"/>
            <w:tcBorders>
              <w:top w:val="single" w:color="CCCCCC" w:sz="4"/>
              <w:left w:val="single" w:color="CCCCCC" w:sz="4"/>
              <w:bottom w:val="single" w:color="CCCCCC" w:sz="4"/>
              <w:right w:val="single" w:color="CCCCCC" w:sz="4"/>
            </w:tcBorders>
            <w:shd w:fill="F4F5F7" w:val="clear"/>
            <w:tcMar>
              <w:top w:type="dxa" w:w="80"/>
              <w:left w:type="dxa" w:w="120"/>
              <w:bottom w:type="dxa" w:w="80"/>
              <w:right w:type="dxa" w:w="120"/>
            </w:tcMar>
          </w:tcPr>
          <w:p>
            <w:r>
              <w:rPr>
                <w:b/>
                <w:bCs/>
              </w:rPr>
              <w:t xml:space="preserve">Scale-level metadata</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Number of items, number of respondents with complete responses, number with partial responses. Same endpoint.</w:t>
            </w:r>
          </w:p>
        </w:tc>
      </w:tr>
    </w:tbl>
    <w:p>
      <w:pPr>
        <w:spacing w:after="80" w:before="80"/>
      </w:pPr>
      <w:r>
        <w:rPr>
          <w:b w:val="false"/>
          <w:bCs w:val="false"/>
          <w:i w:val="false"/>
          <w:iCs w:val="false"/>
        </w:rPr>
        <w:t xml:space="preserve">Important: math is shared with the main app. Presentation is not. The endpoint returns the numbers; the Studio renders them in a methods-defense layout, not the main app’s diagnostic layout.</w:t>
      </w:r>
    </w:p>
    <w:p>
      <w:pPr>
        <w:pStyle w:val="Heading1"/>
      </w:pPr>
      <w:r>
        <w:t xml:space="preserve">3. What it looks like when the data supports it</w:t>
      </w:r>
    </w:p>
    <w:p>
      <w:pPr>
        <w:spacing w:after="80" w:before="80"/>
      </w:pPr>
      <w:r>
        <w:rPr>
          <w:b w:val="false"/>
          <w:bCs w:val="false"/>
          <w:i w:val="false"/>
          <w:iCs w:val="false"/>
        </w:rPr>
        <w:t xml:space="preserve">Layout described in sections from top to bottom. No screenshots; described in words so we can adjust before code.</w:t>
      </w:r>
    </w:p>
    <w:p>
      <w:pPr>
        <w:pStyle w:val="Heading2"/>
      </w:pPr>
      <w:r>
        <w:t xml:space="preserve">3.1 Scale strip</w:t>
      </w:r>
    </w:p>
    <w:p>
      <w:pPr>
        <w:spacing w:after="80" w:before="80"/>
      </w:pPr>
      <w:r>
        <w:rPr>
          <w:b w:val="false"/>
          <w:bCs w:val="false"/>
          <w:i w:val="false"/>
          <w:iCs w:val="false"/>
        </w:rPr>
        <w:t xml:space="preserve">Most surveys have more than one scale (a Trust subscale, an Engagement subscale, etc.). The top of the panel is a thin horizontal strip with one chip per scale. Each chip shows the scale name and the alpha value rounded to two decimals. The active chip is highlighted. Clicking a chip changes which scale the panel below is reporting.</w:t>
      </w:r>
    </w:p>
    <w:p>
      <w:pPr>
        <w:spacing w:after="80" w:before="80"/>
      </w:pPr>
      <w:r>
        <w:rPr>
          <w:b w:val="false"/>
          <w:bCs w:val="false"/>
          <w:i w:val="false"/>
          <w:iCs w:val="false"/>
        </w:rPr>
        <w:t xml:space="preserve">If the survey has only one scale, the strip still renders but with the one chip pre-selected. Keeps the layout consistent.</w:t>
      </w:r>
    </w:p>
    <w:p>
      <w:pPr>
        <w:pStyle w:val="Heading2"/>
      </w:pPr>
      <w:r>
        <w:t xml:space="preserve">3.2 Headline card</w:t>
      </w:r>
    </w:p>
    <w:p>
      <w:pPr>
        <w:spacing w:after="80" w:before="80"/>
      </w:pPr>
      <w:r>
        <w:rPr>
          <w:b w:val="false"/>
          <w:bCs w:val="false"/>
          <w:i w:val="false"/>
          <w:iCs w:val="false"/>
        </w:rPr>
        <w:t xml:space="preserve">A single card, no tabs, no extras. Contains:</w:t>
      </w:r>
    </w:p>
    <w:p>
      <w:pPr>
        <w:pStyle w:val="ListParagraph"/>
        <w:numPr>
          <w:ilvl w:val="0"/>
          <w:numId w:val="2"/>
        </w:numPr>
        <w:spacing w:after="40" w:before="40"/>
      </w:pPr>
      <w:r>
        <w:t xml:space="preserve">The scale name as the H2.</w:t>
      </w:r>
    </w:p>
    <w:p>
      <w:pPr>
        <w:pStyle w:val="ListParagraph"/>
        <w:numPr>
          <w:ilvl w:val="0"/>
          <w:numId w:val="2"/>
        </w:numPr>
        <w:spacing w:after="40" w:before="40"/>
      </w:pPr>
      <w:r>
        <w:t xml:space="preserve">Cronbach’s alpha, large, with its 95% confidence interval immediately below it in smaller type.</w:t>
      </w:r>
    </w:p>
    <w:p>
      <w:pPr>
        <w:pStyle w:val="ListParagraph"/>
        <w:numPr>
          <w:ilvl w:val="0"/>
          <w:numId w:val="2"/>
        </w:numPr>
        <w:spacing w:after="40" w:before="40"/>
      </w:pPr>
      <w:r>
        <w:t xml:space="preserve">A one-word verdict tag derived from the alpha value: excellent (≥ .90), good (.80–.89), acceptable (.70–.79), questionable (.60–.69), poor (.50–.59), unacceptable (&lt; .50). These cutoffs are the conventional Nunnally/Bernstein thresholds. The tag is colored by tone (green/blue/amber/red) so the verdict reads at a glance, but the cutoffs are conventional and we will cite them.</w:t>
      </w:r>
    </w:p>
    <w:p>
      <w:pPr>
        <w:pStyle w:val="ListParagraph"/>
        <w:numPr>
          <w:ilvl w:val="0"/>
          <w:numId w:val="2"/>
        </w:numPr>
        <w:spacing w:after="40" w:before="40"/>
      </w:pPr>
      <w:r>
        <w:t xml:space="preserve">McDonald’s omega beside alpha, smaller, with one line of context: “omega is reported alongside alpha because alpha’s tau-equivalence assumption is rarely met in practice.”</w:t>
      </w:r>
    </w:p>
    <w:p>
      <w:pPr>
        <w:pStyle w:val="ListParagraph"/>
        <w:numPr>
          <w:ilvl w:val="0"/>
          <w:numId w:val="2"/>
        </w:numPr>
        <w:spacing w:after="40" w:before="40"/>
      </w:pPr>
      <w:r>
        <w:t xml:space="preserve">Number of items and number of respondents used in the calculation. Quiet, below the numbers.</w:t>
      </w:r>
    </w:p>
    <w:p>
      <w:pPr>
        <w:pStyle w:val="Heading2"/>
      </w:pPr>
      <w:r>
        <w:t xml:space="preserve">3.3 Methods paragraph (copy-pasteable)</w:t>
      </w:r>
    </w:p>
    <w:p>
      <w:pPr>
        <w:spacing w:after="80" w:before="80"/>
      </w:pPr>
      <w:r>
        <w:rPr>
          <w:b w:val="false"/>
          <w:bCs w:val="false"/>
          <w:i w:val="false"/>
          <w:iCs w:val="false"/>
        </w:rPr>
        <w:t xml:space="preserve">A bordered card titled “For your methods section.” Inside, a single paragraph in APA style with the numbers already inserted. Example output for a hypothetical scale:</w:t>
      </w:r>
    </w:p>
    <w:p>
      <w:pPr>
        <w:spacing w:after="80" w:before="80"/>
      </w:pPr>
      <w:r>
        <w:rPr>
          <w:b w:val="false"/>
          <w:bCs w:val="false"/>
          <w:i/>
          <w:iCs/>
        </w:rPr>
        <w:t xml:space="preserve">“Internal consistency for the [Scale Name] subscale was assessed using Cronbach’s alpha (α = .87, 95% CI [.83, .90]) and McDonald’s omega (ω = .89). Both estimates met the conventional threshold for good reliability (Nunnally &amp; Bernstein, 1994). The scale comprised 6 items administered to 142 respondents with complete responses on all items.”</w:t>
      </w:r>
    </w:p>
    <w:p>
      <w:pPr>
        <w:spacing w:after="80" w:before="80"/>
      </w:pPr>
      <w:r>
        <w:rPr>
          <w:b w:val="false"/>
          <w:bCs w:val="false"/>
          <w:i w:val="false"/>
          <w:iCs w:val="false"/>
        </w:rPr>
        <w:t xml:space="preserve">A small “Copy to clipboard” button below the paragraph. That is the most important button on this panel. Researchers will use it constantly.</w:t>
      </w:r>
    </w:p>
    <w:p>
      <w:pPr>
        <w:pStyle w:val="Heading2"/>
      </w:pPr>
      <w:r>
        <w:t xml:space="preserve">3.4 Per-item table</w:t>
      </w:r>
    </w:p>
    <w:p>
      <w:pPr>
        <w:spacing w:after="80" w:before="80"/>
      </w:pPr>
      <w:r>
        <w:rPr>
          <w:b w:val="false"/>
          <w:bCs w:val="false"/>
          <w:i w:val="false"/>
          <w:iCs w:val="false"/>
        </w:rPr>
        <w:t xml:space="preserve">Below the methods paragraph, a clean table. One row per item in the active scale. Columns:</w:t>
      </w:r>
    </w:p>
    <w:p>
      <w:pPr>
        <w:pStyle w:val="ListParagraph"/>
        <w:numPr>
          <w:ilvl w:val="0"/>
          <w:numId w:val="2"/>
        </w:numPr>
        <w:spacing w:after="40" w:before="40"/>
      </w:pPr>
      <w:r>
        <w:t xml:space="preserve">Item label (truncated with hover for full text).</w:t>
      </w:r>
    </w:p>
    <w:p>
      <w:pPr>
        <w:pStyle w:val="ListParagraph"/>
        <w:numPr>
          <w:ilvl w:val="0"/>
          <w:numId w:val="2"/>
        </w:numPr>
        <w:spacing w:after="40" w:before="40"/>
      </w:pPr>
      <w:r>
        <w:t xml:space="preserve">Mean.</w:t>
      </w:r>
    </w:p>
    <w:p>
      <w:pPr>
        <w:pStyle w:val="ListParagraph"/>
        <w:numPr>
          <w:ilvl w:val="0"/>
          <w:numId w:val="2"/>
        </w:numPr>
        <w:spacing w:after="40" w:before="40"/>
      </w:pPr>
      <w:r>
        <w:t xml:space="preserve">Standard deviation.</w:t>
      </w:r>
    </w:p>
    <w:p>
      <w:pPr>
        <w:pStyle w:val="ListParagraph"/>
        <w:numPr>
          <w:ilvl w:val="0"/>
          <w:numId w:val="2"/>
        </w:numPr>
        <w:spacing w:after="40" w:before="40"/>
      </w:pPr>
      <w:r>
        <w:t xml:space="preserve">Corrected item-total correlation.</w:t>
      </w:r>
    </w:p>
    <w:p>
      <w:pPr>
        <w:pStyle w:val="ListParagraph"/>
        <w:numPr>
          <w:ilvl w:val="0"/>
          <w:numId w:val="2"/>
        </w:numPr>
        <w:spacing w:after="40" w:before="40"/>
      </w:pPr>
      <w:r>
        <w:t xml:space="preserve">Alpha if item deleted.</w:t>
      </w:r>
    </w:p>
    <w:p>
      <w:pPr>
        <w:spacing w:after="80" w:before="80"/>
      </w:pPr>
      <w:r>
        <w:rPr>
          <w:b w:val="false"/>
          <w:bCs w:val="false"/>
          <w:i w:val="false"/>
          <w:iCs w:val="false"/>
        </w:rPr>
        <w:t xml:space="preserve">No drag handles, no “drop this item” suggestions. This is evidence. If a researcher decides to drop an item, they do that elsewhere; this panel reports what is.</w:t>
      </w:r>
    </w:p>
    <w:p>
      <w:pPr>
        <w:spacing w:after="80" w:before="80"/>
      </w:pPr>
      <w:r>
        <w:rPr>
          <w:b w:val="false"/>
          <w:bCs w:val="false"/>
          <w:i w:val="false"/>
          <w:iCs w:val="false"/>
        </w:rPr>
        <w:t xml:space="preserve">Sorting: default sort is by item-total correlation ascending, so items most worth scrutinizing surface first. Column headers are click-to-sort.</w:t>
      </w:r>
    </w:p>
    <w:p>
      <w:pPr>
        <w:pStyle w:val="Heading2"/>
      </w:pPr>
      <w:r>
        <w:t xml:space="preserve">3.5 Footer note</w:t>
      </w:r>
    </w:p>
    <w:p>
      <w:pPr>
        <w:spacing w:after="80" w:before="80"/>
      </w:pPr>
      <w:r>
        <w:rPr>
          <w:b w:val="false"/>
          <w:bCs w:val="false"/>
          <w:i w:val="false"/>
          <w:iCs w:val="false"/>
        </w:rPr>
        <w:t xml:space="preserve">A quiet line at the bottom: “All Reliability calculations are produced from the responses you have collected to date. Re-run if you add responses.” Tiny refresh icon to the right that recomputes.</w:t>
      </w:r>
    </w:p>
    <w:p>
      <w:pPr>
        <w:pStyle w:val="Heading1"/>
      </w:pPr>
      <w:r>
        <w:t xml:space="preserve">4. What it shows when the data does not support it</w:t>
      </w:r>
    </w:p>
    <w:p>
      <w:pPr>
        <w:spacing w:after="80" w:before="80"/>
      </w:pPr>
      <w:r>
        <w:rPr>
          <w:b w:val="false"/>
          <w:bCs w:val="false"/>
          <w:i w:val="false"/>
          <w:iCs w:val="false"/>
        </w:rPr>
        <w:t xml:space="preserve">This is where the Studio earns its name. If the project does not have at least one multi-item Likert scale with three or more items, the panel does not render any cards — no zeros, no “insufficient data” in a card that looks like it should have data.</w:t>
      </w:r>
    </w:p>
    <w:p>
      <w:pPr>
        <w:spacing w:after="80" w:before="80"/>
      </w:pPr>
      <w:r>
        <w:rPr>
          <w:b w:val="false"/>
          <w:bCs w:val="false"/>
          <w:i w:val="false"/>
          <w:iCs w:val="false"/>
        </w:rPr>
        <w:t xml:space="preserve">Instead, the panel renders a single teaching card. Three parts:</w:t>
      </w:r>
    </w:p>
    <w:p>
      <w:pPr>
        <w:pStyle w:val="Heading3"/>
      </w:pPr>
      <w:r>
        <w:t xml:space="preserve">4.1 The prerequisite, named clearly</w:t>
      </w:r>
    </w:p>
    <w:p>
      <w:pPr>
        <w:spacing w:after="80" w:before="80"/>
      </w:pPr>
      <w:r>
        <w:rPr>
          <w:b w:val="false"/>
          <w:bCs w:val="false"/>
          <w:i w:val="false"/>
          <w:iCs w:val="false"/>
        </w:rPr>
        <w:t xml:space="preserve">“Reliability indices (Cronbach’s alpha, McDonald’s omega) estimate the internal consistency of a measurement scale by partitioning variance across multiple items intended to measure the same construct. The prerequisite is at least three Likert-type items measuring one construct, administered to at least 30 respondents (more for confidence intervals).”</w:t>
      </w:r>
    </w:p>
    <w:p>
      <w:pPr>
        <w:pStyle w:val="Heading3"/>
      </w:pPr>
      <w:r>
        <w:t xml:space="preserve">4.2 Why the prerequisite matters</w:t>
      </w:r>
    </w:p>
    <w:p>
      <w:pPr>
        <w:spacing w:after="80" w:before="80"/>
      </w:pPr>
      <w:r>
        <w:rPr>
          <w:b w:val="false"/>
          <w:bCs w:val="false"/>
          <w:i w:val="false"/>
          <w:iCs w:val="false"/>
        </w:rPr>
        <w:t xml:space="preserve">“With only one item, there is no within-construct variance to partition; alpha is undefined. With two items, alpha reduces to a Spearman-Brown corrected correlation, which carries far less inferential power. Three items is the conventional lower bound for a defensible reliability estimate, and most published scales use five or more.”</w:t>
      </w:r>
    </w:p>
    <w:p>
      <w:pPr>
        <w:pStyle w:val="Heading3"/>
      </w:pPr>
      <w:r>
        <w:t xml:space="preserve">4.3 The concrete fix, with a clickable button</w:t>
      </w:r>
    </w:p>
    <w:p>
      <w:pPr>
        <w:spacing w:after="80" w:before="80"/>
      </w:pPr>
      <w:r>
        <w:rPr>
          <w:b w:val="false"/>
          <w:bCs w:val="false"/>
          <w:i w:val="false"/>
          <w:iCs w:val="false"/>
        </w:rPr>
        <w:t xml:space="preserve">Depending on what the project currently has, one of three actions is offered:</w:t>
      </w:r>
    </w:p>
    <w:p>
      <w:pPr>
        <w:pStyle w:val="ListParagraph"/>
        <w:numPr>
          <w:ilvl w:val="0"/>
          <w:numId w:val="2"/>
        </w:numPr>
        <w:spacing w:after="40" w:before="40"/>
      </w:pPr>
      <w:r>
        <w:rPr>
          <w:b/>
          <w:bCs/>
        </w:rPr>
        <w:t xml:space="preserve">Link a survey with multiple Likert items.</w:t>
      </w:r>
      <w:r>
        <w:t xml:space="preserve"> Button: “Go to Step 2 (Structure Data)”. This is the most common path.</w:t>
      </w:r>
    </w:p>
    <w:p>
      <w:pPr>
        <w:pStyle w:val="ListParagraph"/>
        <w:numPr>
          <w:ilvl w:val="0"/>
          <w:numId w:val="2"/>
        </w:numPr>
        <w:spacing w:after="40" w:before="40"/>
      </w:pPr>
      <w:r>
        <w:rPr>
          <w:b/>
          <w:bCs/>
        </w:rPr>
        <w:t xml:space="preserve">Build a scale from existing items.</w:t>
      </w:r>
      <w:r>
        <w:t xml:space="preserve"> If the project has a linked survey but the items have not been grouped into scales yet, button: “Group items into scales.” Future tab; for now this button routes to a placeholder explaining the feature is coming.</w:t>
      </w:r>
    </w:p>
    <w:p>
      <w:pPr>
        <w:pStyle w:val="ListParagraph"/>
        <w:numPr>
          <w:ilvl w:val="0"/>
          <w:numId w:val="2"/>
        </w:numPr>
        <w:spacing w:after="40" w:before="40"/>
      </w:pPr>
      <w:r>
        <w:rPr>
          <w:b/>
          <w:bCs/>
        </w:rPr>
        <w:t xml:space="preserve">If the project is fundamentally qualitative-only,</w:t>
      </w:r>
      <w:r>
        <w:t xml:space="preserve"> a one-line acknowledgment: “Your project relies on qualitative evidence. Reliability of qualitative analysis is established differently — intercoder agreement, audit trail, member checking — and lives on the Qual Analysis tab.” No button; the Qual Analysis tab is one click away in the sub-tab strip.</w:t>
      </w:r>
    </w:p>
    <w:p>
      <w:pPr>
        <w:pStyle w:val="Heading1"/>
      </w:pPr>
      <w:r>
        <w:t xml:space="preserve">5. How it varies by design choice</w:t>
      </w:r>
    </w:p>
    <w:p>
      <w:pPr>
        <w:spacing w:after="80" w:before="80"/>
      </w:pPr>
      <w:r>
        <w:rPr>
          <w:b w:val="false"/>
          <w:bCs w:val="false"/>
          <w:i w:val="false"/>
          <w:iCs w:val="false"/>
        </w:rPr>
        <w:t xml:space="preserve">The Reliability panel itself does not change by design. The numbers are the numbers. What changes is the framing copy at the top — a one-line eyebrow that situates the panel within the researcher’s chosen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4F5F7" w:val="clear"/>
            <w:tcMar>
              <w:top w:type="dxa" w:w="80"/>
              <w:left w:type="dxa" w:w="120"/>
              <w:bottom w:type="dxa" w:w="80"/>
              <w:right w:type="dxa" w:w="120"/>
            </w:tcMar>
          </w:tcPr>
          <w:p>
            <w:r>
              <w:rPr>
                <w:b/>
                <w:bCs/>
              </w:rPr>
              <w:t xml:space="preserve">Explanatory Sequential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Eyebrow: “Step 1 of the Explanatory sequence. Reliability of your quantitative scales is the first piece of methodological defense you will write.”</w:t>
            </w:r>
          </w:p>
        </w:tc>
      </w:tr>
      <w:tr>
        <w:tc>
          <w:tcPr>
            <w:tcW w:type="dxa" w:w="2600"/>
            <w:tcBorders>
              <w:top w:val="single" w:color="CCCCCC" w:sz="4"/>
              <w:left w:val="single" w:color="CCCCCC" w:sz="4"/>
              <w:bottom w:val="single" w:color="CCCCCC" w:sz="4"/>
              <w:right w:val="single" w:color="CCCCCC" w:sz="4"/>
            </w:tcBorders>
            <w:shd w:fill="F4F5F7" w:val="clear"/>
            <w:tcMar>
              <w:top w:type="dxa" w:w="80"/>
              <w:left w:type="dxa" w:w="120"/>
              <w:bottom w:type="dxa" w:w="80"/>
              <w:right w:type="dxa" w:w="120"/>
            </w:tcMar>
          </w:tcPr>
          <w:p>
            <w:r>
              <w:rPr>
                <w:b/>
                <w:bCs/>
              </w:rPr>
              <w:t xml:space="preserve">Exploratory Sequential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Eyebrow: “Step 4 of the Exploratory sequence. Once your themes are coded into measurable variables, reliability of those derived scales becomes relevant. If you have not yet built variables from themes, this panel will be empty.”</w:t>
            </w:r>
          </w:p>
        </w:tc>
      </w:tr>
      <w:tr>
        <w:tc>
          <w:tcPr>
            <w:tcW w:type="dxa" w:w="2600"/>
            <w:tcBorders>
              <w:top w:val="single" w:color="CCCCCC" w:sz="4"/>
              <w:left w:val="single" w:color="CCCCCC" w:sz="4"/>
              <w:bottom w:val="single" w:color="CCCCCC" w:sz="4"/>
              <w:right w:val="single" w:color="CCCCCC" w:sz="4"/>
            </w:tcBorders>
            <w:shd w:fill="F4F5F7" w:val="clear"/>
            <w:tcMar>
              <w:top w:type="dxa" w:w="80"/>
              <w:left w:type="dxa" w:w="120"/>
              <w:bottom w:type="dxa" w:w="80"/>
              <w:right w:type="dxa" w:w="120"/>
            </w:tcMar>
          </w:tcPr>
          <w:p>
            <w:r>
              <w:rPr>
                <w:b/>
                <w:bCs/>
              </w:rPr>
              <w:t xml:space="preserve">Convergent Parallel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Eyebrow: “Quantitative track. Reliability of your survey scales is computed in parallel with the qualitative track’s coding agreement evidence.”</w:t>
            </w:r>
          </w:p>
        </w:tc>
      </w:tr>
    </w:tbl>
    <w:p>
      <w:pPr>
        <w:pStyle w:val="Heading1"/>
      </w:pPr>
      <w:r>
        <w:t xml:space="preserve">6. What it does NOT include that the main app does</w:t>
      </w:r>
    </w:p>
    <w:p>
      <w:pPr>
        <w:spacing w:after="80" w:before="80"/>
      </w:pPr>
      <w:r>
        <w:rPr>
          <w:b w:val="false"/>
          <w:bCs w:val="false"/>
          <w:i w:val="false"/>
          <w:iCs w:val="false"/>
        </w:rPr>
        <w:t xml:space="preserve">Deliberate omissions, and why:</w:t>
      </w:r>
    </w:p>
    <w:p>
      <w:pPr>
        <w:pStyle w:val="ListParagraph"/>
        <w:numPr>
          <w:ilvl w:val="0"/>
          <w:numId w:val="2"/>
        </w:numPr>
        <w:spacing w:after="40" w:before="40"/>
      </w:pPr>
      <w:r>
        <w:rPr>
          <w:b/>
          <w:bCs/>
        </w:rPr>
        <w:t xml:space="preserve">No survey toolbar.</w:t>
      </w:r>
      <w:r>
        <w:t xml:space="preserve"> No “Edit survey,” “Settings,” “Distribute,” “Export PDF,” “Full Report,” “Draft report paragraph,” or “Delete”. These actions belong in the survey builder, not in a methods-defense panel.</w:t>
      </w:r>
    </w:p>
    <w:p>
      <w:pPr>
        <w:pStyle w:val="ListParagraph"/>
        <w:numPr>
          <w:ilvl w:val="0"/>
          <w:numId w:val="2"/>
        </w:numPr>
        <w:spacing w:after="40" w:before="40"/>
      </w:pPr>
      <w:r>
        <w:rPr>
          <w:b/>
          <w:bCs/>
        </w:rPr>
        <w:t xml:space="preserve">No item-level drag affordances.</w:t>
      </w:r>
      <w:r>
        <w:t xml:space="preserve"> The Studio’s Reliability panel is evidence; instrument editing is a separate task and lives elsewhere.</w:t>
      </w:r>
    </w:p>
    <w:p>
      <w:pPr>
        <w:pStyle w:val="ListParagraph"/>
        <w:numPr>
          <w:ilvl w:val="0"/>
          <w:numId w:val="2"/>
        </w:numPr>
        <w:spacing w:after="40" w:before="40"/>
      </w:pPr>
      <w:r>
        <w:rPr>
          <w:b/>
          <w:bCs/>
        </w:rPr>
        <w:t xml:space="preserve">No “start a report” empty state.</w:t>
      </w:r>
      <w:r>
        <w:t xml:space="preserve"> The Studio has its own report path on the Strength Check + Report tab. This panel never invites the user to start a report from here.</w:t>
      </w:r>
    </w:p>
    <w:p>
      <w:pPr>
        <w:pStyle w:val="ListParagraph"/>
        <w:numPr>
          <w:ilvl w:val="0"/>
          <w:numId w:val="2"/>
        </w:numPr>
        <w:spacing w:after="40" w:before="40"/>
      </w:pPr>
      <w:r>
        <w:rPr>
          <w:b/>
          <w:bCs/>
        </w:rPr>
        <w:t xml:space="preserve">No tab strip duplicating the main app.</w:t>
      </w:r>
      <w:r>
        <w:t xml:space="preserve"> This panel is one panel, accessed via the Studio’s sub-tab strip. It does not embed the main app’s analytics navigation.</w:t>
      </w:r>
    </w:p>
    <w:p>
      <w:pPr>
        <w:pStyle w:val="ListParagraph"/>
        <w:numPr>
          <w:ilvl w:val="0"/>
          <w:numId w:val="2"/>
        </w:numPr>
        <w:spacing w:after="40" w:before="40"/>
      </w:pPr>
      <w:r>
        <w:rPr>
          <w:b/>
          <w:bCs/>
        </w:rPr>
        <w:t xml:space="preserve">No “Trends” or “Action Priority” soon-tabs.</w:t>
      </w:r>
      <w:r>
        <w:t xml:space="preserve"> Out of scope for a reliability surface and out of scope for a research-defense Studio.</w:t>
      </w:r>
    </w:p>
    <w:p>
      <w:pPr>
        <w:pStyle w:val="Heading1"/>
      </w:pPr>
      <w:r>
        <w:t xml:space="preserve">7. Implementation notes</w:t>
      </w:r>
    </w:p>
    <w:p>
      <w:pPr>
        <w:spacing w:after="80" w:before="80"/>
      </w:pPr>
      <w:r>
        <w:rPr>
          <w:b w:val="false"/>
          <w:bCs w:val="false"/>
          <w:i w:val="false"/>
          <w:iCs w:val="false"/>
        </w:rPr>
        <w:t xml:space="preserve">These are notes for me, not decisions for you. Listed so you can flag anything you want different.</w:t>
      </w:r>
    </w:p>
    <w:p>
      <w:pPr>
        <w:pStyle w:val="ListParagraph"/>
        <w:numPr>
          <w:ilvl w:val="0"/>
          <w:numId w:val="2"/>
        </w:numPr>
        <w:spacing w:after="40" w:before="40"/>
      </w:pPr>
      <w:r>
        <w:t xml:space="preserve">Backend: reuse the existing reliability endpoint. No new server work expected for the math.</w:t>
      </w:r>
    </w:p>
    <w:p>
      <w:pPr>
        <w:pStyle w:val="ListParagraph"/>
        <w:numPr>
          <w:ilvl w:val="0"/>
          <w:numId w:val="2"/>
        </w:numPr>
        <w:spacing w:after="40" w:before="40"/>
      </w:pPr>
      <w:r>
        <w:t xml:space="preserve">Front end: new function mmTabQuantReliability(body) under the Quant Analysis sub-tab when we get there. Does not embed renderAnalyze. Does not import any main-app CSS classes that would pull in survey chrome.</w:t>
      </w:r>
    </w:p>
    <w:p>
      <w:pPr>
        <w:pStyle w:val="ListParagraph"/>
        <w:numPr>
          <w:ilvl w:val="0"/>
          <w:numId w:val="2"/>
        </w:numPr>
        <w:spacing w:after="40" w:before="40"/>
      </w:pPr>
      <w:r>
        <w:t xml:space="preserve">Data shape detection: the panel runs a quick probe at open time to count Likert items per scale. If the count is zero or &lt; 3 for every scale, the teaching card renders. Otherwise the headline + methods paragraph + per-item table renders for each scale, with the scale strip at top if multiple scales exist.</w:t>
      </w:r>
    </w:p>
    <w:p>
      <w:pPr>
        <w:pStyle w:val="ListParagraph"/>
        <w:numPr>
          <w:ilvl w:val="0"/>
          <w:numId w:val="2"/>
        </w:numPr>
        <w:spacing w:after="40" w:before="40"/>
      </w:pPr>
      <w:r>
        <w:t xml:space="preserve">Copy-to-clipboard: standard navigator.clipboard.writeText call with a confirmation toast. Same toast mechanism the rest of the app uses.</w:t>
      </w:r>
    </w:p>
    <w:p>
      <w:pPr>
        <w:pStyle w:val="ListParagraph"/>
        <w:numPr>
          <w:ilvl w:val="0"/>
          <w:numId w:val="2"/>
        </w:numPr>
        <w:spacing w:after="40" w:before="40"/>
      </w:pPr>
      <w:r>
        <w:t xml:space="preserve">Theming: warm-orange brand color for the verdict tag tone scale, same palette already established in the Studio.</w:t>
      </w:r>
    </w:p>
    <w:p>
      <w:pPr>
        <w:pStyle w:val="ListParagraph"/>
        <w:numPr>
          <w:ilvl w:val="0"/>
          <w:numId w:val="2"/>
        </w:numPr>
        <w:spacing w:after="40" w:before="40"/>
      </w:pPr>
      <w:r>
        <w:t xml:space="preserve">Performance: scales with &gt; 30 items get a virtualized table. Not a Phase 1 concern.</w:t>
      </w:r>
    </w:p>
    <w:p>
      <w:pPr>
        <w:pStyle w:val="Heading1"/>
      </w:pPr>
      <w:r>
        <w:t xml:space="preserve">8. What we agree on before code</w:t>
      </w:r>
    </w:p>
    <w:p>
      <w:pPr>
        <w:spacing w:after="80" w:before="80"/>
      </w:pPr>
      <w:r>
        <w:rPr>
          <w:b w:val="false"/>
          <w:bCs w:val="false"/>
          <w:i w:val="false"/>
          <w:iCs w:val="false"/>
        </w:rPr>
        <w:t xml:space="preserve">Read sections 1–6 and tell me where the framing is wrong. Specific places to push back:</w:t>
      </w:r>
    </w:p>
    <w:p>
      <w:pPr>
        <w:pStyle w:val="ListParagraph"/>
        <w:numPr>
          <w:ilvl w:val="0"/>
          <w:numId w:val="2"/>
        </w:numPr>
        <w:spacing w:after="40" w:before="40"/>
      </w:pPr>
      <w:r>
        <w:t xml:space="preserve">Is methods-defense the right primary purpose? Or do you want diagnostic features as a secondary view?</w:t>
      </w:r>
    </w:p>
    <w:p>
      <w:pPr>
        <w:pStyle w:val="ListParagraph"/>
        <w:numPr>
          <w:ilvl w:val="0"/>
          <w:numId w:val="2"/>
        </w:numPr>
        <w:spacing w:after="40" w:before="40"/>
      </w:pPr>
      <w:r>
        <w:t xml:space="preserve">Are the conventional cutoffs (.90/.80/.70/.60/.50) the right ones? Some fields use different thresholds.</w:t>
      </w:r>
    </w:p>
    <w:p>
      <w:pPr>
        <w:pStyle w:val="ListParagraph"/>
        <w:numPr>
          <w:ilvl w:val="0"/>
          <w:numId w:val="2"/>
        </w:numPr>
        <w:spacing w:after="40" w:before="40"/>
      </w:pPr>
      <w:r>
        <w:t xml:space="preserve">Is the methods paragraph the right output, or do you want a different artifact (a one-page reliability report, a citation block, something else)?</w:t>
      </w:r>
    </w:p>
    <w:p>
      <w:pPr>
        <w:pStyle w:val="ListParagraph"/>
        <w:numPr>
          <w:ilvl w:val="0"/>
          <w:numId w:val="2"/>
        </w:numPr>
        <w:spacing w:after="40" w:before="40"/>
      </w:pPr>
      <w:r>
        <w:t xml:space="preserve">Did I get the empty-state copy right — dissertation-grade but not patronizing?</w:t>
      </w:r>
    </w:p>
    <w:p>
      <w:pPr>
        <w:pStyle w:val="ListParagraph"/>
        <w:numPr>
          <w:ilvl w:val="0"/>
          <w:numId w:val="2"/>
        </w:numPr>
        <w:spacing w:after="40" w:before="40"/>
      </w:pPr>
      <w:r>
        <w:t xml:space="preserve">Is anything missing that you would expect to see on this panel?</w:t>
      </w:r>
    </w:p>
    <w:p>
      <w:pPr>
        <w:spacing w:after="80" w:before="80"/>
      </w:pPr>
      <w:r>
        <w:rPr>
          <w:b w:val="false"/>
          <w:bCs w:val="false"/>
          <w:i w:val="false"/>
          <w:iCs w:val="false"/>
        </w:rPr>
        <w:t xml:space="preserve">When sections 1–6 are approved, I write the code. Then we move to the next panel.</w:t>
      </w:r>
    </w:p>
    <w:p>
      <w:r>
        <w:t xml:space="preserve"/>
      </w:r>
    </w:p>
    <w:p>
      <w:pPr>
        <w:spacing w:before="200"/>
      </w:pPr>
      <w:r>
        <w:rPr>
          <w:i/>
          <w:iCs/>
          <w:color w:val="5A6470"/>
        </w:rPr>
        <w:t xml:space="preserve">End of proposal.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1F2B"/>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A1F2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A425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 Studio — Reliability Panel Design Proposal</dc:title>
  <dc:creator>Claude</dc:creator>
  <dc:description>Panel-by-panel redesign of the MM Studio Quant Analysis surface, starting with Reliability.</dc:description>
  <cp:lastModifiedBy>Un-named</cp:lastModifiedBy>
  <cp:revision>1</cp:revision>
  <dcterms:created xsi:type="dcterms:W3CDTF">2026-05-21T19:45:25.216Z</dcterms:created>
  <dcterms:modified xsi:type="dcterms:W3CDTF">2026-05-21T19:45:25.216Z</dcterms:modified>
</cp:coreProperties>
</file>

<file path=docProps/custom.xml><?xml version="1.0" encoding="utf-8"?>
<Properties xmlns="http://schemas.openxmlformats.org/officeDocument/2006/custom-properties" xmlns:vt="http://schemas.openxmlformats.org/officeDocument/2006/docPropsVTypes"/>
</file>