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A5F"/>
          <w:sz w:val="48"/>
          <w:szCs w:val="48"/>
        </w:rPr>
        <w:t xml:space="preserve">DEI Data Test</w:t>
      </w:r>
    </w:p>
    <w:p>
      <w:pPr>
        <w:spacing w:after="120"/>
      </w:pPr>
      <w:r>
        <w:rPr>
          <w:color w:val="5A6470"/>
          <w:sz w:val="22"/>
          <w:szCs w:val="22"/>
        </w:rPr>
        <w:t xml:space="preserve">Project #128 · Pathway: Comments only · Generated 5/24/2026</w:t>
      </w:r>
    </w:p>
    <w:p>
      <w:pPr>
        <w:spacing w:after="200"/>
      </w:pPr>
      <w:r>
        <w:rPr>
          <w:b/>
          <w:bCs/>
        </w:rPr>
        <w:t xml:space="preserve">Headline. </w:t>
      </w:r>
      <w:r>
        <w:t xml:space="preserve">Three-item perceived-equity scale on 150 respondents. Reliability (α = 0.62) is below the conventional 0.70 threshold and is the principal constraint on what can currently be claimed. The data show a clear pattern in which leadership-specific equity is rated lower than the organization's broader equity posture, but the qualitative stage of the design has not yet been coded, so the pattern is described rather than explained. Strength Index: 73 / 100 (USABLE).</w:t>
      </w:r>
    </w:p>
    <w:p>
      <w:pPr>
        <w:pBdr>
          <w:bottom w:val="single" w:color="1F3A5F" w:sz="8" w:space="1"/>
        </w:pBdr>
        <w:spacing w:after="200"/>
      </w:pPr>
      <w:r>
        <w:t xml:space="preserve"/>
      </w:r>
    </w:p>
    <w:p>
      <w:pPr>
        <w:pStyle w:val="Heading2"/>
      </w:pPr>
      <w:r>
        <w:t xml:space="preserve">1. Setup and methods</w:t>
      </w:r>
    </w:p>
    <w:p>
      <w:pPr>
        <w:spacing w:after="140"/>
      </w:pPr>
      <w:r>
        <w:rPr>
          <w:b/>
          <w:bCs/>
        </w:rPr>
        <w:t xml:space="preserve">Design. </w:t>
      </w:r>
      <w:r>
        <w:t xml:space="preserve">Explanatory sequential (QUAN → QUAL). The quantitative stage establishes a baseline of perceived equity, after which qualitative responses are intended to explain the patterns observed.</w:t>
      </w:r>
    </w:p>
    <w:p>
      <w:pPr>
        <w:spacing w:after="140"/>
      </w:pPr>
      <w:r>
        <w:rPr>
          <w:b/>
          <w:bCs/>
        </w:rPr>
        <w:t xml:space="preserve">Data kinds. </w:t>
      </w:r>
      <w:r>
        <w:t xml:space="preserve">Survey-plus-open-end items, with quantitative-plus-interpretation as the analytic frame. At the time of this report, only the quantitative comments-pathway has been processed.</w:t>
      </w:r>
    </w:p>
    <w:p>
      <w:pPr>
        <w:spacing w:after="140"/>
      </w:pPr>
      <w:r>
        <w:rPr>
          <w:b/>
          <w:bCs/>
        </w:rPr>
        <w:t xml:space="preserve">Research intents. </w:t>
      </w:r>
      <w:r>
        <w:t xml:space="preserve">Two intents are stated: compare groups and find themes. Only the first is supported by the data present in this report; theme work has not yet been coded.</w:t>
      </w:r>
    </w:p>
    <w:p>
      <w:pPr>
        <w:spacing w:after="140"/>
      </w:pPr>
      <w:r>
        <w:rPr>
          <w:b/>
          <w:bCs/>
        </w:rPr>
        <w:t xml:space="preserve">Sample. </w:t>
      </w:r>
      <w:r>
        <w:t xml:space="preserve">150 complete respondents on a 3-item Likert scale (1–5). Completion rate is 100%, which removes attrition as a threat but does not address representativeness.</w:t>
      </w:r>
    </w:p>
    <w:p>
      <w:pPr>
        <w:pStyle w:val="Heading2"/>
      </w:pPr>
      <w:r>
        <w:t xml:space="preserve">2. Quantitative results</w:t>
      </w:r>
    </w:p>
    <w:p>
      <w:pPr>
        <w:pStyle w:val="Heading3"/>
      </w:pPr>
      <w:r>
        <w:t xml:space="preserve">Reliability</w:t>
      </w:r>
    </w:p>
    <w:p>
      <w:pPr>
        <w:spacing w:after="140"/>
      </w:pPr>
      <w:r>
        <w:rPr>
          <w:b/>
          <w:bCs/>
        </w:rPr>
        <w:t xml:space="preserve">Cronbach's α = 0.62 </w:t>
      </w:r>
      <w:r>
        <w:t xml:space="preserve">(3 items, N = 150). This is below the 0.70 threshold conventionally used to support group-level comparisons in social-science research and below the 0.80 threshold typically required for higher-stakes inference about individuals. With only three items, α is bounded by the small item count as much as by inter-item correlation, so the score is more usefully read as a signal that the instrument is too short to carry the weight of a multi-construct claim, rather than as evidence the items are poorly written.</w:t>
      </w:r>
    </w:p>
    <w:p>
      <w:pPr>
        <w:spacing w:after="140"/>
      </w:pPr>
      <w:r>
        <w:rPr>
          <w:b/>
          <w:bCs/>
        </w:rPr>
        <w:t xml:space="preserve">Practical implication. </w:t>
      </w:r>
      <w:r>
        <w:t xml:space="preserve">Group-comparison findings drawn from these three items should be reported with the α value visible to the reader, and conclusions should be limited to descriptive differences rather than inferential claims about an underlying "perceived equity" construct.</w:t>
      </w:r>
    </w:p>
    <w:p>
      <w:pPr>
        <w:pStyle w:val="Heading3"/>
      </w:pPr>
      <w:r>
        <w:t xml:space="preserve">Per-item descriptives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80"/>
        <w:gridCol w:w="1760"/>
        <w:gridCol w:w="1760"/>
        <w:gridCol w:w="1760"/>
      </w:tblGrid>
      <w:tr>
        <w:trPr>
          <w:tblHeader/>
        </w:trPr>
        <w:tc>
          <w:tcPr>
            <w:tcW w:type="dxa" w:w="4080"/>
            <w:tcBorders>
              <w:top w:val="single" w:color="B8BEC7" w:sz="4"/>
              <w:left w:val="single" w:color="B8BEC7" w:sz="4"/>
              <w:bottom w:val="single" w:color="B8BEC7" w:sz="4"/>
              <w:right w:val="single" w:color="B8BEC7" w:sz="4"/>
            </w:tcBorders>
            <w:shd w:fill="1F3A5F" w:color="auto" w:val="clear"/>
            <w:tcMar>
              <w:top w:type="dxa" w:w="80"/>
              <w:left w:type="dxa" w:w="120"/>
              <w:bottom w:type="dxa" w:w="80"/>
              <w:right w:type="dxa" w:w="120"/>
            </w:tcMar>
          </w:tcPr>
          <w:p>
            <w:r>
              <w:rPr>
                <w:b/>
                <w:bCs/>
                <w:color w:val="FFFFFF"/>
              </w:rPr>
              <w:t xml:space="preserve">Item</w:t>
            </w:r>
          </w:p>
        </w:tc>
        <w:tc>
          <w:tcPr>
            <w:tcW w:type="dxa" w:w="1760"/>
            <w:tcBorders>
              <w:top w:val="single" w:color="B8BEC7" w:sz="4"/>
              <w:left w:val="single" w:color="B8BEC7" w:sz="4"/>
              <w:bottom w:val="single" w:color="B8BEC7" w:sz="4"/>
              <w:right w:val="single" w:color="B8BEC7" w:sz="4"/>
            </w:tcBorders>
            <w:shd w:fill="1F3A5F" w:color="auto" w:val="clear"/>
            <w:tcMar>
              <w:top w:type="dxa" w:w="80"/>
              <w:left w:type="dxa" w:w="120"/>
              <w:bottom w:type="dxa" w:w="80"/>
              <w:right w:type="dxa" w:w="120"/>
            </w:tcMar>
          </w:tcPr>
          <w:p>
            <w:r>
              <w:rPr>
                <w:b/>
                <w:bCs/>
                <w:color w:val="FFFFFF"/>
              </w:rPr>
              <w:t xml:space="preserve">Mean</w:t>
            </w:r>
          </w:p>
        </w:tc>
        <w:tc>
          <w:tcPr>
            <w:tcW w:type="dxa" w:w="1760"/>
            <w:tcBorders>
              <w:top w:val="single" w:color="B8BEC7" w:sz="4"/>
              <w:left w:val="single" w:color="B8BEC7" w:sz="4"/>
              <w:bottom w:val="single" w:color="B8BEC7" w:sz="4"/>
              <w:right w:val="single" w:color="B8BEC7" w:sz="4"/>
            </w:tcBorders>
            <w:shd w:fill="1F3A5F" w:color="auto" w:val="clear"/>
            <w:tcMar>
              <w:top w:type="dxa" w:w="80"/>
              <w:left w:type="dxa" w:w="120"/>
              <w:bottom w:type="dxa" w:w="80"/>
              <w:right w:type="dxa" w:w="120"/>
            </w:tcMar>
          </w:tcPr>
          <w:p>
            <w:r>
              <w:rPr>
                <w:b/>
                <w:bCs/>
                <w:color w:val="FFFFFF"/>
              </w:rPr>
              <w:t xml:space="preserve">SD</w:t>
            </w:r>
          </w:p>
        </w:tc>
        <w:tc>
          <w:tcPr>
            <w:tcW w:type="dxa" w:w="1760"/>
            <w:tcBorders>
              <w:top w:val="single" w:color="B8BEC7" w:sz="4"/>
              <w:left w:val="single" w:color="B8BEC7" w:sz="4"/>
              <w:bottom w:val="single" w:color="B8BEC7" w:sz="4"/>
              <w:right w:val="single" w:color="B8BEC7" w:sz="4"/>
            </w:tcBorders>
            <w:shd w:fill="1F3A5F" w:color="auto" w:val="clear"/>
            <w:tcMar>
              <w:top w:type="dxa" w:w="80"/>
              <w:left w:type="dxa" w:w="120"/>
              <w:bottom w:type="dxa" w:w="80"/>
              <w:right w:type="dxa" w:w="120"/>
            </w:tcMar>
          </w:tcPr>
          <w:p>
            <w:r>
              <w:rPr>
                <w:b/>
                <w:bCs/>
                <w:color w:val="FFFFFF"/>
              </w:rPr>
              <w:t xml:space="preserve">N</w:t>
            </w:r>
          </w:p>
        </w:tc>
      </w:tr>
      <w:tr>
        <w:tc>
          <w:tcPr>
            <w:tcW w:type="dxa" w:w="4080"/>
            <w:tcBorders>
              <w:top w:val="single" w:color="B8BEC7" w:sz="4"/>
              <w:left w:val="single" w:color="B8BEC7" w:sz="4"/>
              <w:bottom w:val="single" w:color="B8BEC7" w:sz="4"/>
              <w:right w:val="single" w:color="B8BEC7" w:sz="4"/>
            </w:tcBorders>
            <w:tcMar>
              <w:top w:type="dxa" w:w="80"/>
              <w:left w:type="dxa" w:w="120"/>
              <w:bottom w:type="dxa" w:w="80"/>
              <w:right w:type="dxa" w:w="120"/>
            </w:tcMar>
          </w:tcPr>
          <w:p>
            <w:pPr>
              <w:jc w:val="left"/>
            </w:pPr>
            <w:r>
              <w:t xml:space="preserve">L1_OrgPromotesEquity</w:t>
            </w:r>
          </w:p>
        </w:tc>
        <w:tc>
          <w:tcPr>
            <w:tcW w:type="dxa" w:w="1760"/>
            <w:tcBorders>
              <w:top w:val="single" w:color="B8BEC7" w:sz="4"/>
              <w:left w:val="single" w:color="B8BEC7" w:sz="4"/>
              <w:bottom w:val="single" w:color="B8BEC7" w:sz="4"/>
              <w:right w:val="single" w:color="B8BEC7" w:sz="4"/>
            </w:tcBorders>
            <w:tcMar>
              <w:top w:type="dxa" w:w="80"/>
              <w:left w:type="dxa" w:w="120"/>
              <w:bottom w:type="dxa" w:w="80"/>
              <w:right w:type="dxa" w:w="120"/>
            </w:tcMar>
          </w:tcPr>
          <w:p>
            <w:pPr>
              <w:jc w:val="right"/>
            </w:pPr>
            <w:r>
              <w:t xml:space="preserve">3.22</w:t>
            </w:r>
          </w:p>
        </w:tc>
        <w:tc>
          <w:tcPr>
            <w:tcW w:type="dxa" w:w="1760"/>
            <w:tcBorders>
              <w:top w:val="single" w:color="B8BEC7" w:sz="4"/>
              <w:left w:val="single" w:color="B8BEC7" w:sz="4"/>
              <w:bottom w:val="single" w:color="B8BEC7" w:sz="4"/>
              <w:right w:val="single" w:color="B8BEC7" w:sz="4"/>
            </w:tcBorders>
            <w:tcMar>
              <w:top w:type="dxa" w:w="80"/>
              <w:left w:type="dxa" w:w="120"/>
              <w:bottom w:type="dxa" w:w="80"/>
              <w:right w:type="dxa" w:w="120"/>
            </w:tcMar>
          </w:tcPr>
          <w:p>
            <w:pPr>
              <w:jc w:val="right"/>
            </w:pPr>
            <w:r>
              <w:t xml:space="preserve">0.80</w:t>
            </w:r>
          </w:p>
        </w:tc>
        <w:tc>
          <w:tcPr>
            <w:tcW w:type="dxa" w:w="1760"/>
            <w:tcBorders>
              <w:top w:val="single" w:color="B8BEC7" w:sz="4"/>
              <w:left w:val="single" w:color="B8BEC7" w:sz="4"/>
              <w:bottom w:val="single" w:color="B8BEC7" w:sz="4"/>
              <w:right w:val="single" w:color="B8BEC7" w:sz="4"/>
            </w:tcBorders>
            <w:tcMar>
              <w:top w:type="dxa" w:w="80"/>
              <w:left w:type="dxa" w:w="120"/>
              <w:bottom w:type="dxa" w:w="80"/>
              <w:right w:type="dxa" w:w="120"/>
            </w:tcMar>
          </w:tcPr>
          <w:p>
            <w:pPr>
              <w:jc w:val="right"/>
            </w:pPr>
            <w:r>
              <w:t xml:space="preserve">150</w:t>
            </w:r>
          </w:p>
        </w:tc>
      </w:tr>
      <w:tr>
        <w:tc>
          <w:tcPr>
            <w:tcW w:type="dxa" w:w="4080"/>
            <w:tcBorders>
              <w:top w:val="single" w:color="B8BEC7" w:sz="4"/>
              <w:left w:val="single" w:color="B8BEC7" w:sz="4"/>
              <w:bottom w:val="single" w:color="B8BEC7" w:sz="4"/>
              <w:right w:val="single" w:color="B8BEC7" w:sz="4"/>
            </w:tcBorders>
            <w:shd w:fill="F2F4F7" w:color="auto" w:val="clear"/>
            <w:tcMar>
              <w:top w:type="dxa" w:w="80"/>
              <w:left w:type="dxa" w:w="120"/>
              <w:bottom w:type="dxa" w:w="80"/>
              <w:right w:type="dxa" w:w="120"/>
            </w:tcMar>
          </w:tcPr>
          <w:p>
            <w:pPr>
              <w:jc w:val="left"/>
            </w:pPr>
            <w:r>
              <w:t xml:space="preserve">L2_ContributionsValued</w:t>
            </w:r>
          </w:p>
        </w:tc>
        <w:tc>
          <w:tcPr>
            <w:tcW w:type="dxa" w:w="1760"/>
            <w:tcBorders>
              <w:top w:val="single" w:color="B8BEC7" w:sz="4"/>
              <w:left w:val="single" w:color="B8BEC7" w:sz="4"/>
              <w:bottom w:val="single" w:color="B8BEC7" w:sz="4"/>
              <w:right w:val="single" w:color="B8BEC7" w:sz="4"/>
            </w:tcBorders>
            <w:shd w:fill="F2F4F7" w:color="auto" w:val="clear"/>
            <w:tcMar>
              <w:top w:type="dxa" w:w="80"/>
              <w:left w:type="dxa" w:w="120"/>
              <w:bottom w:type="dxa" w:w="80"/>
              <w:right w:type="dxa" w:w="120"/>
            </w:tcMar>
          </w:tcPr>
          <w:p>
            <w:pPr>
              <w:jc w:val="right"/>
            </w:pPr>
            <w:r>
              <w:t xml:space="preserve">2.82</w:t>
            </w:r>
          </w:p>
        </w:tc>
        <w:tc>
          <w:tcPr>
            <w:tcW w:type="dxa" w:w="1760"/>
            <w:tcBorders>
              <w:top w:val="single" w:color="B8BEC7" w:sz="4"/>
              <w:left w:val="single" w:color="B8BEC7" w:sz="4"/>
              <w:bottom w:val="single" w:color="B8BEC7" w:sz="4"/>
              <w:right w:val="single" w:color="B8BEC7" w:sz="4"/>
            </w:tcBorders>
            <w:shd w:fill="F2F4F7" w:color="auto" w:val="clear"/>
            <w:tcMar>
              <w:top w:type="dxa" w:w="80"/>
              <w:left w:type="dxa" w:w="120"/>
              <w:bottom w:type="dxa" w:w="80"/>
              <w:right w:type="dxa" w:w="120"/>
            </w:tcMar>
          </w:tcPr>
          <w:p>
            <w:pPr>
              <w:jc w:val="right"/>
            </w:pPr>
            <w:r>
              <w:t xml:space="preserve">0.85</w:t>
            </w:r>
          </w:p>
        </w:tc>
        <w:tc>
          <w:tcPr>
            <w:tcW w:type="dxa" w:w="1760"/>
            <w:tcBorders>
              <w:top w:val="single" w:color="B8BEC7" w:sz="4"/>
              <w:left w:val="single" w:color="B8BEC7" w:sz="4"/>
              <w:bottom w:val="single" w:color="B8BEC7" w:sz="4"/>
              <w:right w:val="single" w:color="B8BEC7" w:sz="4"/>
            </w:tcBorders>
            <w:shd w:fill="F2F4F7" w:color="auto" w:val="clear"/>
            <w:tcMar>
              <w:top w:type="dxa" w:w="80"/>
              <w:left w:type="dxa" w:w="120"/>
              <w:bottom w:type="dxa" w:w="80"/>
              <w:right w:type="dxa" w:w="120"/>
            </w:tcMar>
          </w:tcPr>
          <w:p>
            <w:pPr>
              <w:jc w:val="right"/>
            </w:pPr>
            <w:r>
              <w:t xml:space="preserve">150</w:t>
            </w:r>
          </w:p>
        </w:tc>
      </w:tr>
      <w:tr>
        <w:tc>
          <w:tcPr>
            <w:tcW w:type="dxa" w:w="4080"/>
            <w:tcBorders>
              <w:top w:val="single" w:color="B8BEC7" w:sz="4"/>
              <w:left w:val="single" w:color="B8BEC7" w:sz="4"/>
              <w:bottom w:val="single" w:color="B8BEC7" w:sz="4"/>
              <w:right w:val="single" w:color="B8BEC7" w:sz="4"/>
            </w:tcBorders>
            <w:tcMar>
              <w:top w:type="dxa" w:w="80"/>
              <w:left w:type="dxa" w:w="120"/>
              <w:bottom w:type="dxa" w:w="80"/>
              <w:right w:type="dxa" w:w="120"/>
            </w:tcMar>
          </w:tcPr>
          <w:p>
            <w:pPr>
              <w:jc w:val="left"/>
            </w:pPr>
            <w:r>
              <w:t xml:space="preserve">L3_LeadershipCommitment</w:t>
            </w:r>
          </w:p>
        </w:tc>
        <w:tc>
          <w:tcPr>
            <w:tcW w:type="dxa" w:w="1760"/>
            <w:tcBorders>
              <w:top w:val="single" w:color="B8BEC7" w:sz="4"/>
              <w:left w:val="single" w:color="B8BEC7" w:sz="4"/>
              <w:bottom w:val="single" w:color="B8BEC7" w:sz="4"/>
              <w:right w:val="single" w:color="B8BEC7" w:sz="4"/>
            </w:tcBorders>
            <w:tcMar>
              <w:top w:type="dxa" w:w="80"/>
              <w:left w:type="dxa" w:w="120"/>
              <w:bottom w:type="dxa" w:w="80"/>
              <w:right w:type="dxa" w:w="120"/>
            </w:tcMar>
          </w:tcPr>
          <w:p>
            <w:pPr>
              <w:jc w:val="right"/>
            </w:pPr>
            <w:r>
              <w:t xml:space="preserve">2.68</w:t>
            </w:r>
          </w:p>
        </w:tc>
        <w:tc>
          <w:tcPr>
            <w:tcW w:type="dxa" w:w="1760"/>
            <w:tcBorders>
              <w:top w:val="single" w:color="B8BEC7" w:sz="4"/>
              <w:left w:val="single" w:color="B8BEC7" w:sz="4"/>
              <w:bottom w:val="single" w:color="B8BEC7" w:sz="4"/>
              <w:right w:val="single" w:color="B8BEC7" w:sz="4"/>
            </w:tcBorders>
            <w:tcMar>
              <w:top w:type="dxa" w:w="80"/>
              <w:left w:type="dxa" w:w="120"/>
              <w:bottom w:type="dxa" w:w="80"/>
              <w:right w:type="dxa" w:w="120"/>
            </w:tcMar>
          </w:tcPr>
          <w:p>
            <w:pPr>
              <w:jc w:val="right"/>
            </w:pPr>
            <w:r>
              <w:t xml:space="preserve">0.80</w:t>
            </w:r>
          </w:p>
        </w:tc>
        <w:tc>
          <w:tcPr>
            <w:tcW w:type="dxa" w:w="1760"/>
            <w:tcBorders>
              <w:top w:val="single" w:color="B8BEC7" w:sz="4"/>
              <w:left w:val="single" w:color="B8BEC7" w:sz="4"/>
              <w:bottom w:val="single" w:color="B8BEC7" w:sz="4"/>
              <w:right w:val="single" w:color="B8BEC7" w:sz="4"/>
            </w:tcBorders>
            <w:tcMar>
              <w:top w:type="dxa" w:w="80"/>
              <w:left w:type="dxa" w:w="120"/>
              <w:bottom w:type="dxa" w:w="80"/>
              <w:right w:type="dxa" w:w="120"/>
            </w:tcMar>
          </w:tcPr>
          <w:p>
            <w:pPr>
              <w:jc w:val="right"/>
            </w:pPr>
            <w:r>
              <w:t xml:space="preserve">150</w:t>
            </w:r>
          </w:p>
        </w:tc>
      </w:tr>
    </w:tbl>
    <w:p>
      <w:pPr>
        <w:spacing w:after="140"/>
      </w:pPr>
      <w:r>
        <w:rPr>
          <w:b/>
          <w:bCs/>
        </w:rPr>
        <w:t xml:space="preserve">Reading the means. </w:t>
      </w:r>
      <w:r>
        <w:t xml:space="preserve">On a 1–5 scale where 3 is the neutral midpoint, only the first item (Organization promotes equity, M = 3.22) sits above neutral. The other two are below: contributions valued (M = 2.82) and leadership commitment (M = 2.68). The 0.54-point gap between the highest and lowest item is meaningful relative to the standard deviations (~0.80), suggesting respondents distinguish between the organization's stated posture on equity and what they observe from leadership specifically.</w:t>
      </w:r>
    </w:p>
    <w:p>
      <w:pPr>
        <w:spacing w:after="140"/>
      </w:pPr>
      <w:r>
        <w:t xml:space="preserve">The pattern (Org &gt; Contributions &gt; Leadership) is the kind of finding that would typically prompt a qualitative follow-up to ask why leadership is rated lowest — which is precisely the role the QUAL stage of this design is meant to play.</w:t>
      </w:r>
    </w:p>
    <w:p>
      <w:pPr>
        <w:pStyle w:val="Heading2"/>
      </w:pPr>
      <w:r>
        <w:t xml:space="preserve">3. Qualitative results</w:t>
      </w:r>
    </w:p>
    <w:p>
      <w:pPr>
        <w:spacing w:after="140"/>
      </w:pPr>
      <w:r>
        <w:rPr>
          <w:b/>
          <w:bCs/>
        </w:rPr>
        <w:t xml:space="preserve">Status. </w:t>
      </w:r>
      <w:r>
        <w:t xml:space="preserve">No themes have been coded in this project yet. As a result, the qualitative stage of the design is not represented in this report.</w:t>
      </w:r>
    </w:p>
    <w:p>
      <w:pPr>
        <w:spacing w:after="140"/>
      </w:pPr>
      <w:r>
        <w:rPr>
          <w:b/>
          <w:bCs/>
        </w:rPr>
        <w:t xml:space="preserve">Why this matters here. </w:t>
      </w:r>
      <w:r>
        <w:t xml:space="preserve">The quantitative finding above — a clear gap between the organization-level item and the leadership-specific item — is the kind of result an explanatory sequential design is built to interrogate. Without coded qualitative evidence, that gap is described but not explained. Any claim about why leadership is rated lowest would, at present, rest on the analyst's interpretation rather than respondent voice.</w:t>
      </w:r>
    </w:p>
    <w:p>
      <w:pPr>
        <w:spacing w:after="140"/>
      </w:pPr>
      <w:r>
        <w:rPr>
          <w:b/>
          <w:bCs/>
        </w:rPr>
        <w:t xml:space="preserve">Next step to make this section reportable. </w:t>
      </w:r>
      <w:r>
        <w:t xml:space="preserve">Build a starter codebook in the Codebook &amp; Themes workspace using the open-end responses tied to the leadership item, code a first pass, and re-run this report. Even a coarse three- or four-theme structure on the leadership question would let the next version of this report move from "a gap exists" to "a gap exists, and respondents attribute it to these recurring concerns."</w:t>
      </w:r>
    </w:p>
    <w:p>
      <w:pPr>
        <w:pStyle w:val="Heading2"/>
      </w:pPr>
      <w:r>
        <w:t xml:space="preserve">4. Integration and defensibility</w:t>
      </w:r>
    </w:p>
    <w:p>
      <w:pPr>
        <w:pStyle w:val="Heading3"/>
      </w:pPr>
      <w:r>
        <w:t xml:space="preserve">Joint display</w:t>
      </w:r>
    </w:p>
    <w:p>
      <w:pPr>
        <w:spacing w:after="140"/>
      </w:pPr>
      <w:r>
        <w:rPr>
          <w:b/>
          <w:bCs/>
        </w:rPr>
        <w:t xml:space="preserve">Not yet produced. </w:t>
      </w:r>
      <w:r>
        <w:t xml:space="preserve">A joint display in this study would pair each Likert item with the dominant qualitative themes from the matched open-end. Because no themes are coded, the display has no rows to render. Once a first coding pass on the leadership-rated item is complete, the joint display becomes the single most useful integration artifact for this dataset.</w:t>
      </w:r>
    </w:p>
    <w:p>
      <w:pPr>
        <w:pStyle w:val="Heading3"/>
      </w:pPr>
      <w:r>
        <w:t xml:space="preserve">Evidence matrix</w:t>
      </w:r>
    </w:p>
    <w:p>
      <w:pPr>
        <w:spacing w:after="140"/>
      </w:pPr>
      <w:r>
        <w:rPr>
          <w:b/>
          <w:bCs/>
        </w:rPr>
        <w:t xml:space="preserve">Not yet produced. </w:t>
      </w:r>
      <w:r>
        <w:t xml:space="preserve">The matrix is dependent on the same coded qualitative inputs as the joint display.</w:t>
      </w:r>
    </w:p>
    <w:p>
      <w:pPr>
        <w:pStyle w:val="Heading3"/>
      </w:pPr>
      <w:r>
        <w:t xml:space="preserve">Strength Index: 73 / 100 — USABLE</w:t>
      </w:r>
    </w:p>
    <w:p>
      <w:pPr>
        <w:spacing w:after="140"/>
      </w:pPr>
      <w:r>
        <w:t xml:space="preserve">The aggregate score sits in the "usable with a few items to strengthen" band. The headline number is supported by the response and item-distribution domains but pulled down by reliability and incomplete qualitative analysis. The table below shows where each domain sits and what is driving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B8BEC7" w:sz="4"/>
              <w:left w:val="single" w:color="B8BEC7" w:sz="4"/>
              <w:bottom w:val="single" w:color="B8BEC7" w:sz="4"/>
              <w:right w:val="single" w:color="B8BEC7" w:sz="4"/>
            </w:tcBorders>
            <w:shd w:fill="1F3A5F" w:color="auto" w:val="clear"/>
            <w:tcMar>
              <w:top w:type="dxa" w:w="80"/>
              <w:left w:type="dxa" w:w="120"/>
              <w:bottom w:type="dxa" w:w="80"/>
              <w:right w:type="dxa" w:w="120"/>
            </w:tcMar>
          </w:tcPr>
          <w:p>
            <w:r>
              <w:rPr>
                <w:b/>
                <w:bCs/>
                <w:color w:val="FFFFFF"/>
              </w:rPr>
              <w:t xml:space="preserve">Domain</w:t>
            </w:r>
          </w:p>
        </w:tc>
        <w:tc>
          <w:tcPr>
            <w:tcW w:type="dxa" w:w="1400"/>
            <w:tcBorders>
              <w:top w:val="single" w:color="B8BEC7" w:sz="4"/>
              <w:left w:val="single" w:color="B8BEC7" w:sz="4"/>
              <w:bottom w:val="single" w:color="B8BEC7" w:sz="4"/>
              <w:right w:val="single" w:color="B8BEC7" w:sz="4"/>
            </w:tcBorders>
            <w:shd w:fill="1F3A5F" w:color="auto" w:val="clear"/>
            <w:tcMar>
              <w:top w:type="dxa" w:w="80"/>
              <w:left w:type="dxa" w:w="120"/>
              <w:bottom w:type="dxa" w:w="80"/>
              <w:right w:type="dxa" w:w="120"/>
            </w:tcMar>
          </w:tcPr>
          <w:p>
            <w:r>
              <w:rPr>
                <w:b/>
                <w:bCs/>
                <w:color w:val="FFFFFF"/>
              </w:rPr>
              <w:t xml:space="preserve">Score</w:t>
            </w:r>
          </w:p>
        </w:tc>
        <w:tc>
          <w:tcPr>
            <w:tcW w:type="dxa" w:w="5560"/>
            <w:tcBorders>
              <w:top w:val="single" w:color="B8BEC7" w:sz="4"/>
              <w:left w:val="single" w:color="B8BEC7" w:sz="4"/>
              <w:bottom w:val="single" w:color="B8BEC7" w:sz="4"/>
              <w:right w:val="single" w:color="B8BEC7" w:sz="4"/>
            </w:tcBorders>
            <w:shd w:fill="1F3A5F" w:color="auto" w:val="clear"/>
            <w:tcMar>
              <w:top w:type="dxa" w:w="80"/>
              <w:left w:type="dxa" w:w="120"/>
              <w:bottom w:type="dxa" w:w="80"/>
              <w:right w:type="dxa" w:w="120"/>
            </w:tcMar>
          </w:tcPr>
          <w:p>
            <w:r>
              <w:rPr>
                <w:b/>
                <w:bCs/>
                <w:color w:val="FFFFFF"/>
              </w:rPr>
              <w:t xml:space="preserve">What the score is telling you</w:t>
            </w:r>
          </w:p>
        </w:tc>
      </w:tr>
      <w:tr>
        <w:tc>
          <w:tcPr>
            <w:tcW w:type="dxa" w:w="2400"/>
            <w:tcBorders>
              <w:top w:val="single" w:color="B8BEC7" w:sz="4"/>
              <w:left w:val="single" w:color="B8BEC7" w:sz="4"/>
              <w:bottom w:val="single" w:color="B8BEC7" w:sz="4"/>
              <w:right w:val="single" w:color="B8BEC7" w:sz="4"/>
            </w:tcBorders>
            <w:tcMar>
              <w:top w:type="dxa" w:w="80"/>
              <w:left w:type="dxa" w:w="120"/>
              <w:bottom w:type="dxa" w:w="80"/>
              <w:right w:type="dxa" w:w="120"/>
            </w:tcMar>
          </w:tcPr>
          <w:p>
            <w:pPr>
              <w:jc w:val="left"/>
            </w:pPr>
            <w:r>
              <w:t xml:space="preserve">Reliability</w:t>
            </w:r>
          </w:p>
        </w:tc>
        <w:tc>
          <w:tcPr>
            <w:tcW w:type="dxa" w:w="1400"/>
            <w:tcBorders>
              <w:top w:val="single" w:color="B8BEC7" w:sz="4"/>
              <w:left w:val="single" w:color="B8BEC7" w:sz="4"/>
              <w:bottom w:val="single" w:color="B8BEC7" w:sz="4"/>
              <w:right w:val="single" w:color="B8BEC7" w:sz="4"/>
            </w:tcBorders>
            <w:tcMar>
              <w:top w:type="dxa" w:w="80"/>
              <w:left w:type="dxa" w:w="120"/>
              <w:bottom w:type="dxa" w:w="80"/>
              <w:right w:type="dxa" w:w="120"/>
            </w:tcMar>
          </w:tcPr>
          <w:p>
            <w:pPr>
              <w:jc w:val="right"/>
            </w:pPr>
            <w:r>
              <w:t xml:space="preserve">12 / 25</w:t>
            </w:r>
          </w:p>
        </w:tc>
        <w:tc>
          <w:tcPr>
            <w:tcW w:type="dxa" w:w="5560"/>
            <w:tcBorders>
              <w:top w:val="single" w:color="B8BEC7" w:sz="4"/>
              <w:left w:val="single" w:color="B8BEC7" w:sz="4"/>
              <w:bottom w:val="single" w:color="B8BEC7" w:sz="4"/>
              <w:right w:val="single" w:color="B8BEC7" w:sz="4"/>
            </w:tcBorders>
            <w:tcMar>
              <w:top w:type="dxa" w:w="80"/>
              <w:left w:type="dxa" w:w="120"/>
              <w:bottom w:type="dxa" w:w="80"/>
              <w:right w:type="dxa" w:w="120"/>
            </w:tcMar>
          </w:tcPr>
          <w:p>
            <w:pPr>
              <w:jc w:val="left"/>
            </w:pPr>
            <w:r>
              <w:t xml:space="preserve">Below threshold. α = 0.62 with only 3 items caps this domain. Add items to the scale or report findings descriptively only.</w:t>
            </w:r>
          </w:p>
        </w:tc>
      </w:tr>
      <w:tr>
        <w:tc>
          <w:tcPr>
            <w:tcW w:type="dxa" w:w="2400"/>
            <w:tcBorders>
              <w:top w:val="single" w:color="B8BEC7" w:sz="4"/>
              <w:left w:val="single" w:color="B8BEC7" w:sz="4"/>
              <w:bottom w:val="single" w:color="B8BEC7" w:sz="4"/>
              <w:right w:val="single" w:color="B8BEC7" w:sz="4"/>
            </w:tcBorders>
            <w:shd w:fill="F2F4F7" w:color="auto" w:val="clear"/>
            <w:tcMar>
              <w:top w:type="dxa" w:w="80"/>
              <w:left w:type="dxa" w:w="120"/>
              <w:bottom w:type="dxa" w:w="80"/>
              <w:right w:type="dxa" w:w="120"/>
            </w:tcMar>
          </w:tcPr>
          <w:p>
            <w:pPr>
              <w:jc w:val="left"/>
            </w:pPr>
            <w:r>
              <w:t xml:space="preserve">Factor</w:t>
            </w:r>
          </w:p>
        </w:tc>
        <w:tc>
          <w:tcPr>
            <w:tcW w:type="dxa" w:w="1400"/>
            <w:tcBorders>
              <w:top w:val="single" w:color="B8BEC7" w:sz="4"/>
              <w:left w:val="single" w:color="B8BEC7" w:sz="4"/>
              <w:bottom w:val="single" w:color="B8BEC7" w:sz="4"/>
              <w:right w:val="single" w:color="B8BEC7" w:sz="4"/>
            </w:tcBorders>
            <w:shd w:fill="F2F4F7" w:color="auto" w:val="clear"/>
            <w:tcMar>
              <w:top w:type="dxa" w:w="80"/>
              <w:left w:type="dxa" w:w="120"/>
              <w:bottom w:type="dxa" w:w="80"/>
              <w:right w:type="dxa" w:w="120"/>
            </w:tcMar>
          </w:tcPr>
          <w:p>
            <w:pPr>
              <w:jc w:val="right"/>
            </w:pPr>
            <w:r>
              <w:t xml:space="preserve">11 / 20</w:t>
            </w:r>
          </w:p>
        </w:tc>
        <w:tc>
          <w:tcPr>
            <w:tcW w:type="dxa" w:w="5560"/>
            <w:tcBorders>
              <w:top w:val="single" w:color="B8BEC7" w:sz="4"/>
              <w:left w:val="single" w:color="B8BEC7" w:sz="4"/>
              <w:bottom w:val="single" w:color="B8BEC7" w:sz="4"/>
              <w:right w:val="single" w:color="B8BEC7" w:sz="4"/>
            </w:tcBorders>
            <w:shd w:fill="F2F4F7" w:color="auto" w:val="clear"/>
            <w:tcMar>
              <w:top w:type="dxa" w:w="80"/>
              <w:left w:type="dxa" w:w="120"/>
              <w:bottom w:type="dxa" w:w="80"/>
              <w:right w:type="dxa" w:w="120"/>
            </w:tcMar>
          </w:tcPr>
          <w:p>
            <w:pPr>
              <w:jc w:val="left"/>
            </w:pPr>
            <w:r>
              <w:t xml:space="preserve">One factor retained (Kaiser). Clean loading pattern, but with 3 items a single-factor solution is the only mathematically available outcome and should not be over-interpreted.</w:t>
            </w:r>
          </w:p>
        </w:tc>
      </w:tr>
      <w:tr>
        <w:tc>
          <w:tcPr>
            <w:tcW w:type="dxa" w:w="2400"/>
            <w:tcBorders>
              <w:top w:val="single" w:color="B8BEC7" w:sz="4"/>
              <w:left w:val="single" w:color="B8BEC7" w:sz="4"/>
              <w:bottom w:val="single" w:color="B8BEC7" w:sz="4"/>
              <w:right w:val="single" w:color="B8BEC7" w:sz="4"/>
            </w:tcBorders>
            <w:tcMar>
              <w:top w:type="dxa" w:w="80"/>
              <w:left w:type="dxa" w:w="120"/>
              <w:bottom w:type="dxa" w:w="80"/>
              <w:right w:type="dxa" w:w="120"/>
            </w:tcMar>
          </w:tcPr>
          <w:p>
            <w:pPr>
              <w:jc w:val="left"/>
            </w:pPr>
            <w:r>
              <w:t xml:space="preserve">Item</w:t>
            </w:r>
          </w:p>
        </w:tc>
        <w:tc>
          <w:tcPr>
            <w:tcW w:type="dxa" w:w="1400"/>
            <w:tcBorders>
              <w:top w:val="single" w:color="B8BEC7" w:sz="4"/>
              <w:left w:val="single" w:color="B8BEC7" w:sz="4"/>
              <w:bottom w:val="single" w:color="B8BEC7" w:sz="4"/>
              <w:right w:val="single" w:color="B8BEC7" w:sz="4"/>
            </w:tcBorders>
            <w:tcMar>
              <w:top w:type="dxa" w:w="80"/>
              <w:left w:type="dxa" w:w="120"/>
              <w:bottom w:type="dxa" w:w="80"/>
              <w:right w:type="dxa" w:w="120"/>
            </w:tcMar>
          </w:tcPr>
          <w:p>
            <w:pPr>
              <w:jc w:val="right"/>
            </w:pPr>
            <w:r>
              <w:t xml:space="preserve">20 / 20</w:t>
            </w:r>
          </w:p>
        </w:tc>
        <w:tc>
          <w:tcPr>
            <w:tcW w:type="dxa" w:w="5560"/>
            <w:tcBorders>
              <w:top w:val="single" w:color="B8BEC7" w:sz="4"/>
              <w:left w:val="single" w:color="B8BEC7" w:sz="4"/>
              <w:bottom w:val="single" w:color="B8BEC7" w:sz="4"/>
              <w:right w:val="single" w:color="B8BEC7" w:sz="4"/>
            </w:tcBorders>
            <w:tcMar>
              <w:top w:type="dxa" w:w="80"/>
              <w:left w:type="dxa" w:w="120"/>
              <w:bottom w:type="dxa" w:w="80"/>
              <w:right w:type="dxa" w:w="120"/>
            </w:tcMar>
          </w:tcPr>
          <w:p>
            <w:pPr>
              <w:jc w:val="left"/>
            </w:pPr>
            <w:r>
              <w:t xml:space="preserve">Items show healthy spread; no floor, ceiling, or extreme-skew issues.</w:t>
            </w:r>
          </w:p>
        </w:tc>
      </w:tr>
      <w:tr>
        <w:tc>
          <w:tcPr>
            <w:tcW w:type="dxa" w:w="2400"/>
            <w:tcBorders>
              <w:top w:val="single" w:color="B8BEC7" w:sz="4"/>
              <w:left w:val="single" w:color="B8BEC7" w:sz="4"/>
              <w:bottom w:val="single" w:color="B8BEC7" w:sz="4"/>
              <w:right w:val="single" w:color="B8BEC7" w:sz="4"/>
            </w:tcBorders>
            <w:shd w:fill="F2F4F7" w:color="auto" w:val="clear"/>
            <w:tcMar>
              <w:top w:type="dxa" w:w="80"/>
              <w:left w:type="dxa" w:w="120"/>
              <w:bottom w:type="dxa" w:w="80"/>
              <w:right w:type="dxa" w:w="120"/>
            </w:tcMar>
          </w:tcPr>
          <w:p>
            <w:pPr>
              <w:jc w:val="left"/>
            </w:pPr>
            <w:r>
              <w:t xml:space="preserve">Response</w:t>
            </w:r>
          </w:p>
        </w:tc>
        <w:tc>
          <w:tcPr>
            <w:tcW w:type="dxa" w:w="1400"/>
            <w:tcBorders>
              <w:top w:val="single" w:color="B8BEC7" w:sz="4"/>
              <w:left w:val="single" w:color="B8BEC7" w:sz="4"/>
              <w:bottom w:val="single" w:color="B8BEC7" w:sz="4"/>
              <w:right w:val="single" w:color="B8BEC7" w:sz="4"/>
            </w:tcBorders>
            <w:shd w:fill="F2F4F7" w:color="auto" w:val="clear"/>
            <w:tcMar>
              <w:top w:type="dxa" w:w="80"/>
              <w:left w:type="dxa" w:w="120"/>
              <w:bottom w:type="dxa" w:w="80"/>
              <w:right w:type="dxa" w:w="120"/>
            </w:tcMar>
          </w:tcPr>
          <w:p>
            <w:pPr>
              <w:jc w:val="right"/>
            </w:pPr>
            <w:r>
              <w:t xml:space="preserve">14 / 15</w:t>
            </w:r>
          </w:p>
        </w:tc>
        <w:tc>
          <w:tcPr>
            <w:tcW w:type="dxa" w:w="5560"/>
            <w:tcBorders>
              <w:top w:val="single" w:color="B8BEC7" w:sz="4"/>
              <w:left w:val="single" w:color="B8BEC7" w:sz="4"/>
              <w:bottom w:val="single" w:color="B8BEC7" w:sz="4"/>
              <w:right w:val="single" w:color="B8BEC7" w:sz="4"/>
            </w:tcBorders>
            <w:shd w:fill="F2F4F7" w:color="auto" w:val="clear"/>
            <w:tcMar>
              <w:top w:type="dxa" w:w="80"/>
              <w:left w:type="dxa" w:w="120"/>
              <w:bottom w:type="dxa" w:w="80"/>
              <w:right w:type="dxa" w:w="120"/>
            </w:tcMar>
          </w:tcPr>
          <w:p>
            <w:pPr>
              <w:jc w:val="left"/>
            </w:pPr>
            <w:r>
              <w:t xml:space="preserve">N = 150 with 100% completion. Strong on volume; representativeness is not assessed.</w:t>
            </w:r>
          </w:p>
        </w:tc>
      </w:tr>
      <w:tr>
        <w:tc>
          <w:tcPr>
            <w:tcW w:type="dxa" w:w="2400"/>
            <w:tcBorders>
              <w:top w:val="single" w:color="B8BEC7" w:sz="4"/>
              <w:left w:val="single" w:color="B8BEC7" w:sz="4"/>
              <w:bottom w:val="single" w:color="B8BEC7" w:sz="4"/>
              <w:right w:val="single" w:color="B8BEC7" w:sz="4"/>
            </w:tcBorders>
            <w:tcMar>
              <w:top w:type="dxa" w:w="80"/>
              <w:left w:type="dxa" w:w="120"/>
              <w:bottom w:type="dxa" w:w="80"/>
              <w:right w:type="dxa" w:w="120"/>
            </w:tcMar>
          </w:tcPr>
          <w:p>
            <w:pPr>
              <w:jc w:val="left"/>
            </w:pPr>
            <w:r>
              <w:t xml:space="preserve">Open-End</w:t>
            </w:r>
          </w:p>
        </w:tc>
        <w:tc>
          <w:tcPr>
            <w:tcW w:type="dxa" w:w="1400"/>
            <w:tcBorders>
              <w:top w:val="single" w:color="B8BEC7" w:sz="4"/>
              <w:left w:val="single" w:color="B8BEC7" w:sz="4"/>
              <w:bottom w:val="single" w:color="B8BEC7" w:sz="4"/>
              <w:right w:val="single" w:color="B8BEC7" w:sz="4"/>
            </w:tcBorders>
            <w:tcMar>
              <w:top w:type="dxa" w:w="80"/>
              <w:left w:type="dxa" w:w="120"/>
              <w:bottom w:type="dxa" w:w="80"/>
              <w:right w:type="dxa" w:w="120"/>
            </w:tcMar>
          </w:tcPr>
          <w:p>
            <w:pPr>
              <w:jc w:val="right"/>
            </w:pPr>
            <w:r>
              <w:t xml:space="preserve">9 / 10</w:t>
            </w:r>
          </w:p>
        </w:tc>
        <w:tc>
          <w:tcPr>
            <w:tcW w:type="dxa" w:w="5560"/>
            <w:tcBorders>
              <w:top w:val="single" w:color="B8BEC7" w:sz="4"/>
              <w:left w:val="single" w:color="B8BEC7" w:sz="4"/>
              <w:bottom w:val="single" w:color="B8BEC7" w:sz="4"/>
              <w:right w:val="single" w:color="B8BEC7" w:sz="4"/>
            </w:tcBorders>
            <w:tcMar>
              <w:top w:type="dxa" w:w="80"/>
              <w:left w:type="dxa" w:w="120"/>
              <w:bottom w:type="dxa" w:w="80"/>
              <w:right w:type="dxa" w:w="120"/>
            </w:tcMar>
          </w:tcPr>
          <w:p>
            <w:pPr>
              <w:jc w:val="left"/>
            </w:pPr>
            <w:r>
              <w:t xml:space="preserve">Open-end responses present but not yet coded — the score reflects available text, not analyzed text.</w:t>
            </w:r>
          </w:p>
        </w:tc>
      </w:tr>
      <w:tr>
        <w:tc>
          <w:tcPr>
            <w:tcW w:type="dxa" w:w="2400"/>
            <w:tcBorders>
              <w:top w:val="single" w:color="B8BEC7" w:sz="4"/>
              <w:left w:val="single" w:color="B8BEC7" w:sz="4"/>
              <w:bottom w:val="single" w:color="B8BEC7" w:sz="4"/>
              <w:right w:val="single" w:color="B8BEC7" w:sz="4"/>
            </w:tcBorders>
            <w:shd w:fill="F2F4F7" w:color="auto" w:val="clear"/>
            <w:tcMar>
              <w:top w:type="dxa" w:w="80"/>
              <w:left w:type="dxa" w:w="120"/>
              <w:bottom w:type="dxa" w:w="80"/>
              <w:right w:type="dxa" w:w="120"/>
            </w:tcMar>
          </w:tcPr>
          <w:p>
            <w:pPr>
              <w:jc w:val="left"/>
            </w:pPr>
            <w:r>
              <w:t xml:space="preserve">Action</w:t>
            </w:r>
          </w:p>
        </w:tc>
        <w:tc>
          <w:tcPr>
            <w:tcW w:type="dxa" w:w="1400"/>
            <w:tcBorders>
              <w:top w:val="single" w:color="B8BEC7" w:sz="4"/>
              <w:left w:val="single" w:color="B8BEC7" w:sz="4"/>
              <w:bottom w:val="single" w:color="B8BEC7" w:sz="4"/>
              <w:right w:val="single" w:color="B8BEC7" w:sz="4"/>
            </w:tcBorders>
            <w:shd w:fill="F2F4F7" w:color="auto" w:val="clear"/>
            <w:tcMar>
              <w:top w:type="dxa" w:w="80"/>
              <w:left w:type="dxa" w:w="120"/>
              <w:bottom w:type="dxa" w:w="80"/>
              <w:right w:type="dxa" w:w="120"/>
            </w:tcMar>
          </w:tcPr>
          <w:p>
            <w:pPr>
              <w:jc w:val="right"/>
            </w:pPr>
            <w:r>
              <w:t xml:space="preserve">7 / 10</w:t>
            </w:r>
          </w:p>
        </w:tc>
        <w:tc>
          <w:tcPr>
            <w:tcW w:type="dxa" w:w="5560"/>
            <w:tcBorders>
              <w:top w:val="single" w:color="B8BEC7" w:sz="4"/>
              <w:left w:val="single" w:color="B8BEC7" w:sz="4"/>
              <w:bottom w:val="single" w:color="B8BEC7" w:sz="4"/>
              <w:right w:val="single" w:color="B8BEC7" w:sz="4"/>
            </w:tcBorders>
            <w:shd w:fill="F2F4F7" w:color="auto" w:val="clear"/>
            <w:tcMar>
              <w:top w:type="dxa" w:w="80"/>
              <w:left w:type="dxa" w:w="120"/>
              <w:bottom w:type="dxa" w:w="80"/>
              <w:right w:type="dxa" w:w="120"/>
            </w:tcMar>
          </w:tcPr>
          <w:p>
            <w:pPr>
              <w:jc w:val="left"/>
            </w:pPr>
            <w:r>
              <w:t xml:space="preserve">Some action language present in responses; full assessment depends on completing the qualitative coding pass.</w:t>
            </w:r>
          </w:p>
        </w:tc>
      </w:tr>
    </w:tbl>
    <w:p>
      <w:pPr>
        <w:pStyle w:val="Heading3"/>
      </w:pPr>
      <w:r>
        <w:t xml:space="preserve">What would move the Strength Index next</w:t>
      </w:r>
    </w:p>
    <w:p>
      <w:pPr>
        <w:pStyle w:val="ListParagraph"/>
        <w:numPr>
          <w:ilvl w:val="0"/>
          <w:numId w:val="2"/>
        </w:numPr>
        <w:spacing w:after="80"/>
      </w:pPr>
      <w:r>
        <w:t xml:space="preserve">Add three to five items to the perceived-equity scale. With six to eight items, α has room to clear 0.70 even if inter-item correlations stay where they are — this is the single highest-leverage move and would raise the Reliability domain from 12/25 toward 18-20/25.</w:t>
      </w:r>
    </w:p>
    <w:p>
      <w:pPr>
        <w:pStyle w:val="ListParagraph"/>
        <w:numPr>
          <w:ilvl w:val="0"/>
          <w:numId w:val="2"/>
        </w:numPr>
        <w:spacing w:after="80"/>
      </w:pPr>
      <w:r>
        <w:t xml:space="preserve">Complete a first coding pass on the leadership-rated open-end. This unlocks the Qualitative, Joint Display, and Matrix sections at once and would move the Open-End and Action domains close to full marks.</w:t>
      </w:r>
    </w:p>
    <w:p>
      <w:pPr>
        <w:pStyle w:val="ListParagraph"/>
        <w:numPr>
          <w:ilvl w:val="0"/>
          <w:numId w:val="2"/>
        </w:numPr>
        <w:spacing w:after="80"/>
      </w:pPr>
      <w:r>
        <w:t xml:space="preserve">Document the sample frame so the Response domain can be assessed for representativeness, not only volume. The current 14/15 reflects N and completion rate alone.</w:t>
      </w:r>
    </w:p>
    <w:p>
      <w:pPr>
        <w:pStyle w:val="Heading3"/>
      </w:pPr>
      <w:r>
        <w:t xml:space="preserve">Limitations specific to this study</w:t>
      </w:r>
    </w:p>
    <w:p>
      <w:pPr>
        <w:spacing w:after="140"/>
      </w:pPr>
      <w:r>
        <w:rPr>
          <w:b/>
          <w:bCs/>
        </w:rPr>
        <w:t xml:space="preserve">Instrument length. </w:t>
      </w:r>
      <w:r>
        <w:t xml:space="preserve">A three-item scale cannot reliably represent a multi-faceted construct like perceived organizational equity. The 0.62 α is the most concrete evidence of this constraint.</w:t>
      </w:r>
    </w:p>
    <w:p>
      <w:pPr>
        <w:spacing w:after="140"/>
      </w:pPr>
      <w:r>
        <w:rPr>
          <w:b/>
          <w:bCs/>
        </w:rPr>
        <w:t xml:space="preserve">Half the design is missing. </w:t>
      </w:r>
      <w:r>
        <w:t xml:space="preserve">An explanatory sequential design draws its defensibility from the QUAL → QUAN linkage. Without coded qualitative evidence, the design is currently being executed as a one-stage quantitative descriptive study, and findings should be presented that way until the second stage is completed.</w:t>
      </w:r>
    </w:p>
    <w:p>
      <w:pPr>
        <w:spacing w:after="140"/>
      </w:pPr>
      <w:r>
        <w:rPr>
          <w:b/>
          <w:bCs/>
        </w:rPr>
        <w:t xml:space="preserve">Sample representativeness. </w:t>
      </w:r>
      <w:r>
        <w:t xml:space="preserve">N = 150 with 100% completion is a strong base, but no demographic distribution or sampling frame is reported here. Findings cannot yet be generalized beyond the 150 respondents who took the survey.</w:t>
      </w:r>
    </w:p>
    <w:p>
      <w:pPr>
        <w:pStyle w:val="Heading3"/>
      </w:pPr>
      <w:r>
        <w:t xml:space="preserve">Recommended next actions, in order</w:t>
      </w:r>
    </w:p>
    <w:p>
      <w:pPr>
        <w:pStyle w:val="ListParagraph"/>
        <w:numPr>
          <w:ilvl w:val="0"/>
          <w:numId w:val="2"/>
        </w:numPr>
        <w:spacing w:after="80"/>
      </w:pPr>
      <w:r>
        <w:t xml:space="preserve">Extend the Likert scale to six to eight items before fielding another wave.</w:t>
      </w:r>
    </w:p>
    <w:p>
      <w:pPr>
        <w:pStyle w:val="ListParagraph"/>
        <w:numPr>
          <w:ilvl w:val="0"/>
          <w:numId w:val="2"/>
        </w:numPr>
        <w:spacing w:after="80"/>
      </w:pPr>
      <w:r>
        <w:t xml:space="preserve">Code the open-end responses tied to L3_LeadershipCommitment first — that is where the largest quantitative-qualitative explanatory gap currently sits.</w:t>
      </w:r>
    </w:p>
    <w:p>
      <w:pPr>
        <w:pStyle w:val="ListParagraph"/>
        <w:numPr>
          <w:ilvl w:val="0"/>
          <w:numId w:val="2"/>
        </w:numPr>
        <w:spacing w:after="80"/>
      </w:pPr>
      <w:r>
        <w:t xml:space="preserve">Re-generate this report after coding to populate the Qualitative, Joint Display, and Matrix sections.</w:t>
      </w:r>
    </w:p>
    <w:p>
      <w:pPr>
        <w:pStyle w:val="ListParagraph"/>
        <w:numPr>
          <w:ilvl w:val="0"/>
          <w:numId w:val="2"/>
        </w:numPr>
        <w:spacing w:after="80"/>
      </w:pPr>
      <w:r>
        <w:t xml:space="preserve">Document the sample frame and basic demographics so representativeness can be assessed.</w:t>
      </w:r>
    </w:p>
    <w:p>
      <w:pPr>
        <w:pStyle w:val="Heading3"/>
      </w:pPr>
      <w:r>
        <w:t xml:space="preserve">Report scope</w:t>
      </w:r>
    </w:p>
    <w:p>
      <w:pPr>
        <w:spacing w:after="140"/>
      </w:pPr>
      <w:r>
        <w:t xml:space="preserve">This report reflects the data and analyses available at the time of generation (5/24/2026). The Strength Index, all section content, and the named limitations above are computed from the current project state. Re-run after adding items, coding responses, or revising the codebook to refresh.</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470"/>
        <w:sz w:val="18"/>
        <w:szCs w:val="18"/>
      </w:rPr>
      <w:t xml:space="preserve">Generated 5/24/2026</w:t>
    </w:r>
    <w:r>
      <w:rPr>
        <w:color w:val="5A6470"/>
        <w:sz w:val="18"/>
        <w:szCs w:val="18"/>
      </w:rPr>
      <w:t xml:space="preserve">	Page </w:t>
    </w:r>
    <w:r>
      <w:rPr>
        <w:color w:val="5A6470"/>
        <w:sz w:val="18"/>
        <w:szCs w:val="18"/>
      </w:rPr>
      <w:fldChar w:fldCharType="begin"/>
      <w:instrText xml:space="preserve">PAGE</w:instrText>
      <w:fldChar w:fldCharType="separate"/>
      <w:fldChar w:fldCharType="end"/>
    </w:r>
    <w:r>
      <w:rPr>
        <w:color w:val="5A6470"/>
        <w:sz w:val="18"/>
        <w:szCs w:val="18"/>
      </w:rPr>
      <w:t xml:space="preserve"> of </w:t>
    </w:r>
    <w:r>
      <w:rPr>
        <w:color w:val="5A647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color w:val="5A6470"/>
        <w:sz w:val="18"/>
        <w:szCs w:val="18"/>
      </w:rPr>
      <w:t xml:space="preserve">MM Studio · DEI Data Test</w:t>
    </w:r>
    <w:r>
      <w:rPr>
        <w:color w:val="5A6470"/>
        <w:sz w:val="18"/>
        <w:szCs w:val="18"/>
      </w:rPr>
      <w:t xml:space="preserve">	Project #128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2E4F7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DEI Data Test — Project #128</dc:title>
  <dc:creator>MM Studio</dc:creator>
  <cp:lastModifiedBy>Un-named</cp:lastModifiedBy>
  <cp:revision>1</cp:revision>
  <dcterms:created xsi:type="dcterms:W3CDTF">2026-05-24T17:47:21.622Z</dcterms:created>
  <dcterms:modified xsi:type="dcterms:W3CDTF">2026-05-24T17:47:21.622Z</dcterms:modified>
</cp:coreProperties>
</file>

<file path=docProps/custom.xml><?xml version="1.0" encoding="utf-8"?>
<Properties xmlns="http://schemas.openxmlformats.org/officeDocument/2006/custom-properties" xmlns:vt="http://schemas.openxmlformats.org/officeDocument/2006/docPropsVTypes"/>
</file>