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F2EF5" w14:textId="77777777" w:rsidR="00512A27" w:rsidRPr="00DA5C05" w:rsidRDefault="00646124" w:rsidP="00CC4E57">
      <w:pPr>
        <w:jc w:val="both"/>
        <w:rPr>
          <w:rFonts w:ascii="Arial" w:hAnsi="Arial" w:cs="Arial"/>
          <w:sz w:val="24"/>
          <w:szCs w:val="24"/>
          <w:lang w:val="es-ES"/>
        </w:rPr>
      </w:pPr>
      <w:r w:rsidRPr="00DA5C05">
        <w:rPr>
          <w:rFonts w:ascii="Arial" w:hAnsi="Arial" w:cs="Arial"/>
          <w:sz w:val="24"/>
          <w:szCs w:val="24"/>
          <w:lang w:val="es-ES"/>
        </w:rPr>
        <w:t>Descripción de las clases y variables</w:t>
      </w:r>
    </w:p>
    <w:p w14:paraId="24393FBA" w14:textId="77777777" w:rsidR="00646124" w:rsidRPr="00DA5C05" w:rsidRDefault="00CC4E57" w:rsidP="00CC4E57">
      <w:pPr>
        <w:spacing w:line="360" w:lineRule="auto"/>
        <w:jc w:val="both"/>
        <w:rPr>
          <w:rFonts w:ascii="Arial" w:hAnsi="Arial" w:cs="Arial"/>
          <w:sz w:val="20"/>
          <w:szCs w:val="20"/>
        </w:rPr>
      </w:pPr>
      <w:r>
        <w:rPr>
          <w:rFonts w:ascii="Arial" w:hAnsi="Arial" w:cs="Arial"/>
          <w:sz w:val="20"/>
          <w:szCs w:val="20"/>
        </w:rPr>
        <w:t xml:space="preserve">A </w:t>
      </w:r>
      <w:proofErr w:type="gramStart"/>
      <w:r>
        <w:rPr>
          <w:rFonts w:ascii="Arial" w:hAnsi="Arial" w:cs="Arial"/>
          <w:sz w:val="20"/>
          <w:szCs w:val="20"/>
        </w:rPr>
        <w:t>continuación</w:t>
      </w:r>
      <w:proofErr w:type="gramEnd"/>
      <w:r>
        <w:rPr>
          <w:rFonts w:ascii="Arial" w:hAnsi="Arial" w:cs="Arial"/>
          <w:sz w:val="20"/>
          <w:szCs w:val="20"/>
        </w:rPr>
        <w:t xml:space="preserve"> se detallan las variables y su descripción, para obtener un mejor entendimiento de la situación.</w:t>
      </w:r>
    </w:p>
    <w:p w14:paraId="434E8A6D" w14:textId="77777777" w:rsidR="00646124" w:rsidRPr="00DA5C05" w:rsidRDefault="00646124" w:rsidP="00CC4E57">
      <w:pPr>
        <w:spacing w:line="360" w:lineRule="auto"/>
        <w:jc w:val="both"/>
        <w:rPr>
          <w:rFonts w:ascii="Arial" w:hAnsi="Arial" w:cs="Arial"/>
          <w:sz w:val="20"/>
          <w:szCs w:val="20"/>
        </w:rPr>
      </w:pPr>
      <w:r w:rsidRPr="00DA5C05">
        <w:rPr>
          <w:rFonts w:ascii="Arial" w:hAnsi="Arial" w:cs="Arial"/>
          <w:sz w:val="20"/>
          <w:szCs w:val="20"/>
        </w:rPr>
        <w:t>• Age (</w:t>
      </w:r>
      <w:proofErr w:type="spellStart"/>
      <w:r w:rsidRPr="00DA5C05">
        <w:rPr>
          <w:rFonts w:ascii="Arial" w:hAnsi="Arial" w:cs="Arial"/>
          <w:sz w:val="20"/>
          <w:szCs w:val="20"/>
        </w:rPr>
        <w:t>years</w:t>
      </w:r>
      <w:proofErr w:type="spellEnd"/>
      <w:r w:rsidRPr="00DA5C05">
        <w:rPr>
          <w:rFonts w:ascii="Arial" w:hAnsi="Arial" w:cs="Arial"/>
          <w:sz w:val="20"/>
          <w:szCs w:val="20"/>
        </w:rPr>
        <w:t xml:space="preserve">): Edad en años </w:t>
      </w:r>
    </w:p>
    <w:p w14:paraId="372158DB" w14:textId="77777777" w:rsidR="00646124" w:rsidRPr="00DA5C05" w:rsidRDefault="00646124" w:rsidP="00CC4E57">
      <w:pPr>
        <w:spacing w:line="360" w:lineRule="auto"/>
        <w:jc w:val="both"/>
        <w:rPr>
          <w:rFonts w:ascii="Arial" w:hAnsi="Arial" w:cs="Arial"/>
          <w:sz w:val="20"/>
          <w:szCs w:val="20"/>
        </w:rPr>
      </w:pPr>
      <w:r w:rsidRPr="00DA5C05">
        <w:rPr>
          <w:rFonts w:ascii="Arial" w:hAnsi="Arial" w:cs="Arial"/>
          <w:sz w:val="20"/>
          <w:szCs w:val="20"/>
        </w:rPr>
        <w:t xml:space="preserve">• BMI (kg/m2): Índice de Masa Corporal </w:t>
      </w:r>
    </w:p>
    <w:p w14:paraId="155A9A8F" w14:textId="77777777" w:rsidR="00416733" w:rsidRPr="00DA5C05" w:rsidRDefault="00416733" w:rsidP="00CC4E57">
      <w:pPr>
        <w:spacing w:line="360" w:lineRule="auto"/>
        <w:jc w:val="both"/>
        <w:rPr>
          <w:rFonts w:ascii="Arial" w:hAnsi="Arial" w:cs="Arial"/>
          <w:sz w:val="20"/>
          <w:szCs w:val="20"/>
        </w:rPr>
      </w:pPr>
      <w:r w:rsidRPr="00DA5C05">
        <w:rPr>
          <w:rFonts w:ascii="Arial" w:hAnsi="Arial" w:cs="Arial"/>
          <w:sz w:val="20"/>
          <w:szCs w:val="20"/>
        </w:rPr>
        <w:tab/>
      </w:r>
      <w:r w:rsidRPr="00DA5C05">
        <w:rPr>
          <w:rFonts w:ascii="Arial" w:hAnsi="Arial" w:cs="Arial"/>
          <w:color w:val="000000"/>
          <w:spacing w:val="2"/>
          <w:sz w:val="20"/>
          <w:szCs w:val="20"/>
        </w:rPr>
        <w:t>El BMI (IMC</w:t>
      </w:r>
      <w:r w:rsidR="00D47239" w:rsidRPr="00DA5C05">
        <w:rPr>
          <w:rFonts w:ascii="Arial" w:hAnsi="Arial" w:cs="Arial"/>
          <w:color w:val="000000"/>
          <w:spacing w:val="2"/>
          <w:sz w:val="20"/>
          <w:szCs w:val="20"/>
        </w:rPr>
        <w:t>) es</w:t>
      </w:r>
      <w:r w:rsidRPr="00DA5C05">
        <w:rPr>
          <w:rFonts w:ascii="Arial" w:hAnsi="Arial" w:cs="Arial"/>
          <w:color w:val="000000"/>
          <w:spacing w:val="2"/>
          <w:sz w:val="20"/>
          <w:szCs w:val="20"/>
        </w:rPr>
        <w:t xml:space="preserve"> una medida médica ampliamente utilizada, evalúa la relación peso-altura para determinar si una persona tiene un peso saludable. Es un método conveniente para detectar problemas de peso y clasificarlos como bajo, normal, sobrepeso u obesidad</w:t>
      </w:r>
      <w:r w:rsidR="00CC4E57">
        <w:rPr>
          <w:rFonts w:ascii="Arial" w:hAnsi="Arial" w:cs="Arial"/>
          <w:color w:val="000000"/>
          <w:spacing w:val="2"/>
          <w:sz w:val="20"/>
          <w:szCs w:val="20"/>
        </w:rPr>
        <w:t xml:space="preserve"> </w:t>
      </w:r>
      <w:r w:rsidR="00CC4E57">
        <w:rPr>
          <w:rFonts w:ascii="Arial" w:hAnsi="Arial" w:cs="Arial"/>
          <w:color w:val="000000"/>
          <w:spacing w:val="2"/>
          <w:sz w:val="20"/>
          <w:szCs w:val="20"/>
        </w:rPr>
        <w:fldChar w:fldCharType="begin"/>
      </w:r>
      <w:r w:rsidR="00CC4E57">
        <w:rPr>
          <w:rFonts w:ascii="Arial" w:hAnsi="Arial" w:cs="Arial"/>
          <w:color w:val="000000"/>
          <w:spacing w:val="2"/>
          <w:sz w:val="20"/>
          <w:szCs w:val="20"/>
        </w:rPr>
        <w:instrText xml:space="preserve"> ADDIN ZOTERO_ITEM CSL_CITATION {"citationID":"GgrX28Zi","properties":{"formattedCitation":"(Gonzalez, Correia, &amp; Heymsfield, 2017)","plainCitation":"(Gonzalez, Correia, &amp; Heymsfield, 2017)","noteIndex":0},"citationItems":[{"id":79,"uris":["http://zotero.org/users/local/RdWaVxzQ/items/EADA5S7M"],"itemData":{"id":79,"type":"article-journal","abstract":"Purpose of review\nQuetelet reported in the nineteenth century that body weight varies across adults with the square of height. Quetelet's index, now known as BMI, is accepted by most health organizations as a first-level measure of body fat and as a screening tool for diagnosing\nexcess adiposity. Modern imaging methods now, however, indicate that BMI has limited predictive value for estimating body fat and lean mass at the individual level. The use of BMI as a measure of body composition in the clinical setting should therefore be challenged.\nRecent findings\nRecent\nstudies enrolling cancer and surgical patients reported discrepant outcomes when BMI was used as a body composition surrogate. Sarcopenia, loss of muscle mass and function, which affects the elderly and those with chronic and acute diseases, is not accurately diagnosed with BMI. The distribution\nof adipose tissue is not characterized by BMI, specific measures of which have greater predictive value for metabolic impairments and clinical outcomes.Summary\nBMI, as the traditional tool for assessing malnutrition and obesity, is not appropriate\nto accurately differentiate between important body weight components and therefore should not be used for making clinically important decisions at the individual patient level.","container-title":"Current Opinion in Clinical Nutrition and Metabolic Care","DOI":"10.1097/MCO.0000000000000395","issue":"5","journalAbbreviation":"Current Opinion in Clinical Nutrition and Metabolic Care","page":"314-321","source":"IngentaConnect","title":"A requiem for BMI in the clinical setting","volume":"20","author":[{"family":"Gonzalez","given":"Maria Cristina"},{"family":"Correia","given":"Maria Isabel T.D."},{"family":"Heymsfield","given":"Steven B."}],"issued":{"date-parts":[["2017",9,1]]}}}],"schema":"https://github.com/citation-style-language/schema/raw/master/csl-citation.json"} </w:instrText>
      </w:r>
      <w:r w:rsidR="00CC4E57">
        <w:rPr>
          <w:rFonts w:ascii="Arial" w:hAnsi="Arial" w:cs="Arial"/>
          <w:color w:val="000000"/>
          <w:spacing w:val="2"/>
          <w:sz w:val="20"/>
          <w:szCs w:val="20"/>
        </w:rPr>
        <w:fldChar w:fldCharType="separate"/>
      </w:r>
      <w:r w:rsidR="00CC4E57" w:rsidRPr="00CC4E57">
        <w:rPr>
          <w:rFonts w:ascii="Arial" w:hAnsi="Arial" w:cs="Arial"/>
          <w:sz w:val="20"/>
        </w:rPr>
        <w:t>(Gonzalez, Correia, &amp; Heymsfield, 2017)</w:t>
      </w:r>
      <w:r w:rsidR="00CC4E57">
        <w:rPr>
          <w:rFonts w:ascii="Arial" w:hAnsi="Arial" w:cs="Arial"/>
          <w:color w:val="000000"/>
          <w:spacing w:val="2"/>
          <w:sz w:val="20"/>
          <w:szCs w:val="20"/>
        </w:rPr>
        <w:fldChar w:fldCharType="end"/>
      </w:r>
      <w:r w:rsidRPr="00DA5C05">
        <w:rPr>
          <w:rFonts w:ascii="Arial" w:hAnsi="Arial" w:cs="Arial"/>
          <w:color w:val="000000"/>
          <w:spacing w:val="2"/>
          <w:sz w:val="20"/>
          <w:szCs w:val="20"/>
        </w:rPr>
        <w:t>.</w:t>
      </w:r>
    </w:p>
    <w:p w14:paraId="4FE820FD" w14:textId="77777777" w:rsidR="00646124" w:rsidRPr="00DA5C05" w:rsidRDefault="00646124" w:rsidP="00CC4E57">
      <w:pPr>
        <w:spacing w:line="360" w:lineRule="auto"/>
        <w:jc w:val="both"/>
        <w:rPr>
          <w:rFonts w:ascii="Arial" w:hAnsi="Arial" w:cs="Arial"/>
          <w:sz w:val="20"/>
          <w:szCs w:val="20"/>
        </w:rPr>
      </w:pPr>
      <w:r w:rsidRPr="00DA5C05">
        <w:rPr>
          <w:rFonts w:ascii="Arial" w:hAnsi="Arial" w:cs="Arial"/>
          <w:sz w:val="20"/>
          <w:szCs w:val="20"/>
        </w:rPr>
        <w:t xml:space="preserve">• </w:t>
      </w:r>
      <w:proofErr w:type="spellStart"/>
      <w:r w:rsidRPr="00DA5C05">
        <w:rPr>
          <w:rFonts w:ascii="Arial" w:hAnsi="Arial" w:cs="Arial"/>
          <w:sz w:val="20"/>
          <w:szCs w:val="20"/>
        </w:rPr>
        <w:t>Glucose</w:t>
      </w:r>
      <w:proofErr w:type="spellEnd"/>
      <w:r w:rsidRPr="00DA5C05">
        <w:rPr>
          <w:rFonts w:ascii="Arial" w:hAnsi="Arial" w:cs="Arial"/>
          <w:sz w:val="20"/>
          <w:szCs w:val="20"/>
        </w:rPr>
        <w:t xml:space="preserve"> (mg/</w:t>
      </w:r>
      <w:proofErr w:type="spellStart"/>
      <w:r w:rsidRPr="00DA5C05">
        <w:rPr>
          <w:rFonts w:ascii="Arial" w:hAnsi="Arial" w:cs="Arial"/>
          <w:sz w:val="20"/>
          <w:szCs w:val="20"/>
        </w:rPr>
        <w:t>dL</w:t>
      </w:r>
      <w:proofErr w:type="spellEnd"/>
      <w:r w:rsidRPr="00DA5C05">
        <w:rPr>
          <w:rFonts w:ascii="Arial" w:hAnsi="Arial" w:cs="Arial"/>
          <w:sz w:val="20"/>
          <w:szCs w:val="20"/>
        </w:rPr>
        <w:t xml:space="preserve">): Glucosa en sangre </w:t>
      </w:r>
    </w:p>
    <w:p w14:paraId="174656DD" w14:textId="77777777" w:rsidR="00D47239" w:rsidRPr="00DA5C05" w:rsidRDefault="00D47239" w:rsidP="00CC4E57">
      <w:pPr>
        <w:spacing w:line="360" w:lineRule="auto"/>
        <w:jc w:val="both"/>
        <w:rPr>
          <w:rFonts w:ascii="Arial" w:hAnsi="Arial" w:cs="Arial"/>
          <w:color w:val="000000"/>
          <w:spacing w:val="2"/>
          <w:sz w:val="20"/>
          <w:szCs w:val="20"/>
        </w:rPr>
      </w:pPr>
      <w:r w:rsidRPr="00DA5C05">
        <w:rPr>
          <w:rFonts w:ascii="Arial" w:hAnsi="Arial" w:cs="Arial"/>
          <w:color w:val="000000"/>
          <w:spacing w:val="2"/>
          <w:sz w:val="20"/>
          <w:szCs w:val="20"/>
        </w:rPr>
        <w:tab/>
        <w:t>La concentración de glucosa, un tipo de azúcar, presente en el torrente sanguíneo de una persona se denomina "glucosa en sangre". La glucosa es una fuente de energía esencial para el cuerpo y se deriva principalmente de los alimentos que consumimos, en particular de aquellos con alto contenido de carbohidratos</w:t>
      </w:r>
      <w:r w:rsidR="00CC4E57">
        <w:rPr>
          <w:rFonts w:ascii="Arial" w:hAnsi="Arial" w:cs="Arial"/>
          <w:color w:val="000000"/>
          <w:spacing w:val="2"/>
          <w:sz w:val="20"/>
          <w:szCs w:val="20"/>
        </w:rPr>
        <w:t xml:space="preserve"> </w:t>
      </w:r>
      <w:r w:rsidR="00CC4E57">
        <w:rPr>
          <w:rFonts w:ascii="Arial" w:hAnsi="Arial" w:cs="Arial"/>
          <w:color w:val="000000"/>
          <w:spacing w:val="2"/>
          <w:sz w:val="20"/>
          <w:szCs w:val="20"/>
        </w:rPr>
        <w:fldChar w:fldCharType="begin"/>
      </w:r>
      <w:r w:rsidR="00CC4E57">
        <w:rPr>
          <w:rFonts w:ascii="Arial" w:hAnsi="Arial" w:cs="Arial"/>
          <w:color w:val="000000"/>
          <w:spacing w:val="2"/>
          <w:sz w:val="20"/>
          <w:szCs w:val="20"/>
        </w:rPr>
        <w:instrText xml:space="preserve"> ADDIN ZOTERO_ITEM CSL_CITATION {"citationID":"QLyt2q0w","properties":{"formattedCitation":"(Galant, Kaufman, &amp; Wilson, 2015)","plainCitation":"(Galant, Kaufman, &amp; Wilson, 2015)","noteIndex":0},"citationItems":[{"id":80,"uris":["http://zotero.org/users/local/RdWaVxzQ/items/KDH39Y73"],"itemData":{"id":80,"type":"article-journal","abstract":"Glucose is an aldosic monosaccharide that is centrally entrenched in the processes of photosynthesis and respiration, serving as an energy reserve and metabolic fuel in most organisms. As both a monomer and as part of more complex structures such as polysaccharides and glucosides, glucose also plays a major role in modern food products, particularly where flavor and or structure are concerned. Over the years, many diverse methods for detecting and quantifying glucose have been developed; this review presents an overview of the most widely employed and historically significant, including copper iodometry, HPLC, GC, CZE, and enzyme based systems such as glucose meters. The relative strengths and limitations of each method are evaluated, and examples of their recent application in the realm of food chemistry are discussed.","container-title":"Food Chemistry","DOI":"10.1016/j.foodchem.2015.04.071","ISSN":"0308-8146","journalAbbreviation":"Food Chemistry","language":"en","page":"149-160","source":"ScienceDirect","title":"Glucose: Detection and analysis","title-short":"Glucose","volume":"188","author":[{"family":"Galant","given":"A. L."},{"family":"Kaufman","given":"R. C."},{"family":"Wilson","given":"J. D."}],"issued":{"date-parts":[["2015",12,1]]}}}],"schema":"https://github.com/citation-style-language/schema/raw/master/csl-citation.json"} </w:instrText>
      </w:r>
      <w:r w:rsidR="00CC4E57">
        <w:rPr>
          <w:rFonts w:ascii="Arial" w:hAnsi="Arial" w:cs="Arial"/>
          <w:color w:val="000000"/>
          <w:spacing w:val="2"/>
          <w:sz w:val="20"/>
          <w:szCs w:val="20"/>
        </w:rPr>
        <w:fldChar w:fldCharType="separate"/>
      </w:r>
      <w:r w:rsidR="00CC4E57" w:rsidRPr="00CC4E57">
        <w:rPr>
          <w:rFonts w:ascii="Arial" w:hAnsi="Arial" w:cs="Arial"/>
          <w:sz w:val="20"/>
        </w:rPr>
        <w:t>(Galant, Kaufman, &amp; Wilson, 2015)</w:t>
      </w:r>
      <w:r w:rsidR="00CC4E57">
        <w:rPr>
          <w:rFonts w:ascii="Arial" w:hAnsi="Arial" w:cs="Arial"/>
          <w:color w:val="000000"/>
          <w:spacing w:val="2"/>
          <w:sz w:val="20"/>
          <w:szCs w:val="20"/>
        </w:rPr>
        <w:fldChar w:fldCharType="end"/>
      </w:r>
      <w:r w:rsidRPr="00DA5C05">
        <w:rPr>
          <w:rFonts w:ascii="Arial" w:hAnsi="Arial" w:cs="Arial"/>
          <w:color w:val="000000"/>
          <w:spacing w:val="2"/>
          <w:sz w:val="20"/>
          <w:szCs w:val="20"/>
        </w:rPr>
        <w:t xml:space="preserve">.  </w:t>
      </w:r>
    </w:p>
    <w:p w14:paraId="007F24AC" w14:textId="77777777" w:rsidR="00D47239" w:rsidRPr="00DA5C05" w:rsidRDefault="00D47239" w:rsidP="00CC4E57">
      <w:pPr>
        <w:spacing w:line="360" w:lineRule="auto"/>
        <w:ind w:firstLine="708"/>
        <w:jc w:val="both"/>
        <w:rPr>
          <w:rFonts w:ascii="Arial" w:hAnsi="Arial" w:cs="Arial"/>
          <w:color w:val="000000"/>
          <w:spacing w:val="2"/>
          <w:sz w:val="20"/>
          <w:szCs w:val="20"/>
        </w:rPr>
      </w:pPr>
      <w:r w:rsidRPr="00DA5C05">
        <w:rPr>
          <w:rFonts w:ascii="Arial" w:hAnsi="Arial" w:cs="Arial"/>
          <w:color w:val="000000"/>
          <w:spacing w:val="2"/>
          <w:sz w:val="20"/>
          <w:szCs w:val="20"/>
        </w:rPr>
        <w:t>La falta de insulina o la resistencia a su acción es lo que hace que los niveles de glucosa en sangre sean constantemente altos en la diabetes, lo que puede ser perjudicial para el bienestar del organismo.</w:t>
      </w:r>
    </w:p>
    <w:p w14:paraId="28AE796E" w14:textId="77777777" w:rsidR="00646124" w:rsidRPr="00DA5C05" w:rsidRDefault="00646124" w:rsidP="00CC4E57">
      <w:pPr>
        <w:spacing w:line="360" w:lineRule="auto"/>
        <w:jc w:val="both"/>
        <w:rPr>
          <w:rFonts w:ascii="Arial" w:hAnsi="Arial" w:cs="Arial"/>
          <w:sz w:val="20"/>
          <w:szCs w:val="20"/>
        </w:rPr>
      </w:pPr>
      <w:r w:rsidRPr="00DA5C05">
        <w:rPr>
          <w:rFonts w:ascii="Arial" w:hAnsi="Arial" w:cs="Arial"/>
          <w:sz w:val="20"/>
          <w:szCs w:val="20"/>
        </w:rPr>
        <w:t xml:space="preserve">• </w:t>
      </w:r>
      <w:proofErr w:type="spellStart"/>
      <w:r w:rsidRPr="00DA5C05">
        <w:rPr>
          <w:rFonts w:ascii="Arial" w:hAnsi="Arial" w:cs="Arial"/>
          <w:sz w:val="20"/>
          <w:szCs w:val="20"/>
        </w:rPr>
        <w:t>Insulin</w:t>
      </w:r>
      <w:proofErr w:type="spellEnd"/>
      <w:r w:rsidRPr="00DA5C05">
        <w:rPr>
          <w:rFonts w:ascii="Arial" w:hAnsi="Arial" w:cs="Arial"/>
          <w:sz w:val="20"/>
          <w:szCs w:val="20"/>
        </w:rPr>
        <w:t xml:space="preserve"> (µU/</w:t>
      </w:r>
      <w:proofErr w:type="spellStart"/>
      <w:r w:rsidRPr="00DA5C05">
        <w:rPr>
          <w:rFonts w:ascii="Arial" w:hAnsi="Arial" w:cs="Arial"/>
          <w:sz w:val="20"/>
          <w:szCs w:val="20"/>
        </w:rPr>
        <w:t>mL</w:t>
      </w:r>
      <w:proofErr w:type="spellEnd"/>
      <w:r w:rsidRPr="00DA5C05">
        <w:rPr>
          <w:rFonts w:ascii="Arial" w:hAnsi="Arial" w:cs="Arial"/>
          <w:sz w:val="20"/>
          <w:szCs w:val="20"/>
        </w:rPr>
        <w:t xml:space="preserve">): Insulina </w:t>
      </w:r>
    </w:p>
    <w:p w14:paraId="48754B7A" w14:textId="77777777" w:rsidR="00D47239" w:rsidRPr="00DA5C05" w:rsidRDefault="00D47239" w:rsidP="00CC4E57">
      <w:pPr>
        <w:spacing w:line="360" w:lineRule="auto"/>
        <w:ind w:firstLine="708"/>
        <w:jc w:val="both"/>
        <w:rPr>
          <w:rFonts w:ascii="Arial" w:hAnsi="Arial" w:cs="Arial"/>
          <w:color w:val="000000"/>
          <w:spacing w:val="2"/>
          <w:sz w:val="20"/>
          <w:szCs w:val="20"/>
        </w:rPr>
      </w:pPr>
      <w:r w:rsidRPr="00DA5C05">
        <w:rPr>
          <w:rFonts w:ascii="Arial" w:hAnsi="Arial" w:cs="Arial"/>
          <w:color w:val="000000"/>
          <w:spacing w:val="2"/>
          <w:sz w:val="20"/>
          <w:szCs w:val="20"/>
        </w:rPr>
        <w:t>La insulina es una hormona producida por el páncreas en el cuerpo humano, actúa en la regulación del metabolismo de la glucosa y es esencial para mantener niveles adecuados de glucosa en sangre</w:t>
      </w:r>
      <w:r w:rsidR="00CC4E57">
        <w:rPr>
          <w:rFonts w:ascii="Arial" w:hAnsi="Arial" w:cs="Arial"/>
          <w:color w:val="000000"/>
          <w:spacing w:val="2"/>
          <w:sz w:val="20"/>
          <w:szCs w:val="20"/>
        </w:rPr>
        <w:t xml:space="preserve"> </w:t>
      </w:r>
      <w:r w:rsidR="00CC4E57">
        <w:rPr>
          <w:rFonts w:ascii="Arial" w:hAnsi="Arial" w:cs="Arial"/>
          <w:color w:val="000000"/>
          <w:spacing w:val="2"/>
          <w:sz w:val="20"/>
          <w:szCs w:val="20"/>
        </w:rPr>
        <w:fldChar w:fldCharType="begin"/>
      </w:r>
      <w:r w:rsidR="00CC4E57">
        <w:rPr>
          <w:rFonts w:ascii="Arial" w:hAnsi="Arial" w:cs="Arial"/>
          <w:color w:val="000000"/>
          <w:spacing w:val="2"/>
          <w:sz w:val="20"/>
          <w:szCs w:val="20"/>
        </w:rPr>
        <w:instrText xml:space="preserve"> ADDIN ZOTERO_ITEM CSL_CITATION {"citationID":"ZK9Gt8ao","properties":{"formattedCitation":"(Quianzon &amp; Cheikh, 2012)","plainCitation":"(Quianzon &amp; Cheikh, 2012)","noteIndex":0},"citationItems":[{"id":82,"uris":["http://zotero.org/users/local/RdWaVxzQ/items/HCIIQL7P"],"itemData":{"id":82,"type":"article-journal","abstract":"The advancement of diabetes treatment has gone from crude extracts of insulin and accidental discovery of sulfa-like drugs in antibiotics to the development of drugs based on improved understanding of the pathophysiology of diabetes mellitus. This article will review the history of the discovery and development of insulin. A companion focusing on non-insulin diabetes agents will follow in the next issue of JCHIMP.","container-title":"Journal of Community Hospital Internal Medicine Perspectives","DOI":"10.3402/jchimp.v2i2.18701","ISSN":"null","issue":"2","note":"publisher: Taylor &amp; Francis\n_eprint: https://doi.org/10.3402/jchimp.v2i2.18701\nPMID: 23882369","page":"18701","source":"Taylor and Francis+NEJM","title":"History of insulin","volume":"2","author":[{"family":"Quianzon","given":"Celeste C."},{"family":"Cheikh","given":"Issam"}],"issued":{"date-parts":[["2012",1,1]]}}}],"schema":"https://github.com/citation-style-language/schema/raw/master/csl-citation.json"} </w:instrText>
      </w:r>
      <w:r w:rsidR="00CC4E57">
        <w:rPr>
          <w:rFonts w:ascii="Arial" w:hAnsi="Arial" w:cs="Arial"/>
          <w:color w:val="000000"/>
          <w:spacing w:val="2"/>
          <w:sz w:val="20"/>
          <w:szCs w:val="20"/>
        </w:rPr>
        <w:fldChar w:fldCharType="separate"/>
      </w:r>
      <w:r w:rsidR="00CC4E57" w:rsidRPr="00CC4E57">
        <w:rPr>
          <w:rFonts w:ascii="Arial" w:hAnsi="Arial" w:cs="Arial"/>
          <w:sz w:val="20"/>
        </w:rPr>
        <w:t>(Quianzon &amp; Cheikh, 2012)</w:t>
      </w:r>
      <w:r w:rsidR="00CC4E57">
        <w:rPr>
          <w:rFonts w:ascii="Arial" w:hAnsi="Arial" w:cs="Arial"/>
          <w:color w:val="000000"/>
          <w:spacing w:val="2"/>
          <w:sz w:val="20"/>
          <w:szCs w:val="20"/>
        </w:rPr>
        <w:fldChar w:fldCharType="end"/>
      </w:r>
      <w:r w:rsidRPr="00DA5C05">
        <w:rPr>
          <w:rFonts w:ascii="Arial" w:hAnsi="Arial" w:cs="Arial"/>
          <w:color w:val="000000"/>
          <w:spacing w:val="2"/>
          <w:sz w:val="20"/>
          <w:szCs w:val="20"/>
        </w:rPr>
        <w:t>.</w:t>
      </w:r>
    </w:p>
    <w:p w14:paraId="56DD567B" w14:textId="2675E7F7" w:rsidR="00D47239" w:rsidRPr="00DA5C05" w:rsidRDefault="00D47239" w:rsidP="00CC4E57">
      <w:pPr>
        <w:spacing w:line="360" w:lineRule="auto"/>
        <w:ind w:firstLine="708"/>
        <w:jc w:val="both"/>
        <w:rPr>
          <w:rFonts w:ascii="Arial" w:hAnsi="Arial" w:cs="Arial"/>
          <w:color w:val="000000"/>
          <w:spacing w:val="2"/>
          <w:sz w:val="20"/>
          <w:szCs w:val="20"/>
        </w:rPr>
      </w:pPr>
      <w:r w:rsidRPr="00DA5C05">
        <w:rPr>
          <w:rFonts w:ascii="Arial" w:hAnsi="Arial" w:cs="Arial"/>
          <w:color w:val="000000"/>
          <w:spacing w:val="2"/>
          <w:sz w:val="20"/>
          <w:szCs w:val="20"/>
        </w:rPr>
        <w:t xml:space="preserve">Cuando </w:t>
      </w:r>
      <w:r w:rsidR="002B0E75">
        <w:rPr>
          <w:rFonts w:ascii="Arial" w:hAnsi="Arial" w:cs="Arial"/>
          <w:color w:val="000000"/>
          <w:spacing w:val="2"/>
          <w:sz w:val="20"/>
          <w:szCs w:val="20"/>
        </w:rPr>
        <w:t>se</w:t>
      </w:r>
      <w:r w:rsidRPr="00DA5C05">
        <w:rPr>
          <w:rFonts w:ascii="Arial" w:hAnsi="Arial" w:cs="Arial"/>
          <w:color w:val="000000"/>
          <w:spacing w:val="2"/>
          <w:sz w:val="20"/>
          <w:szCs w:val="20"/>
        </w:rPr>
        <w:t xml:space="preserve"> consume</w:t>
      </w:r>
      <w:r w:rsidR="002B0E75">
        <w:rPr>
          <w:rFonts w:ascii="Arial" w:hAnsi="Arial" w:cs="Arial"/>
          <w:color w:val="000000"/>
          <w:spacing w:val="2"/>
          <w:sz w:val="20"/>
          <w:szCs w:val="20"/>
        </w:rPr>
        <w:t>n</w:t>
      </w:r>
      <w:r w:rsidRPr="00DA5C05">
        <w:rPr>
          <w:rFonts w:ascii="Arial" w:hAnsi="Arial" w:cs="Arial"/>
          <w:color w:val="000000"/>
          <w:spacing w:val="2"/>
          <w:sz w:val="20"/>
          <w:szCs w:val="20"/>
        </w:rPr>
        <w:t xml:space="preserve"> alimentos el nivel de glucosa (azúcar) en la sangre aumenta. En respuesta, las células beta del páncreas liberan insulina al torrente sanguíneo. La insulina permite que la glucosa entre en las células del cuerpo, donde se utiliza como fuente de energía. </w:t>
      </w:r>
      <w:r w:rsidR="002B0E75">
        <w:rPr>
          <w:rFonts w:ascii="Arial" w:hAnsi="Arial" w:cs="Arial"/>
          <w:color w:val="000000"/>
          <w:spacing w:val="2"/>
          <w:sz w:val="20"/>
          <w:szCs w:val="20"/>
        </w:rPr>
        <w:t>Ésta</w:t>
      </w:r>
      <w:r w:rsidRPr="00DA5C05">
        <w:rPr>
          <w:rFonts w:ascii="Arial" w:hAnsi="Arial" w:cs="Arial"/>
          <w:color w:val="000000"/>
          <w:spacing w:val="2"/>
          <w:sz w:val="20"/>
          <w:szCs w:val="20"/>
        </w:rPr>
        <w:t xml:space="preserve"> promueve la absorción de glucosa después de la alimentación, inhibe la producción de glucosa</w:t>
      </w:r>
      <w:r w:rsidR="00A316C0" w:rsidRPr="00DA5C05">
        <w:rPr>
          <w:rFonts w:ascii="Arial" w:hAnsi="Arial" w:cs="Arial"/>
          <w:color w:val="000000"/>
          <w:spacing w:val="2"/>
          <w:sz w:val="20"/>
          <w:szCs w:val="20"/>
        </w:rPr>
        <w:t xml:space="preserve"> ayudando a evitar que los niveles sean demasiado altos</w:t>
      </w:r>
      <w:r w:rsidRPr="00DA5C05">
        <w:rPr>
          <w:rFonts w:ascii="Arial" w:hAnsi="Arial" w:cs="Arial"/>
          <w:color w:val="000000"/>
          <w:spacing w:val="2"/>
          <w:sz w:val="20"/>
          <w:szCs w:val="20"/>
        </w:rPr>
        <w:t xml:space="preserve"> y almacena el exceso en forma de glucógeno en hígado y músculos y en forma de grasa en las células adiposas.</w:t>
      </w:r>
    </w:p>
    <w:p w14:paraId="044B9609" w14:textId="77777777" w:rsidR="00646124" w:rsidRPr="00DA5C05" w:rsidRDefault="00646124" w:rsidP="00CC4E57">
      <w:pPr>
        <w:spacing w:line="360" w:lineRule="auto"/>
        <w:jc w:val="both"/>
        <w:rPr>
          <w:rFonts w:ascii="Arial" w:hAnsi="Arial" w:cs="Arial"/>
          <w:sz w:val="20"/>
          <w:szCs w:val="20"/>
        </w:rPr>
      </w:pPr>
      <w:r w:rsidRPr="00DA5C05">
        <w:rPr>
          <w:rFonts w:ascii="Arial" w:hAnsi="Arial" w:cs="Arial"/>
          <w:sz w:val="20"/>
          <w:szCs w:val="20"/>
        </w:rPr>
        <w:t xml:space="preserve">• HOMA: Índice de resistencia a la insulina </w:t>
      </w:r>
    </w:p>
    <w:p w14:paraId="62C79994" w14:textId="77777777" w:rsidR="00A316C0" w:rsidRPr="00DA5C05" w:rsidRDefault="00A316C0" w:rsidP="00CC4E57">
      <w:pPr>
        <w:spacing w:line="360" w:lineRule="auto"/>
        <w:jc w:val="both"/>
        <w:rPr>
          <w:rFonts w:ascii="Arial" w:hAnsi="Arial" w:cs="Arial"/>
          <w:sz w:val="20"/>
          <w:szCs w:val="20"/>
        </w:rPr>
      </w:pPr>
      <w:r w:rsidRPr="00DA5C05">
        <w:rPr>
          <w:rFonts w:ascii="Arial" w:hAnsi="Arial" w:cs="Arial"/>
          <w:sz w:val="20"/>
          <w:szCs w:val="20"/>
        </w:rPr>
        <w:tab/>
        <w:t xml:space="preserve">Homeostasis </w:t>
      </w:r>
      <w:proofErr w:type="spellStart"/>
      <w:r w:rsidRPr="00DA5C05">
        <w:rPr>
          <w:rFonts w:ascii="Arial" w:hAnsi="Arial" w:cs="Arial"/>
          <w:sz w:val="20"/>
          <w:szCs w:val="20"/>
        </w:rPr>
        <w:t>Model</w:t>
      </w:r>
      <w:proofErr w:type="spellEnd"/>
      <w:r w:rsidRPr="00DA5C05">
        <w:rPr>
          <w:rFonts w:ascii="Arial" w:hAnsi="Arial" w:cs="Arial"/>
          <w:sz w:val="20"/>
          <w:szCs w:val="20"/>
        </w:rPr>
        <w:t xml:space="preserve"> </w:t>
      </w:r>
      <w:proofErr w:type="spellStart"/>
      <w:r w:rsidRPr="00DA5C05">
        <w:rPr>
          <w:rFonts w:ascii="Arial" w:hAnsi="Arial" w:cs="Arial"/>
          <w:sz w:val="20"/>
          <w:szCs w:val="20"/>
        </w:rPr>
        <w:t>Assessment</w:t>
      </w:r>
      <w:proofErr w:type="spellEnd"/>
      <w:r w:rsidRPr="00DA5C05">
        <w:rPr>
          <w:rFonts w:ascii="Arial" w:hAnsi="Arial" w:cs="Arial"/>
          <w:sz w:val="20"/>
          <w:szCs w:val="20"/>
        </w:rPr>
        <w:t xml:space="preserve"> es un método utilizado para estimar la resistencia a la insulina y la función de las células beta del páncreas. Se basa en la medición de glucosa e insulina en sangre durante el ayuno y sigue la siguiente fórmula</w:t>
      </w:r>
      <w:r w:rsidR="006A2861" w:rsidRPr="00DA5C05">
        <w:rPr>
          <w:rFonts w:ascii="Arial" w:hAnsi="Arial" w:cs="Arial"/>
          <w:sz w:val="20"/>
          <w:szCs w:val="20"/>
        </w:rPr>
        <w:t xml:space="preserve"> descrita por </w:t>
      </w:r>
      <w:proofErr w:type="spellStart"/>
      <w:r w:rsidR="006A2861" w:rsidRPr="00DA5C05">
        <w:rPr>
          <w:rFonts w:ascii="Arial" w:hAnsi="Arial" w:cs="Arial"/>
          <w:sz w:val="20"/>
          <w:szCs w:val="20"/>
        </w:rPr>
        <w:t>Mattheus</w:t>
      </w:r>
      <w:proofErr w:type="spellEnd"/>
      <w:r w:rsidR="006A2861" w:rsidRPr="00DA5C05">
        <w:rPr>
          <w:rFonts w:ascii="Arial" w:hAnsi="Arial" w:cs="Arial"/>
          <w:sz w:val="20"/>
          <w:szCs w:val="20"/>
        </w:rPr>
        <w:t xml:space="preserve"> </w:t>
      </w:r>
      <w:r w:rsidR="006A2861" w:rsidRPr="00DA5C05">
        <w:rPr>
          <w:rFonts w:ascii="Arial" w:hAnsi="Arial" w:cs="Arial"/>
          <w:sz w:val="20"/>
          <w:szCs w:val="20"/>
        </w:rPr>
        <w:fldChar w:fldCharType="begin"/>
      </w:r>
      <w:r w:rsidR="006A2861" w:rsidRPr="00DA5C05">
        <w:rPr>
          <w:rFonts w:ascii="Arial" w:hAnsi="Arial" w:cs="Arial"/>
          <w:sz w:val="20"/>
          <w:szCs w:val="20"/>
        </w:rPr>
        <w:instrText xml:space="preserve"> ADDIN ZOTERO_ITEM CSL_CITATION {"citationID":"lvO29Lye","properties":{"formattedCitation":"(Matthews et\\uc0\\u160{}al., 1985)","plainCitation":"(Matthews et al., 1985)","noteIndex":0},"citationItems":[{"id":69,"uris":["http://zotero.org/users/local/RdWaVxzQ/items/DIIUHTVU"],"itemData":{"id":69,"type":"article-journal","abstract":"The steady-state basal plasma glucose and insulin concentrations are determined by their interaction in a feedback loop. A computer-solved model has been used to predict the homeostatic concentrations which arise from varying degrees of β-cell deficiency and insulin resistance. Comparison of a patient's fasting values with the model's predictions allows a quantitative assessment of the contributions of insulin resistance and deficient β-cell function to the fasting hyperglycaemia (homeostasis model assessment, HOMA). The accuracy and precision of the estimate have been determined by comparison with independent measures of insulin resistance and β-cell function using hyperglycaemic and euglycaemic clamps and an intravenous glucose tolerance test. The estimate of insulin resistance obtained by homeostasis model assessment correlated with estimates obtained by use of the euglycaemic clamp (Rs = 0.88, p &lt; 0.0001), the fasting insulin concentration (Rs = 0.81, p &lt; 0.0001), and the hyperglycaemic clamp, (Rs = 0.69, p &lt; 0.01). There was no correlation with any aspect of insulin-receptor binding. The estimate of deficient β-cell function obtained by homeostasis model assessment correlated with that derived using the hyperglycaemic clamp (Rs = 0.61, p &lt; 0.01) and with the estimate from the intravenous glucose tolerance test (Rs = 0.64, p &lt; 0.05). The low precision of the estimates from the model (coefficients of variation: 31% for insulin resistance and 32% for β-cell deficit) limits its use, but the correlation of the model's estimates with patient data accords with the hypothesis that basal glucose and insulin interactions are largely determined by a simple feed back loop.","container-title":"Diabetologia","DOI":"10.1007/BF00280883","ISSN":"1432-0428","issue":"7","journalAbbreviation":"Diabetologia","language":"en","page":"412-419","source":"Springer Link","title":"Homeostasis model assessment: insulin resistance and β-cell function from fasting plasma glucose and insulin concentrations in man","title-short":"Homeostasis model assessment","volume":"28","author":[{"family":"Matthews","given":"D. R."},{"family":"Hosker","given":"J. P."},{"family":"Rudenski","given":"A. S."},{"family":"Naylor","given":"B. A."},{"family":"Treacher","given":"D. F."},{"family":"Turner","given":"R. C."}],"issued":{"date-parts":[["1985",7,1]]}}}],"schema":"https://github.com/citation-style-language/schema/raw/master/csl-citation.json"} </w:instrText>
      </w:r>
      <w:r w:rsidR="006A2861" w:rsidRPr="00DA5C05">
        <w:rPr>
          <w:rFonts w:ascii="Arial" w:hAnsi="Arial" w:cs="Arial"/>
          <w:sz w:val="20"/>
          <w:szCs w:val="20"/>
        </w:rPr>
        <w:fldChar w:fldCharType="separate"/>
      </w:r>
      <w:r w:rsidR="006A2861" w:rsidRPr="00DA5C05">
        <w:rPr>
          <w:rFonts w:ascii="Arial" w:hAnsi="Arial" w:cs="Arial"/>
          <w:kern w:val="0"/>
          <w:sz w:val="20"/>
          <w:szCs w:val="20"/>
        </w:rPr>
        <w:t>(Matthews et al., 1985)</w:t>
      </w:r>
      <w:r w:rsidR="006A2861" w:rsidRPr="00DA5C05">
        <w:rPr>
          <w:rFonts w:ascii="Arial" w:hAnsi="Arial" w:cs="Arial"/>
          <w:sz w:val="20"/>
          <w:szCs w:val="20"/>
        </w:rPr>
        <w:fldChar w:fldCharType="end"/>
      </w:r>
      <w:r w:rsidRPr="00DA5C05">
        <w:rPr>
          <w:rFonts w:ascii="Arial" w:hAnsi="Arial" w:cs="Arial"/>
          <w:sz w:val="20"/>
          <w:szCs w:val="20"/>
        </w:rPr>
        <w:t>:</w:t>
      </w:r>
    </w:p>
    <w:p w14:paraId="1E5BB974" w14:textId="77777777" w:rsidR="00A316C0" w:rsidRPr="00DA5C05" w:rsidRDefault="00A316C0" w:rsidP="00CC4E57">
      <w:pPr>
        <w:spacing w:line="360" w:lineRule="auto"/>
        <w:jc w:val="both"/>
        <w:rPr>
          <w:rFonts w:ascii="Arial" w:hAnsi="Arial" w:cs="Arial"/>
          <w:sz w:val="20"/>
          <w:szCs w:val="20"/>
        </w:rPr>
      </w:pPr>
      <w:r w:rsidRPr="00DA5C05">
        <w:rPr>
          <w:rFonts w:ascii="Arial" w:hAnsi="Arial" w:cs="Arial"/>
          <w:sz w:val="20"/>
          <w:szCs w:val="20"/>
        </w:rPr>
        <w:t>HOMA</w:t>
      </w:r>
      <w:r w:rsidRPr="00DA5C05">
        <w:rPr>
          <w:rFonts w:ascii="Arial" w:hAnsi="Arial" w:cs="Arial"/>
          <w:sz w:val="20"/>
          <w:szCs w:val="20"/>
          <w:vertAlign w:val="subscript"/>
        </w:rPr>
        <w:t>IR</w:t>
      </w:r>
      <w:r w:rsidRPr="00DA5C05">
        <w:rPr>
          <w:rFonts w:ascii="Arial" w:hAnsi="Arial" w:cs="Arial"/>
          <w:sz w:val="20"/>
          <w:szCs w:val="20"/>
        </w:rPr>
        <w:t xml:space="preserve"> = (Glucosa en ayunas </w:t>
      </w:r>
      <w:r w:rsidR="006A2861" w:rsidRPr="00DA5C05">
        <w:rPr>
          <w:rFonts w:ascii="Arial" w:hAnsi="Arial" w:cs="Arial"/>
          <w:sz w:val="20"/>
          <w:szCs w:val="20"/>
        </w:rPr>
        <w:t>x</w:t>
      </w:r>
      <w:r w:rsidRPr="00DA5C05">
        <w:rPr>
          <w:rFonts w:ascii="Arial" w:hAnsi="Arial" w:cs="Arial"/>
          <w:sz w:val="20"/>
          <w:szCs w:val="20"/>
        </w:rPr>
        <w:t xml:space="preserve"> Insulina en ayunas) / 22.5</w:t>
      </w:r>
    </w:p>
    <w:p w14:paraId="3FE66631" w14:textId="77777777" w:rsidR="00646124" w:rsidRPr="00DA5C05" w:rsidRDefault="00646124" w:rsidP="00CC4E57">
      <w:pPr>
        <w:spacing w:line="360" w:lineRule="auto"/>
        <w:jc w:val="both"/>
        <w:rPr>
          <w:rFonts w:ascii="Arial" w:hAnsi="Arial" w:cs="Arial"/>
          <w:sz w:val="20"/>
          <w:szCs w:val="20"/>
        </w:rPr>
      </w:pPr>
      <w:r w:rsidRPr="00DA5C05">
        <w:rPr>
          <w:rFonts w:ascii="Arial" w:hAnsi="Arial" w:cs="Arial"/>
          <w:sz w:val="20"/>
          <w:szCs w:val="20"/>
        </w:rPr>
        <w:lastRenderedPageBreak/>
        <w:t xml:space="preserve">• </w:t>
      </w:r>
      <w:proofErr w:type="spellStart"/>
      <w:r w:rsidRPr="00DA5C05">
        <w:rPr>
          <w:rFonts w:ascii="Arial" w:hAnsi="Arial" w:cs="Arial"/>
          <w:sz w:val="20"/>
          <w:szCs w:val="20"/>
        </w:rPr>
        <w:t>Leptin</w:t>
      </w:r>
      <w:proofErr w:type="spellEnd"/>
      <w:r w:rsidRPr="00DA5C05">
        <w:rPr>
          <w:rFonts w:ascii="Arial" w:hAnsi="Arial" w:cs="Arial"/>
          <w:sz w:val="20"/>
          <w:szCs w:val="20"/>
        </w:rPr>
        <w:t xml:space="preserve"> (ng/</w:t>
      </w:r>
      <w:proofErr w:type="spellStart"/>
      <w:r w:rsidRPr="00DA5C05">
        <w:rPr>
          <w:rFonts w:ascii="Arial" w:hAnsi="Arial" w:cs="Arial"/>
          <w:sz w:val="20"/>
          <w:szCs w:val="20"/>
        </w:rPr>
        <w:t>mL</w:t>
      </w:r>
      <w:proofErr w:type="spellEnd"/>
      <w:r w:rsidRPr="00DA5C05">
        <w:rPr>
          <w:rFonts w:ascii="Arial" w:hAnsi="Arial" w:cs="Arial"/>
          <w:sz w:val="20"/>
          <w:szCs w:val="20"/>
        </w:rPr>
        <w:t xml:space="preserve">): Leptina </w:t>
      </w:r>
    </w:p>
    <w:p w14:paraId="04EB317B" w14:textId="77777777" w:rsidR="006A2861" w:rsidRPr="00DA5C05" w:rsidRDefault="006A2861" w:rsidP="00CC4E57">
      <w:pPr>
        <w:spacing w:line="360" w:lineRule="auto"/>
        <w:jc w:val="both"/>
        <w:rPr>
          <w:rFonts w:ascii="Arial" w:hAnsi="Arial" w:cs="Arial"/>
          <w:sz w:val="20"/>
          <w:szCs w:val="20"/>
        </w:rPr>
      </w:pPr>
      <w:r w:rsidRPr="00DA5C05">
        <w:rPr>
          <w:rFonts w:ascii="Arial" w:hAnsi="Arial" w:cs="Arial"/>
          <w:sz w:val="20"/>
          <w:szCs w:val="20"/>
        </w:rPr>
        <w:tab/>
        <w:t>La leptina es una hormona proteica producida principalmente por el tejido adiposo en el cuerpo humano. Esta hormona juega un papel fundamental en la regulación del peso corporal y el apetito al actuar como una señal de saciedad, cuando los niveles de leptina son altos, se siente menos hambre y el cuerpo tiende a quemar más calorías para mantener el equilibrio energético, por el contrario, cuando los niveles son bajos el cerebro interpreta esto como una situación de "escasez" de energía y se activan mecanismos para aumentar el apetito y reducir el gasto energético.</w:t>
      </w:r>
    </w:p>
    <w:p w14:paraId="4DD600B1" w14:textId="77777777" w:rsidR="00646124" w:rsidRPr="00DA5C05" w:rsidRDefault="00646124" w:rsidP="00CC4E57">
      <w:pPr>
        <w:spacing w:line="360" w:lineRule="auto"/>
        <w:jc w:val="both"/>
        <w:rPr>
          <w:rFonts w:ascii="Arial" w:hAnsi="Arial" w:cs="Arial"/>
          <w:sz w:val="20"/>
          <w:szCs w:val="20"/>
        </w:rPr>
      </w:pPr>
      <w:r w:rsidRPr="00DA5C05">
        <w:rPr>
          <w:rFonts w:ascii="Arial" w:hAnsi="Arial" w:cs="Arial"/>
          <w:sz w:val="20"/>
          <w:szCs w:val="20"/>
        </w:rPr>
        <w:t xml:space="preserve">• </w:t>
      </w:r>
      <w:proofErr w:type="spellStart"/>
      <w:r w:rsidRPr="00DA5C05">
        <w:rPr>
          <w:rFonts w:ascii="Arial" w:hAnsi="Arial" w:cs="Arial"/>
          <w:sz w:val="20"/>
          <w:szCs w:val="20"/>
        </w:rPr>
        <w:t>Adiponectin</w:t>
      </w:r>
      <w:proofErr w:type="spellEnd"/>
      <w:r w:rsidRPr="00DA5C05">
        <w:rPr>
          <w:rFonts w:ascii="Arial" w:hAnsi="Arial" w:cs="Arial"/>
          <w:sz w:val="20"/>
          <w:szCs w:val="20"/>
        </w:rPr>
        <w:t xml:space="preserve"> (µg/</w:t>
      </w:r>
      <w:proofErr w:type="spellStart"/>
      <w:r w:rsidRPr="00DA5C05">
        <w:rPr>
          <w:rFonts w:ascii="Arial" w:hAnsi="Arial" w:cs="Arial"/>
          <w:sz w:val="20"/>
          <w:szCs w:val="20"/>
        </w:rPr>
        <w:t>mL</w:t>
      </w:r>
      <w:proofErr w:type="spellEnd"/>
      <w:r w:rsidRPr="00DA5C05">
        <w:rPr>
          <w:rFonts w:ascii="Arial" w:hAnsi="Arial" w:cs="Arial"/>
          <w:sz w:val="20"/>
          <w:szCs w:val="20"/>
        </w:rPr>
        <w:t xml:space="preserve">): Adiponectina </w:t>
      </w:r>
    </w:p>
    <w:p w14:paraId="25E56B4E" w14:textId="77777777" w:rsidR="006A2861" w:rsidRPr="00DA5C05" w:rsidRDefault="006A2861" w:rsidP="00CC4E57">
      <w:pPr>
        <w:spacing w:line="360" w:lineRule="auto"/>
        <w:jc w:val="both"/>
        <w:rPr>
          <w:rFonts w:ascii="Arial" w:hAnsi="Arial" w:cs="Arial"/>
          <w:sz w:val="20"/>
          <w:szCs w:val="20"/>
        </w:rPr>
      </w:pPr>
      <w:r w:rsidRPr="00DA5C05">
        <w:rPr>
          <w:rFonts w:ascii="Arial" w:hAnsi="Arial" w:cs="Arial"/>
          <w:sz w:val="20"/>
          <w:szCs w:val="20"/>
        </w:rPr>
        <w:tab/>
      </w:r>
      <w:r w:rsidR="00B07FCB" w:rsidRPr="00DA5C05">
        <w:rPr>
          <w:rFonts w:ascii="Arial" w:hAnsi="Arial" w:cs="Arial"/>
          <w:sz w:val="20"/>
          <w:szCs w:val="20"/>
        </w:rPr>
        <w:t xml:space="preserve">Según </w:t>
      </w:r>
      <w:r w:rsidR="00B07FCB" w:rsidRPr="00DA5C05">
        <w:rPr>
          <w:rFonts w:ascii="Arial" w:hAnsi="Arial" w:cs="Arial"/>
          <w:sz w:val="20"/>
          <w:szCs w:val="20"/>
        </w:rPr>
        <w:fldChar w:fldCharType="begin"/>
      </w:r>
      <w:r w:rsidR="00B07FCB" w:rsidRPr="00DA5C05">
        <w:rPr>
          <w:rFonts w:ascii="Arial" w:hAnsi="Arial" w:cs="Arial"/>
          <w:sz w:val="20"/>
          <w:szCs w:val="20"/>
        </w:rPr>
        <w:instrText xml:space="preserve"> ADDIN ZOTERO_ITEM CSL_CITATION {"citationID":"WRzlY6tC","properties":{"formattedCitation":"(Palomer, P\\uc0\\u233{}rez, &amp; Blanco-Vaca, 2005)","plainCitation":"(Palomer, Pérez, &amp; Blanco-Vaca, 2005)","noteIndex":0},"citationItems":[{"id":71,"uris":["http://zotero.org/users/local/RdWaVxzQ/items/XG4LUHY2"],"itemData":{"id":71,"type":"article-journal","abstract":"La adiponectina es una adipocitocina secretada por los adipocitos que regula el metabolismo","container-title":"Medicina Clínica","DOI":"10.1157/13072576","ISSN":"0025-7753","issue":"10","journalAbbreviation":"Med Clin (Barc)","language":"es","note":"publisher: Elsevier","page":"388-395","source":"www.elsevier.es","title":"Adiponectina: un nuevo nexo entre obesidad, resistencia a la insulina y enfermedad cardiovascular","title-short":"Adiponectina","volume":"124","author":[{"family":"Palomer","given":"Xavier"},{"family":"Pérez","given":"Antonio"},{"family":"Blanco-Vaca","given":"Francisco"}],"issued":{"date-parts":[["2005",3,19]]}}}],"schema":"https://github.com/citation-style-language/schema/raw/master/csl-citation.json"} </w:instrText>
      </w:r>
      <w:r w:rsidR="00B07FCB" w:rsidRPr="00DA5C05">
        <w:rPr>
          <w:rFonts w:ascii="Arial" w:hAnsi="Arial" w:cs="Arial"/>
          <w:sz w:val="20"/>
          <w:szCs w:val="20"/>
        </w:rPr>
        <w:fldChar w:fldCharType="separate"/>
      </w:r>
      <w:r w:rsidR="00B07FCB" w:rsidRPr="00DA5C05">
        <w:rPr>
          <w:rFonts w:ascii="Arial" w:hAnsi="Arial" w:cs="Arial"/>
          <w:kern w:val="0"/>
          <w:sz w:val="20"/>
          <w:szCs w:val="20"/>
        </w:rPr>
        <w:t>(Palomer, Pérez, &amp; Blanco-Vaca, 2005)</w:t>
      </w:r>
      <w:r w:rsidR="00B07FCB" w:rsidRPr="00DA5C05">
        <w:rPr>
          <w:rFonts w:ascii="Arial" w:hAnsi="Arial" w:cs="Arial"/>
          <w:sz w:val="20"/>
          <w:szCs w:val="20"/>
        </w:rPr>
        <w:fldChar w:fldCharType="end"/>
      </w:r>
      <w:r w:rsidR="00B07FCB" w:rsidRPr="00DA5C05">
        <w:rPr>
          <w:rFonts w:ascii="Arial" w:hAnsi="Arial" w:cs="Arial"/>
          <w:sz w:val="20"/>
          <w:szCs w:val="20"/>
        </w:rPr>
        <w:t xml:space="preserve"> la adiponectina es una citoquina secretada por el tejido adiposo, que regula el metabolismo energético, estimula la oxidación de ácidos grasos, reduce los triglicéridos plasmáticos y mejora el metabolismo de la glucosa mediante aumento de la sensibilidad a la insulina.</w:t>
      </w:r>
    </w:p>
    <w:p w14:paraId="6D52637A" w14:textId="77777777" w:rsidR="00646124" w:rsidRPr="00DA5C05" w:rsidRDefault="00646124" w:rsidP="00CC4E57">
      <w:pPr>
        <w:spacing w:line="360" w:lineRule="auto"/>
        <w:jc w:val="both"/>
        <w:rPr>
          <w:rFonts w:ascii="Arial" w:hAnsi="Arial" w:cs="Arial"/>
          <w:sz w:val="20"/>
          <w:szCs w:val="20"/>
        </w:rPr>
      </w:pPr>
      <w:r w:rsidRPr="00DA5C05">
        <w:rPr>
          <w:rFonts w:ascii="Arial" w:hAnsi="Arial" w:cs="Arial"/>
          <w:sz w:val="20"/>
          <w:szCs w:val="20"/>
        </w:rPr>
        <w:t xml:space="preserve">• </w:t>
      </w:r>
      <w:proofErr w:type="spellStart"/>
      <w:r w:rsidRPr="00DA5C05">
        <w:rPr>
          <w:rFonts w:ascii="Arial" w:hAnsi="Arial" w:cs="Arial"/>
          <w:sz w:val="20"/>
          <w:szCs w:val="20"/>
        </w:rPr>
        <w:t>Resistin</w:t>
      </w:r>
      <w:proofErr w:type="spellEnd"/>
      <w:r w:rsidRPr="00DA5C05">
        <w:rPr>
          <w:rFonts w:ascii="Arial" w:hAnsi="Arial" w:cs="Arial"/>
          <w:sz w:val="20"/>
          <w:szCs w:val="20"/>
        </w:rPr>
        <w:t xml:space="preserve"> (ng/</w:t>
      </w:r>
      <w:proofErr w:type="spellStart"/>
      <w:r w:rsidRPr="00DA5C05">
        <w:rPr>
          <w:rFonts w:ascii="Arial" w:hAnsi="Arial" w:cs="Arial"/>
          <w:sz w:val="20"/>
          <w:szCs w:val="20"/>
        </w:rPr>
        <w:t>mL</w:t>
      </w:r>
      <w:proofErr w:type="spellEnd"/>
      <w:r w:rsidRPr="00DA5C05">
        <w:rPr>
          <w:rFonts w:ascii="Arial" w:hAnsi="Arial" w:cs="Arial"/>
          <w:sz w:val="20"/>
          <w:szCs w:val="20"/>
        </w:rPr>
        <w:t xml:space="preserve">): Resistina </w:t>
      </w:r>
    </w:p>
    <w:p w14:paraId="0CBF3EDA" w14:textId="77777777" w:rsidR="00A46DC0" w:rsidRPr="00DA5C05" w:rsidRDefault="00A46DC0" w:rsidP="00CC4E57">
      <w:pPr>
        <w:spacing w:line="360" w:lineRule="auto"/>
        <w:jc w:val="both"/>
        <w:rPr>
          <w:rFonts w:ascii="Arial" w:hAnsi="Arial" w:cs="Arial"/>
          <w:sz w:val="20"/>
          <w:szCs w:val="20"/>
        </w:rPr>
      </w:pPr>
      <w:r w:rsidRPr="00DA5C05">
        <w:rPr>
          <w:rFonts w:ascii="Arial" w:hAnsi="Arial" w:cs="Arial"/>
          <w:sz w:val="20"/>
          <w:szCs w:val="20"/>
        </w:rPr>
        <w:tab/>
        <w:t xml:space="preserve">Acorde a lo descrito por </w:t>
      </w:r>
      <w:r w:rsidRPr="00DA5C05">
        <w:rPr>
          <w:rFonts w:ascii="Arial" w:hAnsi="Arial" w:cs="Arial"/>
          <w:sz w:val="20"/>
          <w:szCs w:val="20"/>
        </w:rPr>
        <w:fldChar w:fldCharType="begin"/>
      </w:r>
      <w:r w:rsidRPr="00DA5C05">
        <w:rPr>
          <w:rFonts w:ascii="Arial" w:hAnsi="Arial" w:cs="Arial"/>
          <w:sz w:val="20"/>
          <w:szCs w:val="20"/>
        </w:rPr>
        <w:instrText xml:space="preserve"> ADDIN ZOTERO_ITEM CSL_CITATION {"citationID":"5H3zukk2","properties":{"formattedCitation":"(Wellen &amp; Hotamisligil, 2005)","plainCitation":"(Wellen &amp; Hotamisligil, 2005)","noteIndex":0},"citationItems":[{"id":74,"uris":["http://zotero.org/users/local/RdWaVxzQ/items/B9B7K62C"],"itemData":{"id":74,"type":"article-journal","abstract":"Over the last decade, an abundance of evidence has emerged demonstrating a close link between metabolism and immunity. It is now clear that obesity is associated with a state of chronic low-level inflammation. In this article, we discuss the molecular and cellular underpinnings of obesity-induced inflammation and the signaling pathways at the intersection of metabolism and inflammation that contribute to diabetes. We also consider mechanisms through which the inflammatory response may be initiated and discuss the reasons for the inflammatory response in obesity. We put forth for consideration some hypotheses regarding important unanswered questions in the field and suggest a model for the integration of inflammatory and metabolic pathways in metabolic disease.","container-title":"Journal of Clinical Investigation","DOI":"10.1172/JCI200525102","ISSN":"0021-9738","issue":"5","journalAbbreviation":"J Clin Invest","note":"PMID: 15864338\nPMCID: PMC1087185","page":"1111-1119","source":"PubMed Central","title":"Inflammation, stress, and diabetes","volume":"115","author":[{"family":"Wellen","given":"Kathryn E."},{"family":"Hotamisligil","given":"Gökhan S."}],"issued":{"date-parts":[["2005",5,2]]}}}],"schema":"https://github.com/citation-style-language/schema/raw/master/csl-citation.json"} </w:instrText>
      </w:r>
      <w:r w:rsidRPr="00DA5C05">
        <w:rPr>
          <w:rFonts w:ascii="Arial" w:hAnsi="Arial" w:cs="Arial"/>
          <w:sz w:val="20"/>
          <w:szCs w:val="20"/>
        </w:rPr>
        <w:fldChar w:fldCharType="separate"/>
      </w:r>
      <w:r w:rsidRPr="00DA5C05">
        <w:rPr>
          <w:rFonts w:ascii="Arial" w:hAnsi="Arial" w:cs="Arial"/>
          <w:sz w:val="20"/>
          <w:szCs w:val="20"/>
        </w:rPr>
        <w:t>(Wellen &amp; Hotamisligil, 2005)</w:t>
      </w:r>
      <w:r w:rsidRPr="00DA5C05">
        <w:rPr>
          <w:rFonts w:ascii="Arial" w:hAnsi="Arial" w:cs="Arial"/>
          <w:sz w:val="20"/>
          <w:szCs w:val="20"/>
        </w:rPr>
        <w:fldChar w:fldCharType="end"/>
      </w:r>
      <w:r w:rsidRPr="00DA5C05">
        <w:rPr>
          <w:rFonts w:ascii="Arial" w:hAnsi="Arial" w:cs="Arial"/>
          <w:sz w:val="20"/>
          <w:szCs w:val="20"/>
        </w:rPr>
        <w:t xml:space="preserve"> la resistina es una hormona polipeptídica responsable de ser la conexión en la bien conocida asociación entre la inflamación y la resistencia a la insulina</w:t>
      </w:r>
    </w:p>
    <w:p w14:paraId="1FDAEAAB" w14:textId="77777777" w:rsidR="00646124" w:rsidRPr="00DA5C05" w:rsidRDefault="00646124" w:rsidP="00CC4E57">
      <w:pPr>
        <w:spacing w:line="360" w:lineRule="auto"/>
        <w:jc w:val="both"/>
        <w:rPr>
          <w:rFonts w:ascii="Arial" w:hAnsi="Arial" w:cs="Arial"/>
          <w:sz w:val="20"/>
          <w:szCs w:val="20"/>
        </w:rPr>
      </w:pPr>
      <w:r w:rsidRPr="00DA5C05">
        <w:rPr>
          <w:rFonts w:ascii="Arial" w:hAnsi="Arial" w:cs="Arial"/>
          <w:sz w:val="20"/>
          <w:szCs w:val="20"/>
        </w:rPr>
        <w:t>• MCP-1(</w:t>
      </w:r>
      <w:proofErr w:type="spellStart"/>
      <w:r w:rsidRPr="00DA5C05">
        <w:rPr>
          <w:rFonts w:ascii="Arial" w:hAnsi="Arial" w:cs="Arial"/>
          <w:sz w:val="20"/>
          <w:szCs w:val="20"/>
        </w:rPr>
        <w:t>pg</w:t>
      </w:r>
      <w:proofErr w:type="spellEnd"/>
      <w:r w:rsidRPr="00DA5C05">
        <w:rPr>
          <w:rFonts w:ascii="Arial" w:hAnsi="Arial" w:cs="Arial"/>
          <w:sz w:val="20"/>
          <w:szCs w:val="20"/>
        </w:rPr>
        <w:t>/</w:t>
      </w:r>
      <w:proofErr w:type="spellStart"/>
      <w:r w:rsidRPr="00DA5C05">
        <w:rPr>
          <w:rFonts w:ascii="Arial" w:hAnsi="Arial" w:cs="Arial"/>
          <w:sz w:val="20"/>
          <w:szCs w:val="20"/>
        </w:rPr>
        <w:t>dL</w:t>
      </w:r>
      <w:proofErr w:type="spellEnd"/>
      <w:r w:rsidRPr="00DA5C05">
        <w:rPr>
          <w:rFonts w:ascii="Arial" w:hAnsi="Arial" w:cs="Arial"/>
          <w:sz w:val="20"/>
          <w:szCs w:val="20"/>
        </w:rPr>
        <w:t xml:space="preserve">): Proteína quimiotáctica de monocitos 1 </w:t>
      </w:r>
    </w:p>
    <w:p w14:paraId="2C6961D0" w14:textId="77777777" w:rsidR="00DA5C05" w:rsidRPr="00DA5C05" w:rsidRDefault="00DA5C05" w:rsidP="00CC4E57">
      <w:pPr>
        <w:spacing w:line="360" w:lineRule="auto"/>
        <w:jc w:val="both"/>
        <w:rPr>
          <w:rFonts w:ascii="Arial" w:hAnsi="Arial" w:cs="Arial"/>
          <w:sz w:val="20"/>
          <w:szCs w:val="20"/>
        </w:rPr>
      </w:pPr>
      <w:r w:rsidRPr="00DA5C05">
        <w:rPr>
          <w:rFonts w:ascii="Arial" w:hAnsi="Arial" w:cs="Arial"/>
          <w:sz w:val="20"/>
          <w:szCs w:val="20"/>
        </w:rPr>
        <w:tab/>
        <w:t>La proteína quimiotáctica de monocitos 1 pertenece a la familia de quimioquinas C-C, caracterizadas por tener dos residuos de cisteína adyacentes.</w:t>
      </w:r>
    </w:p>
    <w:p w14:paraId="61DA2B2C" w14:textId="77777777" w:rsidR="00DA5C05" w:rsidRPr="00DA5C05" w:rsidRDefault="00DA5C05" w:rsidP="00CC4E57">
      <w:pPr>
        <w:spacing w:line="360" w:lineRule="auto"/>
        <w:jc w:val="both"/>
        <w:rPr>
          <w:rFonts w:ascii="Arial" w:hAnsi="Arial" w:cs="Arial"/>
          <w:sz w:val="20"/>
          <w:szCs w:val="20"/>
        </w:rPr>
      </w:pPr>
      <w:r w:rsidRPr="00DA5C05">
        <w:rPr>
          <w:rFonts w:ascii="Arial" w:hAnsi="Arial" w:cs="Arial"/>
          <w:sz w:val="20"/>
          <w:szCs w:val="20"/>
        </w:rPr>
        <w:tab/>
        <w:t>Las quimioquinas son citoquinas con actividad quimioatrayente cuya función, ejercida mediante la unión a receptores con 7 dominios transmembrana acoplados a proteínas G (</w:t>
      </w:r>
      <w:proofErr w:type="spellStart"/>
      <w:r w:rsidRPr="00DA5C05">
        <w:rPr>
          <w:rFonts w:ascii="Arial" w:hAnsi="Arial" w:cs="Arial"/>
          <w:sz w:val="20"/>
          <w:szCs w:val="20"/>
        </w:rPr>
        <w:t>GPCRs</w:t>
      </w:r>
      <w:proofErr w:type="spellEnd"/>
      <w:r w:rsidRPr="00DA5C05">
        <w:rPr>
          <w:rFonts w:ascii="Arial" w:hAnsi="Arial" w:cs="Arial"/>
          <w:sz w:val="20"/>
          <w:szCs w:val="20"/>
        </w:rPr>
        <w:t>), está relacionada fundamentalmente con el tránsito de células del sistema inmune.</w:t>
      </w:r>
    </w:p>
    <w:p w14:paraId="09B7232F" w14:textId="77777777" w:rsidR="00DA5C05" w:rsidRPr="00DA5C05" w:rsidRDefault="00DA5C05" w:rsidP="00CC4E57">
      <w:pPr>
        <w:spacing w:line="360" w:lineRule="auto"/>
        <w:jc w:val="both"/>
        <w:rPr>
          <w:rFonts w:ascii="Arial" w:hAnsi="Arial" w:cs="Arial"/>
          <w:sz w:val="20"/>
          <w:szCs w:val="20"/>
        </w:rPr>
      </w:pPr>
      <w:r w:rsidRPr="00DA5C05">
        <w:rPr>
          <w:rFonts w:ascii="Arial" w:hAnsi="Arial" w:cs="Arial"/>
          <w:sz w:val="20"/>
          <w:szCs w:val="20"/>
        </w:rPr>
        <w:tab/>
        <w:t xml:space="preserve">Las alteraciones en MCP-1 y su receptor se asocian con distintas enfermedades inflamatorias como Artritis reumatoide, según los estudios de </w:t>
      </w:r>
      <w:r w:rsidRPr="00DA5C05">
        <w:rPr>
          <w:rFonts w:ascii="Arial" w:hAnsi="Arial" w:cs="Arial"/>
          <w:sz w:val="20"/>
          <w:szCs w:val="20"/>
        </w:rPr>
        <w:fldChar w:fldCharType="begin"/>
      </w:r>
      <w:r w:rsidRPr="00DA5C05">
        <w:rPr>
          <w:rFonts w:ascii="Arial" w:hAnsi="Arial" w:cs="Arial"/>
          <w:sz w:val="20"/>
          <w:szCs w:val="20"/>
        </w:rPr>
        <w:instrText xml:space="preserve"> ADDIN ZOTERO_ITEM CSL_CITATION {"citationID":"ITlErWNc","properties":{"formattedCitation":"(Ogata, Takeya, Yoshimura, Takagi, &amp; Takahashi, 1997)","plainCitation":"(Ogata, Takeya, Yoshimura, Takagi, &amp; Takahashi, 1997)","noteIndex":0},"citationItems":[{"id":77,"uris":["http://zotero.org/users/local/RdWaVxzQ/items/DQZ6LJIK"],"itemData":{"id":77,"type":"article-journal","abstract":"Collagen-induced arthritis was produced in rats by intradermal immunization with type II collagen and the expression and production of monocyte chemoattractant protein-1 (MCP-1) were examined by immunohistochemistry, enzyme-linked immunosorbent assay (ELISA), and Northern blot analysis. Two to three weeks after the immunization, the hindfeet showed swelling and redness, followed by the development of severe arthritis, particularly in the ankle joints. During this period, prominent infiltration of neutrophils and macrophages was observed. Sandwich ELISA and Northern blot analysis revealed that MCP-1 concentrations in the joint lavages and MCP-1 mRNA levels in the joint tissues both peaked at 2 weeks after the immunization. By immunohistochemistry, various types of cells, particularly neutrophils, macrophages, synovial cells, and vascular endothelial cells, stained positively for MCP-1. Finally, injection of a neutralizing monoclonal antibody against rat MCP-1 significantly decreased the number of exudate macrophages in the lesions and reduced the ankle swelling by about 30 per cent compared with controls. These results suggest that MCP-1 plays a critical role in this model in the recruitment of monocytes and in the development of arthritis. © 1997 John Wiley &amp; Sons, Ltd.","container-title":"The Journal of Pathology","DOI":"10.1002/(SICI)1096-9896(199705)182:1&lt;106::AID-PATH816&gt;3.0.CO;2-A","ISSN":"1096-9896","issue":"1","language":"en","license":"Copyright © 1997 John Wiley &amp; Sons, Ltd.","note":"_eprint: https://onlinelibrary.wiley.com/doi/pdf/10.1002/%28SICI%291096-9896%28199705%29182%3A1%3C106%3A%3AAID-PATH816%3E3.0.CO%3B2-A","page":"106-114","source":"Wiley Online Library","title":"The Role of Monocyte Chemoattractant Protein-1 (mcp-1) in the Pathogenesis of Collagen-Induced Arthritis in Rats","volume":"182","author":[{"family":"Ogata","given":"Hiroomi"},{"family":"Takeya","given":"Motohiro"},{"family":"Yoshimura","given":"Teizo"},{"family":"Takagi","given":"Katsumasa"},{"family":"Takahashi","given":"Kiyoshi"}],"issued":{"date-parts":[["1997"]]}}}],"schema":"https://github.com/citation-style-language/schema/raw/master/csl-citation.json"} </w:instrText>
      </w:r>
      <w:r w:rsidRPr="00DA5C05">
        <w:rPr>
          <w:rFonts w:ascii="Arial" w:hAnsi="Arial" w:cs="Arial"/>
          <w:sz w:val="20"/>
          <w:szCs w:val="20"/>
        </w:rPr>
        <w:fldChar w:fldCharType="separate"/>
      </w:r>
      <w:r w:rsidRPr="00DA5C05">
        <w:rPr>
          <w:rFonts w:ascii="Arial" w:hAnsi="Arial" w:cs="Arial"/>
          <w:sz w:val="20"/>
          <w:szCs w:val="20"/>
        </w:rPr>
        <w:t>(Ogata, Takeya, Yoshimura, Takagi, &amp; Takahashi, 1997)</w:t>
      </w:r>
      <w:r w:rsidRPr="00DA5C05">
        <w:rPr>
          <w:rFonts w:ascii="Arial" w:hAnsi="Arial" w:cs="Arial"/>
          <w:sz w:val="20"/>
          <w:szCs w:val="20"/>
        </w:rPr>
        <w:fldChar w:fldCharType="end"/>
      </w:r>
    </w:p>
    <w:p w14:paraId="51CD80A3" w14:textId="77777777" w:rsidR="00646124" w:rsidRDefault="00646124" w:rsidP="00CC4E57">
      <w:pPr>
        <w:spacing w:line="360" w:lineRule="auto"/>
        <w:jc w:val="both"/>
        <w:rPr>
          <w:rFonts w:ascii="Arial" w:hAnsi="Arial" w:cs="Arial"/>
          <w:sz w:val="20"/>
          <w:szCs w:val="20"/>
        </w:rPr>
      </w:pPr>
      <w:r w:rsidRPr="00DA5C05">
        <w:rPr>
          <w:rFonts w:ascii="Arial" w:hAnsi="Arial" w:cs="Arial"/>
          <w:sz w:val="20"/>
          <w:szCs w:val="20"/>
        </w:rPr>
        <w:t xml:space="preserve">• </w:t>
      </w:r>
      <w:proofErr w:type="spellStart"/>
      <w:r w:rsidRPr="00DA5C05">
        <w:rPr>
          <w:rFonts w:ascii="Arial" w:hAnsi="Arial" w:cs="Arial"/>
          <w:sz w:val="20"/>
          <w:szCs w:val="20"/>
        </w:rPr>
        <w:t>Classification</w:t>
      </w:r>
      <w:proofErr w:type="spellEnd"/>
      <w:r w:rsidRPr="00DA5C05">
        <w:rPr>
          <w:rFonts w:ascii="Arial" w:hAnsi="Arial" w:cs="Arial"/>
          <w:sz w:val="20"/>
          <w:szCs w:val="20"/>
        </w:rPr>
        <w:t>: como etiquetado si el paciente está enfermo (2) o está sano (1)</w:t>
      </w:r>
    </w:p>
    <w:p w14:paraId="53CCE0C1" w14:textId="77777777" w:rsidR="00DA5C05" w:rsidRDefault="00DA5C05" w:rsidP="00CC4E57">
      <w:pPr>
        <w:jc w:val="both"/>
        <w:rPr>
          <w:rFonts w:ascii="Arial" w:hAnsi="Arial" w:cs="Arial"/>
          <w:sz w:val="20"/>
          <w:szCs w:val="20"/>
        </w:rPr>
      </w:pPr>
    </w:p>
    <w:p w14:paraId="75D72965" w14:textId="77777777" w:rsidR="00DA5C05" w:rsidRPr="00DA5C05" w:rsidRDefault="00DA5C05" w:rsidP="00CC4E57">
      <w:pPr>
        <w:jc w:val="both"/>
        <w:rPr>
          <w:rFonts w:ascii="Arial" w:hAnsi="Arial" w:cs="Arial"/>
          <w:sz w:val="24"/>
          <w:szCs w:val="24"/>
        </w:rPr>
      </w:pPr>
      <w:r w:rsidRPr="00DA5C05">
        <w:rPr>
          <w:rFonts w:ascii="Arial" w:hAnsi="Arial" w:cs="Arial"/>
          <w:sz w:val="24"/>
          <w:szCs w:val="24"/>
        </w:rPr>
        <w:t>Referencias</w:t>
      </w:r>
    </w:p>
    <w:p w14:paraId="5A5C0D5D" w14:textId="77777777" w:rsidR="00CC4E57" w:rsidRPr="00CC4E57" w:rsidRDefault="00DA5C05" w:rsidP="00CC4E57">
      <w:pPr>
        <w:pStyle w:val="Bibliografa"/>
        <w:spacing w:line="360" w:lineRule="auto"/>
        <w:jc w:val="both"/>
        <w:rPr>
          <w:rFonts w:ascii="Arial" w:hAnsi="Arial" w:cs="Arial"/>
          <w:sz w:val="20"/>
        </w:rPr>
      </w:pPr>
      <w:r>
        <w:rPr>
          <w:rFonts w:ascii="Arial" w:hAnsi="Arial" w:cs="Arial"/>
          <w:sz w:val="20"/>
          <w:szCs w:val="20"/>
          <w:lang w:val="es-ES"/>
        </w:rPr>
        <w:fldChar w:fldCharType="begin"/>
      </w:r>
      <w:r>
        <w:rPr>
          <w:rFonts w:ascii="Arial" w:hAnsi="Arial" w:cs="Arial"/>
          <w:sz w:val="20"/>
          <w:szCs w:val="20"/>
          <w:lang w:val="es-ES"/>
        </w:rPr>
        <w:instrText xml:space="preserve"> ADDIN ZOTERO_BIBL {"uncited":[],"omitted":[],"custom":[]} CSL_BIBLIOGRAPHY </w:instrText>
      </w:r>
      <w:r>
        <w:rPr>
          <w:rFonts w:ascii="Arial" w:hAnsi="Arial" w:cs="Arial"/>
          <w:sz w:val="20"/>
          <w:szCs w:val="20"/>
          <w:lang w:val="es-ES"/>
        </w:rPr>
        <w:fldChar w:fldCharType="separate"/>
      </w:r>
      <w:r w:rsidR="00CC4E57" w:rsidRPr="00CC4E57">
        <w:rPr>
          <w:rFonts w:ascii="Arial" w:hAnsi="Arial" w:cs="Arial"/>
          <w:sz w:val="20"/>
        </w:rPr>
        <w:t xml:space="preserve">Galant, A. L., Kaufman, R. C., &amp; Wilson, J. D. (2015). Glucose: Detection and analysis. </w:t>
      </w:r>
      <w:r w:rsidR="00CC4E57" w:rsidRPr="00CC4E57">
        <w:rPr>
          <w:rFonts w:ascii="Arial" w:hAnsi="Arial" w:cs="Arial"/>
          <w:i/>
          <w:iCs/>
          <w:sz w:val="20"/>
        </w:rPr>
        <w:t>Food Chemistry</w:t>
      </w:r>
      <w:r w:rsidR="00CC4E57" w:rsidRPr="00CC4E57">
        <w:rPr>
          <w:rFonts w:ascii="Arial" w:hAnsi="Arial" w:cs="Arial"/>
          <w:sz w:val="20"/>
        </w:rPr>
        <w:t xml:space="preserve">, </w:t>
      </w:r>
      <w:r w:rsidR="00CC4E57" w:rsidRPr="00CC4E57">
        <w:rPr>
          <w:rFonts w:ascii="Arial" w:hAnsi="Arial" w:cs="Arial"/>
          <w:i/>
          <w:iCs/>
          <w:sz w:val="20"/>
        </w:rPr>
        <w:t>188</w:t>
      </w:r>
      <w:r w:rsidR="00CC4E57" w:rsidRPr="00CC4E57">
        <w:rPr>
          <w:rFonts w:ascii="Arial" w:hAnsi="Arial" w:cs="Arial"/>
          <w:sz w:val="20"/>
        </w:rPr>
        <w:t>, 149-160. https://doi.org/10.1016/j.foodchem.2015.04.071</w:t>
      </w:r>
    </w:p>
    <w:p w14:paraId="1879846D" w14:textId="77777777" w:rsidR="00CC4E57" w:rsidRPr="00CC4E57" w:rsidRDefault="00CC4E57" w:rsidP="00CC4E57">
      <w:pPr>
        <w:pStyle w:val="Bibliografa"/>
        <w:spacing w:line="360" w:lineRule="auto"/>
        <w:jc w:val="both"/>
        <w:rPr>
          <w:rFonts w:ascii="Arial" w:hAnsi="Arial" w:cs="Arial"/>
          <w:sz w:val="20"/>
        </w:rPr>
      </w:pPr>
      <w:r w:rsidRPr="00CC4E57">
        <w:rPr>
          <w:rFonts w:ascii="Arial" w:hAnsi="Arial" w:cs="Arial"/>
          <w:sz w:val="20"/>
        </w:rPr>
        <w:lastRenderedPageBreak/>
        <w:t xml:space="preserve">Gonzalez, M. C., Correia, M. I. T. D., &amp; Heymsfield, S. B. (2017). A requiem for BMI in the clinical setting. </w:t>
      </w:r>
      <w:r w:rsidRPr="00CC4E57">
        <w:rPr>
          <w:rFonts w:ascii="Arial" w:hAnsi="Arial" w:cs="Arial"/>
          <w:i/>
          <w:iCs/>
          <w:sz w:val="20"/>
        </w:rPr>
        <w:t>Current Opinion in Clinical Nutrition and Metabolic Care</w:t>
      </w:r>
      <w:r w:rsidRPr="00CC4E57">
        <w:rPr>
          <w:rFonts w:ascii="Arial" w:hAnsi="Arial" w:cs="Arial"/>
          <w:sz w:val="20"/>
        </w:rPr>
        <w:t xml:space="preserve">, </w:t>
      </w:r>
      <w:r w:rsidRPr="00CC4E57">
        <w:rPr>
          <w:rFonts w:ascii="Arial" w:hAnsi="Arial" w:cs="Arial"/>
          <w:i/>
          <w:iCs/>
          <w:sz w:val="20"/>
        </w:rPr>
        <w:t>20</w:t>
      </w:r>
      <w:r w:rsidRPr="00CC4E57">
        <w:rPr>
          <w:rFonts w:ascii="Arial" w:hAnsi="Arial" w:cs="Arial"/>
          <w:sz w:val="20"/>
        </w:rPr>
        <w:t>(5), 314-321. https://doi.org/10.1097/MCO.0000000000000395</w:t>
      </w:r>
    </w:p>
    <w:p w14:paraId="08DA02B2" w14:textId="77777777" w:rsidR="00CC4E57" w:rsidRPr="00CC4E57" w:rsidRDefault="00CC4E57" w:rsidP="00CC4E57">
      <w:pPr>
        <w:pStyle w:val="Bibliografa"/>
        <w:spacing w:line="360" w:lineRule="auto"/>
        <w:jc w:val="both"/>
        <w:rPr>
          <w:rFonts w:ascii="Arial" w:hAnsi="Arial" w:cs="Arial"/>
          <w:sz w:val="20"/>
        </w:rPr>
      </w:pPr>
      <w:r w:rsidRPr="00CC4E57">
        <w:rPr>
          <w:rFonts w:ascii="Arial" w:hAnsi="Arial" w:cs="Arial"/>
          <w:sz w:val="20"/>
        </w:rPr>
        <w:t xml:space="preserve">Matthews, D. R., Hosker, J. P., Rudenski, A. S., Naylor, B. A., Treacher, D. F., &amp; Turner, R. C. (1985). Homeostasis model assessment: Insulin resistance and β-cell function from fasting plasma glucose and insulin concentrations in man. </w:t>
      </w:r>
      <w:r w:rsidRPr="00CC4E57">
        <w:rPr>
          <w:rFonts w:ascii="Arial" w:hAnsi="Arial" w:cs="Arial"/>
          <w:i/>
          <w:iCs/>
          <w:sz w:val="20"/>
        </w:rPr>
        <w:t>Diabetologia</w:t>
      </w:r>
      <w:r w:rsidRPr="00CC4E57">
        <w:rPr>
          <w:rFonts w:ascii="Arial" w:hAnsi="Arial" w:cs="Arial"/>
          <w:sz w:val="20"/>
        </w:rPr>
        <w:t xml:space="preserve">, </w:t>
      </w:r>
      <w:r w:rsidRPr="00CC4E57">
        <w:rPr>
          <w:rFonts w:ascii="Arial" w:hAnsi="Arial" w:cs="Arial"/>
          <w:i/>
          <w:iCs/>
          <w:sz w:val="20"/>
        </w:rPr>
        <w:t>28</w:t>
      </w:r>
      <w:r w:rsidRPr="00CC4E57">
        <w:rPr>
          <w:rFonts w:ascii="Arial" w:hAnsi="Arial" w:cs="Arial"/>
          <w:sz w:val="20"/>
        </w:rPr>
        <w:t>(7), 412-419. https://doi.org/10.1007/BF00280883</w:t>
      </w:r>
    </w:p>
    <w:p w14:paraId="2EA629E0" w14:textId="77777777" w:rsidR="00CC4E57" w:rsidRPr="00CC4E57" w:rsidRDefault="00CC4E57" w:rsidP="00CC4E57">
      <w:pPr>
        <w:pStyle w:val="Bibliografa"/>
        <w:spacing w:line="360" w:lineRule="auto"/>
        <w:jc w:val="both"/>
        <w:rPr>
          <w:rFonts w:ascii="Arial" w:hAnsi="Arial" w:cs="Arial"/>
          <w:sz w:val="20"/>
        </w:rPr>
      </w:pPr>
      <w:r w:rsidRPr="00CC4E57">
        <w:rPr>
          <w:rFonts w:ascii="Arial" w:hAnsi="Arial" w:cs="Arial"/>
          <w:sz w:val="20"/>
        </w:rPr>
        <w:t xml:space="preserve">Ogata, H., Takeya, M., Yoshimura, T., Takagi, K., &amp; Takahashi, K. (1997). The Role of Monocyte Chemoattractant Protein-1 (mcp-1) in the Pathogenesis of Collagen-Induced Arthritis in Rats. </w:t>
      </w:r>
      <w:r w:rsidRPr="00CC4E57">
        <w:rPr>
          <w:rFonts w:ascii="Arial" w:hAnsi="Arial" w:cs="Arial"/>
          <w:i/>
          <w:iCs/>
          <w:sz w:val="20"/>
        </w:rPr>
        <w:t>The Journal of Pathology</w:t>
      </w:r>
      <w:r w:rsidRPr="00CC4E57">
        <w:rPr>
          <w:rFonts w:ascii="Arial" w:hAnsi="Arial" w:cs="Arial"/>
          <w:sz w:val="20"/>
        </w:rPr>
        <w:t xml:space="preserve">, </w:t>
      </w:r>
      <w:r w:rsidRPr="00CC4E57">
        <w:rPr>
          <w:rFonts w:ascii="Arial" w:hAnsi="Arial" w:cs="Arial"/>
          <w:i/>
          <w:iCs/>
          <w:sz w:val="20"/>
        </w:rPr>
        <w:t>182</w:t>
      </w:r>
      <w:r w:rsidRPr="00CC4E57">
        <w:rPr>
          <w:rFonts w:ascii="Arial" w:hAnsi="Arial" w:cs="Arial"/>
          <w:sz w:val="20"/>
        </w:rPr>
        <w:t>(1), 106-114. https://doi.org/10.1002/(SICI)1096-9896(199705)182:1&lt;106::AID-PATH816&gt;3.0.CO;2-A</w:t>
      </w:r>
    </w:p>
    <w:p w14:paraId="37A14D98" w14:textId="77777777" w:rsidR="00CC4E57" w:rsidRPr="00CC4E57" w:rsidRDefault="00CC4E57" w:rsidP="00CC4E57">
      <w:pPr>
        <w:pStyle w:val="Bibliografa"/>
        <w:spacing w:line="360" w:lineRule="auto"/>
        <w:jc w:val="both"/>
        <w:rPr>
          <w:rFonts w:ascii="Arial" w:hAnsi="Arial" w:cs="Arial"/>
          <w:sz w:val="20"/>
        </w:rPr>
      </w:pPr>
      <w:r w:rsidRPr="00CC4E57">
        <w:rPr>
          <w:rFonts w:ascii="Arial" w:hAnsi="Arial" w:cs="Arial"/>
          <w:sz w:val="20"/>
        </w:rPr>
        <w:t xml:space="preserve">Palomer, X., Pérez, A., &amp; Blanco-Vaca, F. (2005). Adiponectina: Un nuevo nexo entre obesidad, resistencia a la insulina y enfermedad cardiovascular. </w:t>
      </w:r>
      <w:r w:rsidRPr="00CC4E57">
        <w:rPr>
          <w:rFonts w:ascii="Arial" w:hAnsi="Arial" w:cs="Arial"/>
          <w:i/>
          <w:iCs/>
          <w:sz w:val="20"/>
        </w:rPr>
        <w:t>Medicina Clínica</w:t>
      </w:r>
      <w:r w:rsidRPr="00CC4E57">
        <w:rPr>
          <w:rFonts w:ascii="Arial" w:hAnsi="Arial" w:cs="Arial"/>
          <w:sz w:val="20"/>
        </w:rPr>
        <w:t xml:space="preserve">, </w:t>
      </w:r>
      <w:r w:rsidRPr="00CC4E57">
        <w:rPr>
          <w:rFonts w:ascii="Arial" w:hAnsi="Arial" w:cs="Arial"/>
          <w:i/>
          <w:iCs/>
          <w:sz w:val="20"/>
        </w:rPr>
        <w:t>124</w:t>
      </w:r>
      <w:r w:rsidRPr="00CC4E57">
        <w:rPr>
          <w:rFonts w:ascii="Arial" w:hAnsi="Arial" w:cs="Arial"/>
          <w:sz w:val="20"/>
        </w:rPr>
        <w:t>(10), 388-395. https://doi.org/10.1157/13072576</w:t>
      </w:r>
    </w:p>
    <w:p w14:paraId="422A842E" w14:textId="77777777" w:rsidR="00CC4E57" w:rsidRPr="00CC4E57" w:rsidRDefault="00CC4E57" w:rsidP="00CC4E57">
      <w:pPr>
        <w:pStyle w:val="Bibliografa"/>
        <w:spacing w:line="360" w:lineRule="auto"/>
        <w:jc w:val="both"/>
        <w:rPr>
          <w:rFonts w:ascii="Arial" w:hAnsi="Arial" w:cs="Arial"/>
          <w:sz w:val="20"/>
        </w:rPr>
      </w:pPr>
      <w:r w:rsidRPr="00CC4E57">
        <w:rPr>
          <w:rFonts w:ascii="Arial" w:hAnsi="Arial" w:cs="Arial"/>
          <w:sz w:val="20"/>
        </w:rPr>
        <w:t xml:space="preserve">Quianzon, C. C., &amp; Cheikh, I. (2012). History of insulin. </w:t>
      </w:r>
      <w:r w:rsidRPr="00CC4E57">
        <w:rPr>
          <w:rFonts w:ascii="Arial" w:hAnsi="Arial" w:cs="Arial"/>
          <w:i/>
          <w:iCs/>
          <w:sz w:val="20"/>
        </w:rPr>
        <w:t>Journal of Community Hospital Internal Medicine Perspectives</w:t>
      </w:r>
      <w:r w:rsidRPr="00CC4E57">
        <w:rPr>
          <w:rFonts w:ascii="Arial" w:hAnsi="Arial" w:cs="Arial"/>
          <w:sz w:val="20"/>
        </w:rPr>
        <w:t xml:space="preserve">, </w:t>
      </w:r>
      <w:r w:rsidRPr="00CC4E57">
        <w:rPr>
          <w:rFonts w:ascii="Arial" w:hAnsi="Arial" w:cs="Arial"/>
          <w:i/>
          <w:iCs/>
          <w:sz w:val="20"/>
        </w:rPr>
        <w:t>2</w:t>
      </w:r>
      <w:r w:rsidRPr="00CC4E57">
        <w:rPr>
          <w:rFonts w:ascii="Arial" w:hAnsi="Arial" w:cs="Arial"/>
          <w:sz w:val="20"/>
        </w:rPr>
        <w:t>(2), 18701. https://doi.org/10.3402/jchimp.v2i2.18701</w:t>
      </w:r>
    </w:p>
    <w:p w14:paraId="741DA8E2" w14:textId="77777777" w:rsidR="00CC4E57" w:rsidRPr="00CC4E57" w:rsidRDefault="00CC4E57" w:rsidP="00CC4E57">
      <w:pPr>
        <w:pStyle w:val="Bibliografa"/>
        <w:spacing w:line="360" w:lineRule="auto"/>
        <w:jc w:val="both"/>
        <w:rPr>
          <w:rFonts w:ascii="Arial" w:hAnsi="Arial" w:cs="Arial"/>
          <w:sz w:val="20"/>
        </w:rPr>
      </w:pPr>
      <w:r w:rsidRPr="00CC4E57">
        <w:rPr>
          <w:rFonts w:ascii="Arial" w:hAnsi="Arial" w:cs="Arial"/>
          <w:sz w:val="20"/>
        </w:rPr>
        <w:t xml:space="preserve">Wellen, K. E., &amp; Hotamisligil, G. S. (2005). Inflammation, stress, and diabetes. </w:t>
      </w:r>
      <w:r w:rsidRPr="00CC4E57">
        <w:rPr>
          <w:rFonts w:ascii="Arial" w:hAnsi="Arial" w:cs="Arial"/>
          <w:i/>
          <w:iCs/>
          <w:sz w:val="20"/>
        </w:rPr>
        <w:t>Journal of Clinical Investigation</w:t>
      </w:r>
      <w:r w:rsidRPr="00CC4E57">
        <w:rPr>
          <w:rFonts w:ascii="Arial" w:hAnsi="Arial" w:cs="Arial"/>
          <w:sz w:val="20"/>
        </w:rPr>
        <w:t xml:space="preserve">, </w:t>
      </w:r>
      <w:r w:rsidRPr="00CC4E57">
        <w:rPr>
          <w:rFonts w:ascii="Arial" w:hAnsi="Arial" w:cs="Arial"/>
          <w:i/>
          <w:iCs/>
          <w:sz w:val="20"/>
        </w:rPr>
        <w:t>115</w:t>
      </w:r>
      <w:r w:rsidRPr="00CC4E57">
        <w:rPr>
          <w:rFonts w:ascii="Arial" w:hAnsi="Arial" w:cs="Arial"/>
          <w:sz w:val="20"/>
        </w:rPr>
        <w:t>(5), 1111-1119. https://doi.org/10.1172/JCI200525102</w:t>
      </w:r>
    </w:p>
    <w:p w14:paraId="30E4CD94" w14:textId="77777777" w:rsidR="00DA5C05" w:rsidRPr="00DA5C05" w:rsidRDefault="00DA5C05" w:rsidP="00CC4E57">
      <w:pPr>
        <w:spacing w:line="360" w:lineRule="auto"/>
        <w:jc w:val="both"/>
        <w:rPr>
          <w:rFonts w:ascii="Arial" w:hAnsi="Arial" w:cs="Arial"/>
          <w:sz w:val="20"/>
          <w:szCs w:val="20"/>
          <w:lang w:val="es-ES"/>
        </w:rPr>
      </w:pPr>
      <w:r>
        <w:rPr>
          <w:rFonts w:ascii="Arial" w:hAnsi="Arial" w:cs="Arial"/>
          <w:sz w:val="20"/>
          <w:szCs w:val="20"/>
          <w:lang w:val="es-ES"/>
        </w:rPr>
        <w:fldChar w:fldCharType="end"/>
      </w:r>
    </w:p>
    <w:sectPr w:rsidR="00DA5C05" w:rsidRPr="00DA5C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124"/>
    <w:rsid w:val="002B0E75"/>
    <w:rsid w:val="00416733"/>
    <w:rsid w:val="00512A27"/>
    <w:rsid w:val="00646124"/>
    <w:rsid w:val="006A2861"/>
    <w:rsid w:val="00A316C0"/>
    <w:rsid w:val="00A46DC0"/>
    <w:rsid w:val="00B07FCB"/>
    <w:rsid w:val="00CC4E57"/>
    <w:rsid w:val="00D47239"/>
    <w:rsid w:val="00D85247"/>
    <w:rsid w:val="00DA5C0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55611"/>
  <w15:chartTrackingRefBased/>
  <w15:docId w15:val="{6F6F1C52-C179-4F24-B2D8-99E69F318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Bibliografa">
    <w:name w:val="Bibliography"/>
    <w:basedOn w:val="Normal"/>
    <w:next w:val="Normal"/>
    <w:uiPriority w:val="37"/>
    <w:unhideWhenUsed/>
    <w:rsid w:val="00DA5C05"/>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1</Pages>
  <Words>2960</Words>
  <Characters>16285</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Roberto Altamirano Aburto</dc:creator>
  <cp:keywords/>
  <dc:description/>
  <cp:lastModifiedBy>Felipe Roberto Altamirano Aburto</cp:lastModifiedBy>
  <cp:revision>3</cp:revision>
  <dcterms:created xsi:type="dcterms:W3CDTF">2023-07-23T21:55:00Z</dcterms:created>
  <dcterms:modified xsi:type="dcterms:W3CDTF">2023-07-24T18:32:00Z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id="G4hjr2IA"/&gt;&lt;style id="http://www.zotero.org/styles/apa-6th-edition" locale="es-ES" hasBibliography="1" bibliographyStyleHasBeenSet="1"/&gt;&lt;prefs&gt;&lt;pref name="fieldType" value="Field"/&gt;&lt;/prefs&gt;&lt;/data</vt:lpwstr>
  </property>
  <property fmtid="{D5CDD505-2E9C-101B-9397-08002B2CF9AE}" pid="3" name="ZOTERO_PREF_2">
    <vt:lpwstr>&gt;</vt:lpwstr>
  </property>
  <property fmtid="{D5CDD505-2E9C-101B-9397-08002B2CF9AE}" pid="4" name="MSIP_Label_1dcdb823-1d44-435c-9b1f-7c8d85bbad06_Enabled">
    <vt:lpwstr>true</vt:lpwstr>
  </property>
  <property fmtid="{D5CDD505-2E9C-101B-9397-08002B2CF9AE}" pid="5" name="MSIP_Label_1dcdb823-1d44-435c-9b1f-7c8d85bbad06_SetDate">
    <vt:lpwstr>2023-07-24T01:20:58Z</vt:lpwstr>
  </property>
  <property fmtid="{D5CDD505-2E9C-101B-9397-08002B2CF9AE}" pid="6" name="MSIP_Label_1dcdb823-1d44-435c-9b1f-7c8d85bbad06_Method">
    <vt:lpwstr>Standard</vt:lpwstr>
  </property>
  <property fmtid="{D5CDD505-2E9C-101B-9397-08002B2CF9AE}" pid="7" name="MSIP_Label_1dcdb823-1d44-435c-9b1f-7c8d85bbad06_Name">
    <vt:lpwstr>Publico</vt:lpwstr>
  </property>
  <property fmtid="{D5CDD505-2E9C-101B-9397-08002B2CF9AE}" pid="8" name="MSIP_Label_1dcdb823-1d44-435c-9b1f-7c8d85bbad06_SiteId">
    <vt:lpwstr>af5d7ac6-4cdf-4034-a02d-b7ac4a5757f7</vt:lpwstr>
  </property>
  <property fmtid="{D5CDD505-2E9C-101B-9397-08002B2CF9AE}" pid="9" name="MSIP_Label_1dcdb823-1d44-435c-9b1f-7c8d85bbad06_ActionId">
    <vt:lpwstr>b78d263f-52fb-469d-91d1-bc13ab3ef927</vt:lpwstr>
  </property>
  <property fmtid="{D5CDD505-2E9C-101B-9397-08002B2CF9AE}" pid="10" name="MSIP_Label_1dcdb823-1d44-435c-9b1f-7c8d85bbad06_ContentBits">
    <vt:lpwstr>0</vt:lpwstr>
  </property>
</Properties>
</file>