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68B935" w14:textId="389F7CB1" w:rsidR="003F2C33" w:rsidRDefault="002255B5" w:rsidP="003F2C33">
      <w:pPr>
        <w:pStyle w:val="Heading1"/>
      </w:pPr>
      <w:bookmarkStart w:id="0" w:name="_GoBack"/>
      <w:bookmarkEnd w:id="0"/>
      <w:r>
        <w:t>Quindecemviri, Bull’s Blood, and t</w:t>
      </w:r>
      <w:r w:rsidR="002C0B08">
        <w:t>he Taurobolium</w:t>
      </w:r>
    </w:p>
    <w:p w14:paraId="404780A0" w14:textId="59A5BDA1" w:rsidR="00A13179" w:rsidRDefault="00ED3A32" w:rsidP="003F2C33">
      <w:pPr>
        <w:pStyle w:val="Heading2"/>
      </w:pPr>
      <w:r>
        <w:t>Taurobolium</w:t>
      </w:r>
    </w:p>
    <w:p w14:paraId="07565DF2" w14:textId="006D7A46" w:rsidR="00EC5F58" w:rsidRDefault="00CA7F56">
      <w:r>
        <w:t xml:space="preserve">This semester I worked as a research intern on the City of Rome project, investigating a Roman priesthood known as the </w:t>
      </w:r>
      <w:r>
        <w:rPr>
          <w:i/>
          <w:iCs/>
        </w:rPr>
        <w:t>quindecemviri</w:t>
      </w:r>
      <w:r>
        <w:t xml:space="preserve"> (the </w:t>
      </w:r>
      <w:r w:rsidR="0040530D">
        <w:t>‘</w:t>
      </w:r>
      <w:r>
        <w:t>fifteen men</w:t>
      </w:r>
      <w:r w:rsidR="0040530D">
        <w:t>’</w:t>
      </w:r>
      <w:r w:rsidR="00BC5E49">
        <w:t xml:space="preserve">, although they </w:t>
      </w:r>
      <w:proofErr w:type="gramStart"/>
      <w:r w:rsidR="00BC5E49">
        <w:t>actually numbered</w:t>
      </w:r>
      <w:proofErr w:type="gramEnd"/>
      <w:r w:rsidR="00BC5E49">
        <w:t xml:space="preserve"> </w:t>
      </w:r>
      <w:r w:rsidR="002718D5">
        <w:t xml:space="preserve">beyond </w:t>
      </w:r>
      <w:r w:rsidR="00BC5E49">
        <w:t>sixteen by the imperial period</w:t>
      </w:r>
      <w:r>
        <w:t>). These priests</w:t>
      </w:r>
      <w:r w:rsidR="0032425D">
        <w:t xml:space="preserve"> were responsible for </w:t>
      </w:r>
      <w:r w:rsidR="00EC5F58" w:rsidRPr="00EC5F58">
        <w:t xml:space="preserve">overseeing the centennial </w:t>
      </w:r>
      <w:proofErr w:type="spellStart"/>
      <w:r w:rsidR="00E84FB8">
        <w:rPr>
          <w:i/>
          <w:iCs/>
        </w:rPr>
        <w:t>ludi</w:t>
      </w:r>
      <w:proofErr w:type="spellEnd"/>
      <w:r w:rsidR="00E84FB8">
        <w:rPr>
          <w:i/>
          <w:iCs/>
        </w:rPr>
        <w:t xml:space="preserve"> </w:t>
      </w:r>
      <w:proofErr w:type="spellStart"/>
      <w:r w:rsidR="00E84FB8">
        <w:rPr>
          <w:i/>
          <w:iCs/>
        </w:rPr>
        <w:t>saeculares</w:t>
      </w:r>
      <w:proofErr w:type="spellEnd"/>
      <w:r w:rsidR="00EC5F58" w:rsidRPr="00EC5F58">
        <w:t xml:space="preserve"> festival, certifying foreign cults, and guarding and interpreting the Sibylline Oracles (Montgomery 2012: 451, Gordon 1990: 245, Parke 1988: 139</w:t>
      </w:r>
      <w:r w:rsidR="00F24A34">
        <w:t>; Beard 1990: 19-21</w:t>
      </w:r>
      <w:r w:rsidR="00EC5F58" w:rsidRPr="00EC5F58">
        <w:t>)</w:t>
      </w:r>
      <w:r w:rsidR="00EC5F58">
        <w:t xml:space="preserve">. </w:t>
      </w:r>
    </w:p>
    <w:p w14:paraId="121E4DD3" w14:textId="0E03010E" w:rsidR="00ED3A32" w:rsidRDefault="00067159">
      <w:r>
        <w:t xml:space="preserve">One of the most interesting topics that arose during my research into these priests </w:t>
      </w:r>
      <w:r w:rsidR="00422368">
        <w:t xml:space="preserve">was the </w:t>
      </w:r>
      <w:r w:rsidR="00422368">
        <w:rPr>
          <w:i/>
          <w:iCs/>
        </w:rPr>
        <w:t xml:space="preserve">taurobolium </w:t>
      </w:r>
      <w:r w:rsidR="004132AA">
        <w:t xml:space="preserve">ritual. </w:t>
      </w:r>
      <w:r w:rsidR="008A33EA">
        <w:t xml:space="preserve">Seven of the twenty-nine </w:t>
      </w:r>
      <w:r w:rsidR="008A33EA">
        <w:rPr>
          <w:i/>
          <w:iCs/>
        </w:rPr>
        <w:t xml:space="preserve">quindecemvir </w:t>
      </w:r>
      <w:r w:rsidR="008A33EA">
        <w:t xml:space="preserve">inscriptions I studied this semester mentioned the </w:t>
      </w:r>
      <w:r w:rsidR="008A33EA">
        <w:rPr>
          <w:i/>
          <w:iCs/>
        </w:rPr>
        <w:t>taurobolium</w:t>
      </w:r>
      <w:r w:rsidR="00E51AEC">
        <w:t xml:space="preserve">. Of these, four also mentioned the </w:t>
      </w:r>
      <w:proofErr w:type="spellStart"/>
      <w:r w:rsidR="00E51AEC" w:rsidRPr="00E51AEC">
        <w:rPr>
          <w:i/>
          <w:iCs/>
        </w:rPr>
        <w:t>criobolium</w:t>
      </w:r>
      <w:proofErr w:type="spellEnd"/>
      <w:r w:rsidR="00E51AEC">
        <w:t xml:space="preserve">. </w:t>
      </w:r>
      <w:r w:rsidR="00BC5419">
        <w:t xml:space="preserve">Here is a typical example of </w:t>
      </w:r>
      <w:r w:rsidR="003252C2">
        <w:t xml:space="preserve">an inscriptions describing a </w:t>
      </w:r>
      <w:r w:rsidR="003252C2">
        <w:rPr>
          <w:i/>
          <w:iCs/>
        </w:rPr>
        <w:t xml:space="preserve">quindecemvir </w:t>
      </w:r>
      <w:r w:rsidR="00C134B3">
        <w:t>carrying out</w:t>
      </w:r>
      <w:r w:rsidR="00735549">
        <w:t xml:space="preserve"> </w:t>
      </w:r>
      <w:r w:rsidR="00735549">
        <w:rPr>
          <w:i/>
          <w:iCs/>
        </w:rPr>
        <w:t xml:space="preserve">taurobolium </w:t>
      </w:r>
      <w:r w:rsidR="00735549">
        <w:t xml:space="preserve">and </w:t>
      </w:r>
      <w:proofErr w:type="spellStart"/>
      <w:r w:rsidR="00735549">
        <w:rPr>
          <w:i/>
          <w:iCs/>
        </w:rPr>
        <w:t>criobolium</w:t>
      </w:r>
      <w:proofErr w:type="spellEnd"/>
      <w:r w:rsidR="00735549">
        <w:t>:</w:t>
      </w:r>
    </w:p>
    <w:p w14:paraId="1705FC2A" w14:textId="2773F40D" w:rsidR="00735549" w:rsidRPr="001C7A91" w:rsidRDefault="001C7A91">
      <w:r>
        <w:t>“</w:t>
      </w:r>
      <w:r w:rsidR="00AE7E6A">
        <w:rPr>
          <w:i/>
          <w:iCs/>
        </w:rPr>
        <w:t xml:space="preserve">... </w:t>
      </w:r>
      <w:r w:rsidR="00853556" w:rsidRPr="00853556">
        <w:rPr>
          <w:i/>
          <w:iCs/>
          <w:noProof/>
        </w:rPr>
        <w:t xml:space="preserve">Clodius Hermogenianus Caesarius, a most distinguished man, proconsul of Africa, prefect of the city of Rome, </w:t>
      </w:r>
      <w:r w:rsidR="000565F5">
        <w:rPr>
          <w:i/>
          <w:iCs/>
          <w:noProof/>
        </w:rPr>
        <w:t>quindecemvir</w:t>
      </w:r>
      <w:r w:rsidR="00853556" w:rsidRPr="00853556">
        <w:rPr>
          <w:i/>
          <w:iCs/>
          <w:noProof/>
        </w:rPr>
        <w:t xml:space="preserve"> sacris faciundis, having carried out taurobolium and criobolium </w:t>
      </w:r>
      <w:r w:rsidR="00274E7E">
        <w:rPr>
          <w:i/>
          <w:iCs/>
          <w:noProof/>
        </w:rPr>
        <w:t>fourteen</w:t>
      </w:r>
      <w:r w:rsidR="00853556" w:rsidRPr="00853556">
        <w:rPr>
          <w:i/>
          <w:iCs/>
          <w:noProof/>
        </w:rPr>
        <w:t xml:space="preserve"> </w:t>
      </w:r>
      <w:r w:rsidR="00A43D05">
        <w:rPr>
          <w:i/>
          <w:iCs/>
          <w:noProof/>
        </w:rPr>
        <w:t>[</w:t>
      </w:r>
      <w:r w:rsidR="00853556" w:rsidRPr="00853556">
        <w:rPr>
          <w:i/>
          <w:iCs/>
          <w:noProof/>
        </w:rPr>
        <w:t>days before</w:t>
      </w:r>
      <w:r w:rsidR="00A43D05">
        <w:rPr>
          <w:i/>
          <w:iCs/>
          <w:noProof/>
        </w:rPr>
        <w:t>]</w:t>
      </w:r>
      <w:r w:rsidR="00853556" w:rsidRPr="00853556">
        <w:rPr>
          <w:i/>
          <w:iCs/>
          <w:noProof/>
        </w:rPr>
        <w:t xml:space="preserve"> </w:t>
      </w:r>
      <w:r w:rsidR="00A43D05">
        <w:rPr>
          <w:i/>
          <w:iCs/>
          <w:noProof/>
        </w:rPr>
        <w:t xml:space="preserve">the </w:t>
      </w:r>
      <w:r w:rsidR="00853556" w:rsidRPr="00853556">
        <w:rPr>
          <w:i/>
          <w:iCs/>
          <w:noProof/>
        </w:rPr>
        <w:t>Kalends of August [19</w:t>
      </w:r>
      <w:r w:rsidR="00853556" w:rsidRPr="00853556">
        <w:rPr>
          <w:i/>
          <w:iCs/>
          <w:noProof/>
          <w:vertAlign w:val="superscript"/>
        </w:rPr>
        <w:t>th</w:t>
      </w:r>
      <w:r w:rsidR="00853556" w:rsidRPr="00853556">
        <w:rPr>
          <w:i/>
          <w:iCs/>
          <w:noProof/>
        </w:rPr>
        <w:t xml:space="preserve"> July 374], for the divinities of the air, and by the guardian of his own mind, the altar spoke by our lord Gratianus Augustus</w:t>
      </w:r>
      <w:r w:rsidR="005B7E73">
        <w:rPr>
          <w:i/>
          <w:iCs/>
          <w:noProof/>
        </w:rPr>
        <w:t>,</w:t>
      </w:r>
      <w:r w:rsidR="00853556" w:rsidRPr="00853556">
        <w:rPr>
          <w:i/>
          <w:iCs/>
          <w:noProof/>
        </w:rPr>
        <w:t xml:space="preserve"> the third</w:t>
      </w:r>
      <w:r w:rsidR="005B7E73">
        <w:rPr>
          <w:i/>
          <w:iCs/>
          <w:noProof/>
        </w:rPr>
        <w:t>,</w:t>
      </w:r>
      <w:r w:rsidR="00853556" w:rsidRPr="00853556">
        <w:rPr>
          <w:i/>
          <w:iCs/>
          <w:noProof/>
        </w:rPr>
        <w:t xml:space="preserve"> and </w:t>
      </w:r>
      <w:r w:rsidR="001C1193" w:rsidRPr="00853556">
        <w:rPr>
          <w:i/>
          <w:iCs/>
          <w:noProof/>
        </w:rPr>
        <w:t>Flavius Aequitius</w:t>
      </w:r>
      <w:r w:rsidR="001C1193">
        <w:rPr>
          <w:i/>
          <w:iCs/>
          <w:noProof/>
        </w:rPr>
        <w:t xml:space="preserve">, </w:t>
      </w:r>
      <w:r w:rsidR="00853556" w:rsidRPr="00853556">
        <w:rPr>
          <w:i/>
          <w:iCs/>
          <w:noProof/>
        </w:rPr>
        <w:t>the consuls.</w:t>
      </w:r>
      <w:r>
        <w:rPr>
          <w:noProof/>
        </w:rPr>
        <w:t>”</w:t>
      </w:r>
    </w:p>
    <w:p w14:paraId="49AC8FFD" w14:textId="14844C86" w:rsidR="00735549" w:rsidRDefault="009342C6">
      <w:r>
        <w:t>(</w:t>
      </w:r>
      <w:r w:rsidRPr="00AF73E7">
        <w:rPr>
          <w:i/>
          <w:iCs/>
        </w:rPr>
        <w:t xml:space="preserve">Corpus </w:t>
      </w:r>
      <w:proofErr w:type="spellStart"/>
      <w:r w:rsidRPr="00AF73E7">
        <w:rPr>
          <w:i/>
          <w:iCs/>
        </w:rPr>
        <w:t>Inscriptionum</w:t>
      </w:r>
      <w:proofErr w:type="spellEnd"/>
      <w:r w:rsidRPr="00AF73E7">
        <w:rPr>
          <w:i/>
          <w:iCs/>
        </w:rPr>
        <w:t xml:space="preserve"> </w:t>
      </w:r>
      <w:proofErr w:type="spellStart"/>
      <w:r w:rsidRPr="00AF73E7">
        <w:rPr>
          <w:i/>
          <w:iCs/>
        </w:rPr>
        <w:t>Latinarum</w:t>
      </w:r>
      <w:proofErr w:type="spellEnd"/>
      <w:r w:rsidRPr="00AF73E7">
        <w:rPr>
          <w:i/>
          <w:iCs/>
        </w:rPr>
        <w:t xml:space="preserve"> </w:t>
      </w:r>
      <w:r w:rsidR="0059622B" w:rsidRPr="00AF73E7">
        <w:t>VI 499</w:t>
      </w:r>
      <w:r w:rsidRPr="00AF73E7">
        <w:t>)</w:t>
      </w:r>
    </w:p>
    <w:p w14:paraId="4FA33A14" w14:textId="06F5D23C" w:rsidR="003603A2" w:rsidRDefault="002F4207" w:rsidP="009D5683">
      <w:r>
        <w:t xml:space="preserve">But what exactly is the </w:t>
      </w:r>
      <w:r>
        <w:rPr>
          <w:i/>
          <w:iCs/>
        </w:rPr>
        <w:t>taurobolium</w:t>
      </w:r>
      <w:r>
        <w:t xml:space="preserve">, and what significance did it hold for its ancient practitioners? The first clue </w:t>
      </w:r>
      <w:r w:rsidR="003D22C4">
        <w:t xml:space="preserve">is in the name: </w:t>
      </w:r>
      <w:proofErr w:type="spellStart"/>
      <w:r w:rsidR="003D22C4">
        <w:rPr>
          <w:i/>
          <w:iCs/>
        </w:rPr>
        <w:t>taurus</w:t>
      </w:r>
      <w:proofErr w:type="spellEnd"/>
      <w:r w:rsidR="003D22C4">
        <w:rPr>
          <w:i/>
          <w:iCs/>
        </w:rPr>
        <w:t xml:space="preserve"> </w:t>
      </w:r>
      <w:r w:rsidR="003D22C4">
        <w:t xml:space="preserve">means </w:t>
      </w:r>
      <w:r w:rsidR="0040530D">
        <w:t>‘bull’</w:t>
      </w:r>
      <w:r w:rsidR="00B566DF">
        <w:t xml:space="preserve"> or ‘ox’</w:t>
      </w:r>
      <w:r w:rsidR="0040530D">
        <w:t xml:space="preserve"> in Latin, </w:t>
      </w:r>
      <w:r w:rsidR="0001630D">
        <w:t xml:space="preserve">so it doesn’t take much of stretch to </w:t>
      </w:r>
      <w:r w:rsidR="00157948">
        <w:t>infer</w:t>
      </w:r>
      <w:r w:rsidR="0001630D">
        <w:t xml:space="preserve"> that the taurobolium is an example of the Roman </w:t>
      </w:r>
      <w:r w:rsidR="00C816E2">
        <w:t>tradition of religious animal sacrifice</w:t>
      </w:r>
      <w:r w:rsidR="008123F7" w:rsidRPr="008C5672">
        <w:t>.</w:t>
      </w:r>
      <w:r w:rsidR="009D5683" w:rsidRPr="008C5672">
        <w:t xml:space="preserve"> </w:t>
      </w:r>
      <w:r w:rsidR="00DF37DD" w:rsidRPr="008C5672">
        <w:t xml:space="preserve">This is reinforced by the existence of </w:t>
      </w:r>
      <w:r w:rsidR="00D95632" w:rsidRPr="008C5672">
        <w:t>several</w:t>
      </w:r>
      <w:r w:rsidR="00DF37DD" w:rsidRPr="008C5672">
        <w:t xml:space="preserve"> extant sacrificial altars bearing bovine iconography </w:t>
      </w:r>
      <w:r w:rsidR="00D95632" w:rsidRPr="008C5672">
        <w:t xml:space="preserve">which were used in the ritual </w:t>
      </w:r>
      <w:r w:rsidR="00DF37DD" w:rsidRPr="008C5672">
        <w:t xml:space="preserve">(fig. 1). </w:t>
      </w:r>
      <w:r w:rsidR="0029155D" w:rsidRPr="008C5672">
        <w:t xml:space="preserve">The </w:t>
      </w:r>
      <w:r w:rsidR="00DB536A" w:rsidRPr="008C5672">
        <w:t xml:space="preserve">fourth and fifth century </w:t>
      </w:r>
      <w:r w:rsidR="0029155D" w:rsidRPr="008C5672">
        <w:t>Christ</w:t>
      </w:r>
      <w:r w:rsidR="00765D6A" w:rsidRPr="008C5672">
        <w:t xml:space="preserve">ian apologist </w:t>
      </w:r>
      <w:proofErr w:type="spellStart"/>
      <w:r w:rsidR="00765D6A" w:rsidRPr="008C5672">
        <w:t>Prudentius</w:t>
      </w:r>
      <w:proofErr w:type="spellEnd"/>
      <w:r w:rsidR="00765D6A" w:rsidRPr="008C5672">
        <w:t xml:space="preserve"> </w:t>
      </w:r>
      <w:r w:rsidR="000963D8">
        <w:t xml:space="preserve">provides a </w:t>
      </w:r>
      <w:r w:rsidR="0091184F">
        <w:t>detailed description</w:t>
      </w:r>
      <w:r w:rsidR="000963D8">
        <w:t xml:space="preserve"> of </w:t>
      </w:r>
      <w:r w:rsidR="00BF3128">
        <w:t xml:space="preserve">what is almost certainly </w:t>
      </w:r>
      <w:r w:rsidR="000963D8">
        <w:t xml:space="preserve">the </w:t>
      </w:r>
      <w:r w:rsidR="000963D8">
        <w:rPr>
          <w:i/>
          <w:iCs/>
        </w:rPr>
        <w:t xml:space="preserve">taurobolium </w:t>
      </w:r>
      <w:r w:rsidR="000963D8">
        <w:t>ritual</w:t>
      </w:r>
      <w:r w:rsidR="00103B27">
        <w:t>,</w:t>
      </w:r>
      <w:r w:rsidR="009739D3">
        <w:t xml:space="preserve"> </w:t>
      </w:r>
      <w:r w:rsidR="00BF3128">
        <w:t>though he doesn’t refer to it by name. T</w:t>
      </w:r>
      <w:r w:rsidR="00827E26">
        <w:t xml:space="preserve">he </w:t>
      </w:r>
      <w:r w:rsidR="00270777">
        <w:t xml:space="preserve">graphic </w:t>
      </w:r>
      <w:r w:rsidR="00956AED">
        <w:t xml:space="preserve">nature </w:t>
      </w:r>
      <w:r w:rsidR="00827E26">
        <w:t xml:space="preserve">of his </w:t>
      </w:r>
      <w:r w:rsidR="0091184F">
        <w:t>narration</w:t>
      </w:r>
      <w:r w:rsidR="00827E26">
        <w:t xml:space="preserve"> may be partly attributed to his </w:t>
      </w:r>
      <w:r w:rsidR="00B279EF">
        <w:t>strong personal views on paganism</w:t>
      </w:r>
      <w:r w:rsidR="00827B47">
        <w:t>:</w:t>
      </w:r>
    </w:p>
    <w:p w14:paraId="76AA3E31" w14:textId="4E8042C7" w:rsidR="00BB3345" w:rsidRDefault="00A76B5B" w:rsidP="003A1DC6">
      <w:r>
        <w:t>“</w:t>
      </w:r>
      <w:r w:rsidR="003A1DC6" w:rsidRPr="005A7EC3">
        <w:rPr>
          <w:i/>
          <w:iCs/>
        </w:rPr>
        <w:t>The high priest, you know, goes down into a trench dug deep in the ground to be made holy ... Above him they lay planks to make a stage ... When the beast for sacrifice has been stationed here, they cut his breast open with a consecrated hunting-spear and the great wound disgorges a stream of hot blood, pouring on the plank-bridge below a steaming river which spreads billowing out. Then through the many ways afforded by the thousand chinks it passes in a shower, dripping a foul rain, and the priest in the pit below catches it, holding his filthy head to meet every drop and getting his robe and his whole body covered with corruption ...</w:t>
      </w:r>
      <w:r>
        <w:t>”</w:t>
      </w:r>
    </w:p>
    <w:p w14:paraId="0161A596" w14:textId="2900C5A0" w:rsidR="00BB3345" w:rsidRDefault="00BB3345" w:rsidP="0034266E">
      <w:r>
        <w:t>(</w:t>
      </w:r>
      <w:proofErr w:type="spellStart"/>
      <w:r w:rsidR="00AF73E7">
        <w:fldChar w:fldCharType="begin"/>
      </w:r>
      <w:r w:rsidR="00AF73E7">
        <w:instrText xml:space="preserve"> HYPERLINK "http://www.thelatinlibrary.com/prudentius/prud10.shtml" </w:instrText>
      </w:r>
      <w:r w:rsidR="00AF73E7">
        <w:fldChar w:fldCharType="separate"/>
      </w:r>
      <w:r w:rsidRPr="00AF73E7">
        <w:rPr>
          <w:rStyle w:val="Hyperlink"/>
        </w:rPr>
        <w:t>Prudentius</w:t>
      </w:r>
      <w:proofErr w:type="spellEnd"/>
      <w:r w:rsidRPr="00AF73E7">
        <w:rPr>
          <w:rStyle w:val="Hyperlink"/>
        </w:rPr>
        <w:t xml:space="preserve"> </w:t>
      </w:r>
      <w:r w:rsidRPr="00AF73E7">
        <w:rPr>
          <w:rStyle w:val="Hyperlink"/>
          <w:i/>
          <w:iCs/>
        </w:rPr>
        <w:t xml:space="preserve">Crowns of Martyrdom </w:t>
      </w:r>
      <w:r w:rsidRPr="00AF73E7">
        <w:rPr>
          <w:rStyle w:val="Hyperlink"/>
        </w:rPr>
        <w:t>X 1005-1050</w:t>
      </w:r>
      <w:r w:rsidR="00751B42" w:rsidRPr="00AF73E7">
        <w:rPr>
          <w:rStyle w:val="Hyperlink"/>
        </w:rPr>
        <w:t>, Loeb trans.</w:t>
      </w:r>
      <w:r w:rsidR="00AF73E7">
        <w:fldChar w:fldCharType="end"/>
      </w:r>
      <w:r w:rsidRPr="00AF73E7">
        <w:t>)</w:t>
      </w:r>
    </w:p>
    <w:p w14:paraId="1D9A70A3" w14:textId="1E769E8A" w:rsidR="00F51436" w:rsidRPr="00AF73E7" w:rsidRDefault="005E0C3F" w:rsidP="00415BC7">
      <w:r>
        <w:t xml:space="preserve">The </w:t>
      </w:r>
      <w:r>
        <w:rPr>
          <w:i/>
          <w:iCs/>
        </w:rPr>
        <w:t>taurobolium</w:t>
      </w:r>
      <w:r>
        <w:t xml:space="preserve"> was </w:t>
      </w:r>
      <w:r w:rsidR="00641289">
        <w:t xml:space="preserve">closely </w:t>
      </w:r>
      <w:r>
        <w:t>connected with the cult</w:t>
      </w:r>
      <w:r w:rsidR="003F14C0">
        <w:t>s</w:t>
      </w:r>
      <w:r>
        <w:t xml:space="preserve"> of </w:t>
      </w:r>
      <w:r w:rsidR="003F14C0">
        <w:t>Attis</w:t>
      </w:r>
      <w:r>
        <w:t xml:space="preserve"> and </w:t>
      </w:r>
      <w:r w:rsidR="003F14C0">
        <w:t xml:space="preserve">particularly of </w:t>
      </w:r>
      <w:r>
        <w:t>Cybele/</w:t>
      </w:r>
      <w:r>
        <w:rPr>
          <w:i/>
          <w:iCs/>
        </w:rPr>
        <w:t>Magna Mate</w:t>
      </w:r>
      <w:r w:rsidRPr="000447C4">
        <w:rPr>
          <w:i/>
          <w:iCs/>
        </w:rPr>
        <w:t>r</w:t>
      </w:r>
      <w:r w:rsidR="00EB4EAF" w:rsidRPr="000447C4">
        <w:t xml:space="preserve">, </w:t>
      </w:r>
      <w:r w:rsidR="00EB4EAF" w:rsidRPr="008C5672">
        <w:t xml:space="preserve">the </w:t>
      </w:r>
      <w:r w:rsidRPr="008C5672">
        <w:t>‘Great Mother’</w:t>
      </w:r>
      <w:r w:rsidR="00EB4EAF" w:rsidRPr="008C5672">
        <w:t xml:space="preserve"> (fig. 2)</w:t>
      </w:r>
      <w:r w:rsidR="002468CF" w:rsidRPr="008C5672">
        <w:t>;</w:t>
      </w:r>
      <w:r w:rsidRPr="008C5672">
        <w:t xml:space="preserve"> </w:t>
      </w:r>
      <w:r w:rsidR="002468CF" w:rsidRPr="008C5672">
        <w:t>f</w:t>
      </w:r>
      <w:r w:rsidR="005B2C3C" w:rsidRPr="008C5672">
        <w:t>ive</w:t>
      </w:r>
      <w:r w:rsidRPr="008C5672">
        <w:t xml:space="preserve"> </w:t>
      </w:r>
      <w:r>
        <w:t xml:space="preserve">of the </w:t>
      </w:r>
      <w:r w:rsidR="002468CF">
        <w:t>twenty-three</w:t>
      </w:r>
      <w:r>
        <w:t xml:space="preserve"> </w:t>
      </w:r>
      <w:r>
        <w:rPr>
          <w:i/>
          <w:iCs/>
        </w:rPr>
        <w:t xml:space="preserve">quindecemviri </w:t>
      </w:r>
      <w:r>
        <w:t xml:space="preserve">in my study were also involved in the latter cult. </w:t>
      </w:r>
      <w:r w:rsidR="0034266E">
        <w:t>T</w:t>
      </w:r>
      <w:r w:rsidR="00981B71">
        <w:t>he</w:t>
      </w:r>
      <w:r w:rsidR="00C043B6">
        <w:t xml:space="preserve"> purpose </w:t>
      </w:r>
      <w:r w:rsidR="00981B71">
        <w:t xml:space="preserve">of the </w:t>
      </w:r>
      <w:r w:rsidR="00981B71">
        <w:rPr>
          <w:i/>
          <w:iCs/>
        </w:rPr>
        <w:t>taurobolium</w:t>
      </w:r>
      <w:r w:rsidR="00981B71">
        <w:t xml:space="preserve"> </w:t>
      </w:r>
      <w:r w:rsidR="005A1A8B">
        <w:t xml:space="preserve">is thought to have been the purification of </w:t>
      </w:r>
      <w:r w:rsidR="00C043B6">
        <w:t xml:space="preserve">an initiate of the </w:t>
      </w:r>
      <w:r w:rsidR="00C043B6" w:rsidRPr="008C5672">
        <w:rPr>
          <w:i/>
          <w:iCs/>
        </w:rPr>
        <w:t>Magna Mater</w:t>
      </w:r>
      <w:r w:rsidR="00C043B6">
        <w:t xml:space="preserve"> cult </w:t>
      </w:r>
      <w:r w:rsidR="00C043B6" w:rsidRPr="00AF73E7">
        <w:t>with the blood of the sacrificed ram</w:t>
      </w:r>
      <w:r w:rsidR="00CE2100" w:rsidRPr="00AF73E7">
        <w:t xml:space="preserve"> (</w:t>
      </w:r>
      <w:proofErr w:type="spellStart"/>
      <w:r w:rsidR="00CE2100" w:rsidRPr="00AF73E7">
        <w:t>Magie</w:t>
      </w:r>
      <w:proofErr w:type="spellEnd"/>
      <w:r w:rsidR="00CE2100" w:rsidRPr="00AF73E7">
        <w:t xml:space="preserve"> 1924: 119)</w:t>
      </w:r>
      <w:r w:rsidR="00C043B6" w:rsidRPr="00AF73E7">
        <w:t xml:space="preserve">. </w:t>
      </w:r>
      <w:r w:rsidR="00B953D3" w:rsidRPr="00AF73E7">
        <w:t xml:space="preserve">Some initiates chose to undertake </w:t>
      </w:r>
      <w:r w:rsidR="00B953D3" w:rsidRPr="00AF73E7">
        <w:rPr>
          <w:i/>
          <w:iCs/>
        </w:rPr>
        <w:t xml:space="preserve">taurobolium </w:t>
      </w:r>
      <w:r w:rsidR="00B953D3" w:rsidRPr="00AF73E7">
        <w:t>on their birthdays to emphasise the importance of the transition (</w:t>
      </w:r>
      <w:r w:rsidR="00B953D3" w:rsidRPr="00AF73E7">
        <w:rPr>
          <w:i/>
          <w:iCs/>
        </w:rPr>
        <w:t xml:space="preserve">CIL </w:t>
      </w:r>
      <w:r w:rsidR="00B953D3" w:rsidRPr="00AF73E7">
        <w:t>II 5260</w:t>
      </w:r>
      <w:r w:rsidR="00995BA1" w:rsidRPr="00AF73E7">
        <w:t>,</w:t>
      </w:r>
      <w:r w:rsidR="00AB3213" w:rsidRPr="00AF73E7">
        <w:t xml:space="preserve"> XIII </w:t>
      </w:r>
      <w:proofErr w:type="gramStart"/>
      <w:r w:rsidR="00AB3213" w:rsidRPr="00AF73E7">
        <w:t xml:space="preserve">573; </w:t>
      </w:r>
      <w:r w:rsidR="00995BA1" w:rsidRPr="00AF73E7">
        <w:t xml:space="preserve"> </w:t>
      </w:r>
      <w:proofErr w:type="spellStart"/>
      <w:r w:rsidR="00995BA1" w:rsidRPr="00AF73E7">
        <w:rPr>
          <w:i/>
          <w:iCs/>
        </w:rPr>
        <w:t>Ann</w:t>
      </w:r>
      <w:r w:rsidR="00995BA1" w:rsidRPr="00AF73E7">
        <w:rPr>
          <w:rFonts w:cstheme="minorHAnsi"/>
          <w:i/>
          <w:iCs/>
        </w:rPr>
        <w:t>é</w:t>
      </w:r>
      <w:proofErr w:type="spellEnd"/>
      <w:proofErr w:type="gramEnd"/>
      <w:r w:rsidR="00995BA1" w:rsidRPr="00AF73E7">
        <w:rPr>
          <w:i/>
          <w:iCs/>
        </w:rPr>
        <w:t xml:space="preserve"> </w:t>
      </w:r>
      <w:proofErr w:type="spellStart"/>
      <w:r w:rsidR="00995BA1" w:rsidRPr="00AF73E7">
        <w:rPr>
          <w:rFonts w:cstheme="minorHAnsi"/>
          <w:i/>
          <w:iCs/>
        </w:rPr>
        <w:t>É</w:t>
      </w:r>
      <w:r w:rsidR="00995BA1" w:rsidRPr="00AF73E7">
        <w:rPr>
          <w:i/>
          <w:iCs/>
        </w:rPr>
        <w:t>pigraphique</w:t>
      </w:r>
      <w:proofErr w:type="spellEnd"/>
      <w:r w:rsidR="00995BA1" w:rsidRPr="00AF73E7">
        <w:rPr>
          <w:i/>
          <w:iCs/>
        </w:rPr>
        <w:t xml:space="preserve"> </w:t>
      </w:r>
      <w:r w:rsidR="00995BA1" w:rsidRPr="00AF73E7">
        <w:t>1956 #255</w:t>
      </w:r>
      <w:r w:rsidR="00B953D3" w:rsidRPr="00AF73E7">
        <w:t xml:space="preserve">). </w:t>
      </w:r>
      <w:r w:rsidR="00BF6C9E" w:rsidRPr="00AF73E7">
        <w:t xml:space="preserve">One </w:t>
      </w:r>
      <w:r w:rsidR="00FF02AD" w:rsidRPr="00AF73E7">
        <w:rPr>
          <w:i/>
          <w:iCs/>
        </w:rPr>
        <w:t xml:space="preserve">taurobolium </w:t>
      </w:r>
      <w:r w:rsidR="00FF02AD" w:rsidRPr="00AF73E7">
        <w:t xml:space="preserve">inscription containing the phrase </w:t>
      </w:r>
      <w:r w:rsidR="00522659" w:rsidRPr="00AF73E7">
        <w:rPr>
          <w:i/>
          <w:iCs/>
        </w:rPr>
        <w:t xml:space="preserve">in </w:t>
      </w:r>
      <w:proofErr w:type="spellStart"/>
      <w:r w:rsidR="00522659" w:rsidRPr="00AF73E7">
        <w:rPr>
          <w:i/>
          <w:iCs/>
        </w:rPr>
        <w:t>aeternum</w:t>
      </w:r>
      <w:proofErr w:type="spellEnd"/>
      <w:r w:rsidR="00522659" w:rsidRPr="00AF73E7">
        <w:rPr>
          <w:i/>
          <w:iCs/>
        </w:rPr>
        <w:t xml:space="preserve"> </w:t>
      </w:r>
      <w:proofErr w:type="spellStart"/>
      <w:r w:rsidR="00522659" w:rsidRPr="00AF73E7">
        <w:rPr>
          <w:i/>
          <w:iCs/>
        </w:rPr>
        <w:t>renatus</w:t>
      </w:r>
      <w:proofErr w:type="spellEnd"/>
      <w:r w:rsidR="00522659" w:rsidRPr="00AF73E7">
        <w:t xml:space="preserve"> </w:t>
      </w:r>
      <w:r w:rsidR="00B64D37" w:rsidRPr="00AF73E7">
        <w:t>(</w:t>
      </w:r>
      <w:r w:rsidR="00FF02AD" w:rsidRPr="00AF73E7">
        <w:t>“reborn forever”</w:t>
      </w:r>
      <w:r w:rsidR="00B64D37" w:rsidRPr="00AF73E7">
        <w:t xml:space="preserve">; </w:t>
      </w:r>
      <w:r w:rsidR="00B64D37" w:rsidRPr="00AF73E7">
        <w:rPr>
          <w:i/>
          <w:iCs/>
        </w:rPr>
        <w:t xml:space="preserve">CIL </w:t>
      </w:r>
      <w:r w:rsidR="00B64D37" w:rsidRPr="00AF73E7">
        <w:t>VI 510</w:t>
      </w:r>
      <w:r w:rsidR="007B4B27" w:rsidRPr="00AF73E7">
        <w:t xml:space="preserve">, c.f. </w:t>
      </w:r>
      <w:r w:rsidR="007B4B27" w:rsidRPr="00AF73E7">
        <w:rPr>
          <w:i/>
          <w:iCs/>
        </w:rPr>
        <w:t xml:space="preserve">CIL </w:t>
      </w:r>
      <w:r w:rsidR="007B4B27" w:rsidRPr="00AF73E7">
        <w:t>V 6961-2</w:t>
      </w:r>
      <w:r w:rsidR="00B64D37" w:rsidRPr="00AF73E7">
        <w:t>)</w:t>
      </w:r>
      <w:r w:rsidR="00FF02AD" w:rsidRPr="00AF73E7">
        <w:t xml:space="preserve"> may even suggest that the ritual was thought to </w:t>
      </w:r>
      <w:r w:rsidR="00055AF4" w:rsidRPr="00AF73E7">
        <w:t>guarantee a blessed afterlife</w:t>
      </w:r>
      <w:r w:rsidR="009F7FC6" w:rsidRPr="00AF73E7">
        <w:t xml:space="preserve"> (Forsythe 2012: 79)</w:t>
      </w:r>
      <w:r w:rsidR="00055AF4" w:rsidRPr="00AF73E7">
        <w:t>.</w:t>
      </w:r>
      <w:r w:rsidR="00F51436" w:rsidRPr="00AF73E7">
        <w:t xml:space="preserve"> </w:t>
      </w:r>
      <w:r w:rsidR="00A061D0" w:rsidRPr="00AF73E7">
        <w:t>However, c</w:t>
      </w:r>
      <w:r w:rsidR="00A91BFB" w:rsidRPr="00AF73E7">
        <w:t xml:space="preserve">ontrary to the notion </w:t>
      </w:r>
      <w:r w:rsidR="002A1AAD" w:rsidRPr="00AF73E7">
        <w:t>of a</w:t>
      </w:r>
      <w:r w:rsidR="00A91BFB" w:rsidRPr="00AF73E7">
        <w:t xml:space="preserve"> single, definitive moment of transition, </w:t>
      </w:r>
      <w:r w:rsidR="0056779D" w:rsidRPr="00AF73E7">
        <w:t xml:space="preserve">some Romans undertook the </w:t>
      </w:r>
      <w:r w:rsidR="0056779D" w:rsidRPr="00AF73E7">
        <w:lastRenderedPageBreak/>
        <w:t>taurobolium more than once</w:t>
      </w:r>
      <w:r w:rsidR="00991D2E" w:rsidRPr="00AF73E7">
        <w:t>: twenty years seems to have been a popular interval (</w:t>
      </w:r>
      <w:r w:rsidR="00991D2E" w:rsidRPr="00AF73E7">
        <w:rPr>
          <w:i/>
          <w:iCs/>
        </w:rPr>
        <w:t xml:space="preserve">CIL </w:t>
      </w:r>
      <w:r w:rsidR="00991D2E" w:rsidRPr="00AF73E7">
        <w:t xml:space="preserve">X 1596, </w:t>
      </w:r>
      <w:r w:rsidR="00700394" w:rsidRPr="00AF73E7">
        <w:t xml:space="preserve">VI 502, </w:t>
      </w:r>
      <w:r w:rsidR="00285FB5" w:rsidRPr="00AF73E7">
        <w:t xml:space="preserve">VI 504, </w:t>
      </w:r>
      <w:r w:rsidR="00700394" w:rsidRPr="00AF73E7">
        <w:t>VI 512</w:t>
      </w:r>
      <w:r w:rsidR="00991D2E" w:rsidRPr="00AF73E7">
        <w:t xml:space="preserve">). </w:t>
      </w:r>
      <w:r w:rsidR="00F51436" w:rsidRPr="00AF73E7">
        <w:t xml:space="preserve">Some inscriptions also suggest that </w:t>
      </w:r>
      <w:r w:rsidR="0000542C" w:rsidRPr="00AF73E7">
        <w:t xml:space="preserve">one could perform </w:t>
      </w:r>
      <w:r w:rsidR="00F51436" w:rsidRPr="00AF73E7">
        <w:rPr>
          <w:i/>
          <w:iCs/>
        </w:rPr>
        <w:t xml:space="preserve">taurobolium </w:t>
      </w:r>
      <w:r w:rsidR="00F51436" w:rsidRPr="00AF73E7">
        <w:t>on behalf of a whole community rather than a single individual</w:t>
      </w:r>
      <w:r w:rsidR="00034077" w:rsidRPr="00AF73E7">
        <w:t>, and there is some evidence that the imperial government offered incentives for the wealthy to do so</w:t>
      </w:r>
      <w:r w:rsidR="009168AD" w:rsidRPr="00AF73E7">
        <w:t xml:space="preserve"> (</w:t>
      </w:r>
      <w:r w:rsidR="00AB4B49" w:rsidRPr="00AF73E7">
        <w:rPr>
          <w:i/>
          <w:iCs/>
        </w:rPr>
        <w:t xml:space="preserve">CIL </w:t>
      </w:r>
      <w:r w:rsidR="00AB4B49" w:rsidRPr="00AF73E7">
        <w:t xml:space="preserve">VIII.8203, </w:t>
      </w:r>
      <w:proofErr w:type="spellStart"/>
      <w:r w:rsidR="00AB4B49" w:rsidRPr="00AF73E7">
        <w:rPr>
          <w:i/>
          <w:iCs/>
        </w:rPr>
        <w:t>Fragmenta</w:t>
      </w:r>
      <w:proofErr w:type="spellEnd"/>
      <w:r w:rsidR="00AB4B49" w:rsidRPr="00AF73E7">
        <w:rPr>
          <w:i/>
          <w:iCs/>
        </w:rPr>
        <w:t xml:space="preserve"> </w:t>
      </w:r>
      <w:proofErr w:type="spellStart"/>
      <w:r w:rsidR="00AB4B49" w:rsidRPr="00AF73E7">
        <w:rPr>
          <w:i/>
          <w:iCs/>
        </w:rPr>
        <w:t>Vaticana</w:t>
      </w:r>
      <w:proofErr w:type="spellEnd"/>
      <w:r w:rsidR="00AB4B49" w:rsidRPr="00AF73E7">
        <w:rPr>
          <w:i/>
          <w:iCs/>
        </w:rPr>
        <w:t xml:space="preserve"> </w:t>
      </w:r>
      <w:r w:rsidR="00AB4B49" w:rsidRPr="00AF73E7">
        <w:t xml:space="preserve">s.148, </w:t>
      </w:r>
      <w:r w:rsidR="009168AD" w:rsidRPr="00AF73E7">
        <w:t>Forsyth 2012: 104-5)</w:t>
      </w:r>
      <w:r w:rsidR="00034077" w:rsidRPr="00AF73E7">
        <w:t>.</w:t>
      </w:r>
    </w:p>
    <w:p w14:paraId="5D3C7D67" w14:textId="3AA96C49" w:rsidR="00FF5E74" w:rsidRDefault="005179E3" w:rsidP="00415BC7">
      <w:r w:rsidRPr="00AF73E7">
        <w:t xml:space="preserve">Unfortunately, </w:t>
      </w:r>
      <w:r w:rsidR="00DA7CD2" w:rsidRPr="00AF73E7">
        <w:t xml:space="preserve">the </w:t>
      </w:r>
      <w:r w:rsidR="00DA7CD2" w:rsidRPr="008C5672">
        <w:rPr>
          <w:i/>
          <w:iCs/>
        </w:rPr>
        <w:t>Magna Mater</w:t>
      </w:r>
      <w:r w:rsidR="00DA7CD2" w:rsidRPr="00AF73E7">
        <w:t xml:space="preserve"> cult’s </w:t>
      </w:r>
      <w:r w:rsidR="00E435FD">
        <w:t>in</w:t>
      </w:r>
      <w:r w:rsidR="00DA7CD2">
        <w:t>famous secrecy has caused the details of its beliefs and practices to be largely lost to history (</w:t>
      </w:r>
      <w:r w:rsidR="0062338E">
        <w:t>Forsythe 2012: 78</w:t>
      </w:r>
      <w:r w:rsidR="00DA7CD2">
        <w:t>)</w:t>
      </w:r>
      <w:r w:rsidR="00285076">
        <w:t xml:space="preserve">, although it is thought to have been brought to Rome </w:t>
      </w:r>
      <w:r w:rsidR="00871525">
        <w:t xml:space="preserve">from Asia Minor </w:t>
      </w:r>
      <w:r w:rsidR="00285076">
        <w:t xml:space="preserve">in 205 BCE </w:t>
      </w:r>
      <w:r w:rsidR="000B69B2">
        <w:t xml:space="preserve">on the advice of the </w:t>
      </w:r>
      <w:r w:rsidR="000B69B2">
        <w:rPr>
          <w:i/>
          <w:iCs/>
        </w:rPr>
        <w:t xml:space="preserve">quindecemviri </w:t>
      </w:r>
      <w:r w:rsidR="00871525">
        <w:t xml:space="preserve">– or </w:t>
      </w:r>
      <w:proofErr w:type="spellStart"/>
      <w:r w:rsidR="00871525">
        <w:rPr>
          <w:i/>
          <w:iCs/>
        </w:rPr>
        <w:t>decemviri</w:t>
      </w:r>
      <w:proofErr w:type="spellEnd"/>
      <w:r w:rsidR="00871525">
        <w:rPr>
          <w:i/>
          <w:iCs/>
        </w:rPr>
        <w:t xml:space="preserve"> </w:t>
      </w:r>
      <w:r w:rsidR="00871525">
        <w:t>(“ten men”) as they were then called (</w:t>
      </w:r>
      <w:hyperlink r:id="rId4" w:history="1">
        <w:r w:rsidR="00BA60B3" w:rsidRPr="00D659A0">
          <w:rPr>
            <w:rStyle w:val="Hyperlink"/>
          </w:rPr>
          <w:t>Livy XXIX.</w:t>
        </w:r>
        <w:r w:rsidR="00527435" w:rsidRPr="00D659A0">
          <w:rPr>
            <w:rStyle w:val="Hyperlink"/>
          </w:rPr>
          <w:t>10.4-11.8</w:t>
        </w:r>
        <w:r w:rsidR="005E113A" w:rsidRPr="00D659A0">
          <w:rPr>
            <w:rStyle w:val="Hyperlink"/>
          </w:rPr>
          <w:t>, 14.1-4</w:t>
        </w:r>
      </w:hyperlink>
      <w:r w:rsidR="005E113A" w:rsidRPr="00AF73E7">
        <w:t xml:space="preserve">; </w:t>
      </w:r>
      <w:hyperlink r:id="rId5" w:history="1">
        <w:r w:rsidR="005E113A" w:rsidRPr="00AF73E7">
          <w:rPr>
            <w:rStyle w:val="Hyperlink"/>
          </w:rPr>
          <w:t xml:space="preserve">Ovid </w:t>
        </w:r>
        <w:proofErr w:type="spellStart"/>
        <w:r w:rsidR="005E113A" w:rsidRPr="00AF73E7">
          <w:rPr>
            <w:rStyle w:val="Hyperlink"/>
            <w:i/>
            <w:iCs/>
          </w:rPr>
          <w:t>Fasti</w:t>
        </w:r>
        <w:proofErr w:type="spellEnd"/>
        <w:r w:rsidR="005E113A" w:rsidRPr="00AF73E7">
          <w:rPr>
            <w:rStyle w:val="Hyperlink"/>
            <w:i/>
            <w:iCs/>
          </w:rPr>
          <w:t xml:space="preserve"> </w:t>
        </w:r>
        <w:r w:rsidR="005E113A" w:rsidRPr="00AF73E7">
          <w:rPr>
            <w:rStyle w:val="Hyperlink"/>
          </w:rPr>
          <w:t>IV.247-348</w:t>
        </w:r>
      </w:hyperlink>
      <w:r w:rsidR="00871525">
        <w:t>)</w:t>
      </w:r>
      <w:r w:rsidR="006A7A95">
        <w:t xml:space="preserve"> – who continued to oversee it throughout its history</w:t>
      </w:r>
      <w:r w:rsidR="00DA7CD2">
        <w:t>.</w:t>
      </w:r>
      <w:r w:rsidR="00EA1EA2">
        <w:t xml:space="preserve"> </w:t>
      </w:r>
      <w:r w:rsidR="009625B7">
        <w:t xml:space="preserve">The connection with </w:t>
      </w:r>
      <w:r w:rsidR="00C26290">
        <w:t>Anatolia</w:t>
      </w:r>
      <w:r w:rsidR="009625B7">
        <w:t xml:space="preserve"> may have fuelled its popularity by playing to the Romans’ belief in their Trojan ancestry (Forsyth 2012: 84-5). </w:t>
      </w:r>
      <w:r w:rsidR="00DD36E2">
        <w:t>The cult’s</w:t>
      </w:r>
      <w:r w:rsidR="00EA1EA2">
        <w:t xml:space="preserve"> popularity is attested by the existence of </w:t>
      </w:r>
      <w:r w:rsidR="00D5178A">
        <w:t xml:space="preserve">over one hundred </w:t>
      </w:r>
      <w:r w:rsidR="00EA1EA2">
        <w:t xml:space="preserve">inscriptions </w:t>
      </w:r>
      <w:r w:rsidR="00F31966">
        <w:t xml:space="preserve">recording </w:t>
      </w:r>
      <w:r w:rsidR="00F31966">
        <w:rPr>
          <w:i/>
          <w:iCs/>
        </w:rPr>
        <w:t xml:space="preserve">taurobolium </w:t>
      </w:r>
      <w:r w:rsidR="00D45823">
        <w:t xml:space="preserve">rituals, far beyond the </w:t>
      </w:r>
      <w:r w:rsidR="00C84255">
        <w:t xml:space="preserve">handful </w:t>
      </w:r>
      <w:r w:rsidR="00EE5DFA">
        <w:t>that</w:t>
      </w:r>
      <w:r w:rsidR="00C84255">
        <w:t xml:space="preserve"> happened to overlap with</w:t>
      </w:r>
      <w:r w:rsidR="00EE5DFA">
        <w:t xml:space="preserve"> the</w:t>
      </w:r>
      <w:r w:rsidR="00C84255">
        <w:t xml:space="preserve"> </w:t>
      </w:r>
      <w:r w:rsidR="00C84255">
        <w:rPr>
          <w:i/>
          <w:iCs/>
        </w:rPr>
        <w:t>quindecemviri</w:t>
      </w:r>
      <w:r w:rsidR="00F9104F">
        <w:t xml:space="preserve"> </w:t>
      </w:r>
      <w:r w:rsidR="00EE5DFA">
        <w:t>inscriptions in my study</w:t>
      </w:r>
      <w:r w:rsidR="00960633">
        <w:t xml:space="preserve"> </w:t>
      </w:r>
      <w:r w:rsidR="00F9104F">
        <w:t>(Forsythe 2012: 79)</w:t>
      </w:r>
      <w:r w:rsidR="00C84255">
        <w:t>.</w:t>
      </w:r>
    </w:p>
    <w:p w14:paraId="2F9C4702" w14:textId="61164D2D" w:rsidR="00ED3A32" w:rsidRDefault="00FF5E74" w:rsidP="00A81D41">
      <w:r>
        <w:t xml:space="preserve">Despite its apparent popularity, the </w:t>
      </w:r>
      <w:r>
        <w:rPr>
          <w:i/>
          <w:iCs/>
        </w:rPr>
        <w:t xml:space="preserve">taurobolium </w:t>
      </w:r>
      <w:r>
        <w:t xml:space="preserve">is not mentioned in many ancient </w:t>
      </w:r>
      <w:r w:rsidR="00F92976">
        <w:t xml:space="preserve">literary </w:t>
      </w:r>
      <w:r>
        <w:t>sources</w:t>
      </w:r>
      <w:r w:rsidR="00F92976">
        <w:t xml:space="preserve"> besides </w:t>
      </w:r>
      <w:proofErr w:type="spellStart"/>
      <w:r w:rsidR="00F92976">
        <w:t>Prudentius</w:t>
      </w:r>
      <w:proofErr w:type="spellEnd"/>
      <w:r>
        <w:t xml:space="preserve">. The anonymous author of </w:t>
      </w:r>
      <w:r>
        <w:rPr>
          <w:i/>
          <w:iCs/>
        </w:rPr>
        <w:t xml:space="preserve">Historia Augusta </w:t>
      </w:r>
      <w:r w:rsidR="00C20F02">
        <w:t xml:space="preserve">reports that the third-century </w:t>
      </w:r>
      <w:proofErr w:type="spellStart"/>
      <w:r w:rsidR="00C20F02">
        <w:t>Severan</w:t>
      </w:r>
      <w:proofErr w:type="spellEnd"/>
      <w:r w:rsidR="00C20F02">
        <w:t xml:space="preserve"> emperor Elagabalus</w:t>
      </w:r>
      <w:r w:rsidR="00F5327C">
        <w:t xml:space="preserve"> “adopted the worship of the Great Mother and celebrated the rite of the </w:t>
      </w:r>
      <w:proofErr w:type="spellStart"/>
      <w:r w:rsidR="00F5327C" w:rsidRPr="002D200E">
        <w:rPr>
          <w:i/>
          <w:iCs/>
        </w:rPr>
        <w:t>taurabolium</w:t>
      </w:r>
      <w:proofErr w:type="spellEnd"/>
      <w:r w:rsidR="00F5327C">
        <w:t>” (</w:t>
      </w:r>
      <w:hyperlink r:id="rId6" w:history="1">
        <w:r w:rsidR="0088427A" w:rsidRPr="00AF73E7">
          <w:rPr>
            <w:rStyle w:val="Hyperlink"/>
            <w:i/>
            <w:iCs/>
          </w:rPr>
          <w:t xml:space="preserve">Historia Augusta: </w:t>
        </w:r>
        <w:proofErr w:type="spellStart"/>
        <w:r w:rsidR="0088427A" w:rsidRPr="00AF73E7">
          <w:rPr>
            <w:rStyle w:val="Hyperlink"/>
            <w:i/>
            <w:iCs/>
          </w:rPr>
          <w:t>Antoninus</w:t>
        </w:r>
        <w:proofErr w:type="spellEnd"/>
        <w:r w:rsidR="0088427A" w:rsidRPr="00AF73E7">
          <w:rPr>
            <w:rStyle w:val="Hyperlink"/>
            <w:i/>
            <w:iCs/>
          </w:rPr>
          <w:t xml:space="preserve"> Elagabalus</w:t>
        </w:r>
        <w:r w:rsidR="00DB41AA" w:rsidRPr="00AF73E7">
          <w:rPr>
            <w:rStyle w:val="Hyperlink"/>
            <w:i/>
            <w:iCs/>
          </w:rPr>
          <w:t xml:space="preserve"> </w:t>
        </w:r>
        <w:r w:rsidR="000D3461" w:rsidRPr="00AF73E7">
          <w:rPr>
            <w:rStyle w:val="Hyperlink"/>
          </w:rPr>
          <w:t>VII</w:t>
        </w:r>
      </w:hyperlink>
      <w:r w:rsidR="00F5327C">
        <w:t>).</w:t>
      </w:r>
      <w:r w:rsidR="00A81D41">
        <w:t xml:space="preserve"> In the case of</w:t>
      </w:r>
      <w:r w:rsidR="00FC390A">
        <w:t xml:space="preserve"> its close cousin, the </w:t>
      </w:r>
      <w:proofErr w:type="spellStart"/>
      <w:r w:rsidR="00FC390A">
        <w:rPr>
          <w:i/>
          <w:iCs/>
        </w:rPr>
        <w:t>criobolium</w:t>
      </w:r>
      <w:proofErr w:type="spellEnd"/>
      <w:r w:rsidR="00FC390A">
        <w:t xml:space="preserve">, </w:t>
      </w:r>
      <w:r w:rsidR="007775D9">
        <w:t xml:space="preserve">the evidence is even thinner on the ground. Besides the inscriptional evidence </w:t>
      </w:r>
      <w:r w:rsidR="0029313F">
        <w:t xml:space="preserve">such as </w:t>
      </w:r>
      <w:proofErr w:type="spellStart"/>
      <w:r w:rsidR="0029313F">
        <w:t>Clodius</w:t>
      </w:r>
      <w:proofErr w:type="spellEnd"/>
      <w:r w:rsidR="0029313F">
        <w:t>’ inscriptions showing its ties to the cult, very little is known of its nature or function.</w:t>
      </w:r>
      <w:r w:rsidR="00FA08CF">
        <w:t xml:space="preserve"> In our current state of knowledge, it seems safe to assume that it was also a form of initiation into this fascinating branch of </w:t>
      </w:r>
      <w:r w:rsidR="00B23445">
        <w:t>Roman religion.</w:t>
      </w:r>
      <w:r w:rsidR="00A901D9">
        <w:t xml:space="preserve"> </w:t>
      </w:r>
      <w:r w:rsidR="00D172A5">
        <w:t xml:space="preserve">Like the cult of the </w:t>
      </w:r>
      <w:r w:rsidR="00D172A5" w:rsidRPr="008C5672">
        <w:rPr>
          <w:i/>
          <w:iCs/>
        </w:rPr>
        <w:t>Magna Mater</w:t>
      </w:r>
      <w:r w:rsidR="00D172A5">
        <w:t xml:space="preserve"> and the </w:t>
      </w:r>
      <w:r w:rsidR="00D172A5">
        <w:rPr>
          <w:i/>
          <w:iCs/>
        </w:rPr>
        <w:t xml:space="preserve">quindecemviri </w:t>
      </w:r>
      <w:r w:rsidR="00D172A5">
        <w:t xml:space="preserve">themselves, </w:t>
      </w:r>
      <w:r w:rsidR="000A370B">
        <w:t>these rituals declined and eventually disappeared following the Christianisation of the Roman empire over the course of the fourth century and beyond.</w:t>
      </w:r>
    </w:p>
    <w:p w14:paraId="7F3C82D3" w14:textId="4566CD07" w:rsidR="00ED3A32" w:rsidRDefault="00ED3A32" w:rsidP="003F2C33">
      <w:pPr>
        <w:pStyle w:val="Heading2"/>
      </w:pPr>
      <w:r>
        <w:t>Bibliography</w:t>
      </w:r>
    </w:p>
    <w:p w14:paraId="54488BB0" w14:textId="6FD62A67" w:rsidR="001F0B76" w:rsidRDefault="001F0B76" w:rsidP="0054005E">
      <w:r>
        <w:t>Beard, M. (1990), “</w:t>
      </w:r>
      <w:r w:rsidR="00FB048C">
        <w:t>Priesthood in the Roman Republic</w:t>
      </w:r>
      <w:r>
        <w:t>”</w:t>
      </w:r>
      <w:r w:rsidR="00FB048C">
        <w:t xml:space="preserve">, </w:t>
      </w:r>
      <w:r w:rsidR="00FB048C" w:rsidRPr="0054005E">
        <w:t xml:space="preserve">in M. Beard and J. North (eds.) </w:t>
      </w:r>
      <w:r w:rsidR="00FB048C" w:rsidRPr="0054005E">
        <w:rPr>
          <w:i/>
          <w:iCs/>
        </w:rPr>
        <w:t>Pagan Priests: Religion and Power in the Ancient World</w:t>
      </w:r>
      <w:r w:rsidR="00FB048C" w:rsidRPr="0054005E">
        <w:t>, Ithaca, NY: Cornell U.P.,</w:t>
      </w:r>
      <w:r w:rsidR="00FB048C">
        <w:t xml:space="preserve"> pp. </w:t>
      </w:r>
      <w:r w:rsidR="009D5560">
        <w:t>19-48</w:t>
      </w:r>
      <w:r w:rsidR="00FB048C">
        <w:t>.</w:t>
      </w:r>
    </w:p>
    <w:p w14:paraId="0625B572" w14:textId="67D021C4" w:rsidR="00E83BDE" w:rsidRPr="00E83BDE" w:rsidRDefault="00E83BDE" w:rsidP="0054005E">
      <w:r>
        <w:t xml:space="preserve">Forsythe, G. (2012), </w:t>
      </w:r>
      <w:r>
        <w:rPr>
          <w:i/>
          <w:iCs/>
        </w:rPr>
        <w:t>Time in Roman religion: one thousand years of religious history</w:t>
      </w:r>
      <w:r>
        <w:t>, Hoboken: Taylor and Francis.</w:t>
      </w:r>
    </w:p>
    <w:p w14:paraId="304C4B26" w14:textId="4892CECC" w:rsidR="0054005E" w:rsidRDefault="0054005E" w:rsidP="0054005E">
      <w:r w:rsidRPr="0054005E">
        <w:t xml:space="preserve">Gordon, R. (1990), “Religion in the Roman Empire: the civic compromise and its limits”, in M. Beard and J. North (eds.) </w:t>
      </w:r>
      <w:r w:rsidRPr="0054005E">
        <w:rPr>
          <w:i/>
          <w:iCs/>
        </w:rPr>
        <w:t>Pagan Priests: Religion and Power in the Ancient World</w:t>
      </w:r>
      <w:r w:rsidRPr="0054005E">
        <w:t>, Ithaca, NY: Cornell U.P., pp. 233-57.</w:t>
      </w:r>
    </w:p>
    <w:p w14:paraId="4314331D" w14:textId="375C1EE3" w:rsidR="00F1366A" w:rsidRPr="00F1366A" w:rsidRDefault="00F1366A" w:rsidP="00921653">
      <w:proofErr w:type="spellStart"/>
      <w:r>
        <w:t>Magie</w:t>
      </w:r>
      <w:proofErr w:type="spellEnd"/>
      <w:r>
        <w:t xml:space="preserve">, D. (trans.) (1924), </w:t>
      </w:r>
      <w:r w:rsidRPr="00F1366A">
        <w:rPr>
          <w:i/>
          <w:iCs/>
        </w:rPr>
        <w:t xml:space="preserve">Historia Augusta, Volume II: Caracalla. </w:t>
      </w:r>
      <w:proofErr w:type="spellStart"/>
      <w:r w:rsidRPr="00F1366A">
        <w:rPr>
          <w:i/>
          <w:iCs/>
        </w:rPr>
        <w:t>Geta</w:t>
      </w:r>
      <w:proofErr w:type="spellEnd"/>
      <w:r w:rsidRPr="00F1366A">
        <w:rPr>
          <w:i/>
          <w:iCs/>
        </w:rPr>
        <w:t xml:space="preserve">. </w:t>
      </w:r>
      <w:proofErr w:type="spellStart"/>
      <w:r w:rsidRPr="00F1366A">
        <w:rPr>
          <w:i/>
          <w:iCs/>
        </w:rPr>
        <w:t>Opellius</w:t>
      </w:r>
      <w:proofErr w:type="spellEnd"/>
      <w:r w:rsidRPr="00F1366A">
        <w:rPr>
          <w:i/>
          <w:iCs/>
        </w:rPr>
        <w:t xml:space="preserve"> </w:t>
      </w:r>
      <w:proofErr w:type="spellStart"/>
      <w:r w:rsidRPr="00F1366A">
        <w:rPr>
          <w:i/>
          <w:iCs/>
        </w:rPr>
        <w:t>Macrinus</w:t>
      </w:r>
      <w:proofErr w:type="spellEnd"/>
      <w:r w:rsidRPr="00F1366A">
        <w:rPr>
          <w:i/>
          <w:iCs/>
        </w:rPr>
        <w:t xml:space="preserve">. </w:t>
      </w:r>
      <w:proofErr w:type="spellStart"/>
      <w:r w:rsidRPr="00F1366A">
        <w:rPr>
          <w:i/>
          <w:iCs/>
        </w:rPr>
        <w:t>Diadumenianus</w:t>
      </w:r>
      <w:proofErr w:type="spellEnd"/>
      <w:r w:rsidRPr="00F1366A">
        <w:rPr>
          <w:i/>
          <w:iCs/>
        </w:rPr>
        <w:t xml:space="preserve">. Elagabalus. Severus Alexander. The Two </w:t>
      </w:r>
      <w:proofErr w:type="spellStart"/>
      <w:r w:rsidRPr="00F1366A">
        <w:rPr>
          <w:i/>
          <w:iCs/>
        </w:rPr>
        <w:t>Maximini</w:t>
      </w:r>
      <w:proofErr w:type="spellEnd"/>
      <w:r w:rsidRPr="00F1366A">
        <w:rPr>
          <w:i/>
          <w:iCs/>
        </w:rPr>
        <w:t xml:space="preserve">. The Three Gordians. Maximus and </w:t>
      </w:r>
      <w:proofErr w:type="spellStart"/>
      <w:r w:rsidRPr="00F1366A">
        <w:rPr>
          <w:i/>
          <w:iCs/>
        </w:rPr>
        <w:t>Balbinus</w:t>
      </w:r>
      <w:proofErr w:type="spellEnd"/>
      <w:r>
        <w:t xml:space="preserve">, </w:t>
      </w:r>
      <w:r w:rsidR="00921653" w:rsidRPr="00921653">
        <w:t>Loeb Classical Library 140. Cambridge, MA: Harvard U</w:t>
      </w:r>
      <w:r w:rsidR="00921653">
        <w:t>.</w:t>
      </w:r>
      <w:r w:rsidR="00921653" w:rsidRPr="00921653">
        <w:t>P</w:t>
      </w:r>
      <w:r w:rsidR="00921653">
        <w:t>.</w:t>
      </w:r>
    </w:p>
    <w:p w14:paraId="627CD3A2" w14:textId="77777777" w:rsidR="0054005E" w:rsidRPr="0054005E" w:rsidRDefault="0054005E" w:rsidP="0054005E">
      <w:r w:rsidRPr="0054005E">
        <w:t xml:space="preserve">Montgomery, J.A. (2012), “quindecemviri </w:t>
      </w:r>
      <w:proofErr w:type="spellStart"/>
      <w:r w:rsidRPr="0054005E">
        <w:t>sacris</w:t>
      </w:r>
      <w:proofErr w:type="spellEnd"/>
      <w:r w:rsidRPr="0054005E">
        <w:t xml:space="preserve"> </w:t>
      </w:r>
      <w:proofErr w:type="spellStart"/>
      <w:r w:rsidRPr="0054005E">
        <w:t>faciundis</w:t>
      </w:r>
      <w:proofErr w:type="spellEnd"/>
      <w:r w:rsidRPr="0054005E">
        <w:t xml:space="preserve">”, in S. Hornblower and A. </w:t>
      </w:r>
      <w:proofErr w:type="spellStart"/>
      <w:r w:rsidRPr="0054005E">
        <w:t>Spawforth</w:t>
      </w:r>
      <w:proofErr w:type="spellEnd"/>
      <w:r w:rsidRPr="0054005E">
        <w:t xml:space="preserve"> (eds.) </w:t>
      </w:r>
      <w:r w:rsidRPr="0054005E">
        <w:rPr>
          <w:i/>
          <w:iCs/>
        </w:rPr>
        <w:t>The Oxford Classical Dictionary: Fourth Edition</w:t>
      </w:r>
      <w:r w:rsidRPr="0054005E">
        <w:t>, Oxford: Oxford U.P., p. 1251.</w:t>
      </w:r>
    </w:p>
    <w:p w14:paraId="69CFDD91" w14:textId="77777777" w:rsidR="0054005E" w:rsidRPr="0054005E" w:rsidRDefault="0054005E" w:rsidP="0054005E">
      <w:r w:rsidRPr="0054005E">
        <w:t xml:space="preserve">Parke, H.W. (1988), </w:t>
      </w:r>
      <w:r w:rsidRPr="0054005E">
        <w:rPr>
          <w:i/>
          <w:iCs/>
        </w:rPr>
        <w:t>Sibyls and Sibylline Prophecy in Classical Antiquity</w:t>
      </w:r>
      <w:r w:rsidRPr="0054005E">
        <w:t>, London: Routledge.</w:t>
      </w:r>
    </w:p>
    <w:p w14:paraId="0B460A2A" w14:textId="77777777" w:rsidR="0054005E" w:rsidRDefault="0054005E"/>
    <w:p w14:paraId="21F6B973" w14:textId="11352BD3" w:rsidR="00ED3A32" w:rsidRDefault="00ED3A32"/>
    <w:p w14:paraId="3FDEF639" w14:textId="77777777" w:rsidR="00ED3A32" w:rsidRDefault="00ED3A32"/>
    <w:sectPr w:rsidR="00ED3A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179"/>
    <w:rsid w:val="0000542C"/>
    <w:rsid w:val="000078E0"/>
    <w:rsid w:val="0001630D"/>
    <w:rsid w:val="00017B83"/>
    <w:rsid w:val="00034077"/>
    <w:rsid w:val="000447C4"/>
    <w:rsid w:val="00055AF4"/>
    <w:rsid w:val="000565F5"/>
    <w:rsid w:val="00067159"/>
    <w:rsid w:val="000707D5"/>
    <w:rsid w:val="000963D8"/>
    <w:rsid w:val="000A09D8"/>
    <w:rsid w:val="000A370B"/>
    <w:rsid w:val="000B69B2"/>
    <w:rsid w:val="000D2695"/>
    <w:rsid w:val="000D3461"/>
    <w:rsid w:val="000F4419"/>
    <w:rsid w:val="00103B27"/>
    <w:rsid w:val="00140604"/>
    <w:rsid w:val="00157948"/>
    <w:rsid w:val="001945FC"/>
    <w:rsid w:val="001A23A7"/>
    <w:rsid w:val="001A5FAA"/>
    <w:rsid w:val="001B040E"/>
    <w:rsid w:val="001C1193"/>
    <w:rsid w:val="001C7A91"/>
    <w:rsid w:val="001F0B76"/>
    <w:rsid w:val="002037D0"/>
    <w:rsid w:val="00204169"/>
    <w:rsid w:val="002255B5"/>
    <w:rsid w:val="002468CF"/>
    <w:rsid w:val="002472E5"/>
    <w:rsid w:val="00265B99"/>
    <w:rsid w:val="00270777"/>
    <w:rsid w:val="002718D5"/>
    <w:rsid w:val="00274E7E"/>
    <w:rsid w:val="00285076"/>
    <w:rsid w:val="00285FB5"/>
    <w:rsid w:val="0029155D"/>
    <w:rsid w:val="0029313F"/>
    <w:rsid w:val="002A1AAD"/>
    <w:rsid w:val="002C0B08"/>
    <w:rsid w:val="002D200E"/>
    <w:rsid w:val="002F4207"/>
    <w:rsid w:val="0032425D"/>
    <w:rsid w:val="003252C2"/>
    <w:rsid w:val="0034266E"/>
    <w:rsid w:val="003603A2"/>
    <w:rsid w:val="003604CF"/>
    <w:rsid w:val="003A1DC6"/>
    <w:rsid w:val="003A4A7D"/>
    <w:rsid w:val="003C3317"/>
    <w:rsid w:val="003D22C4"/>
    <w:rsid w:val="003F14C0"/>
    <w:rsid w:val="003F2C33"/>
    <w:rsid w:val="0040530D"/>
    <w:rsid w:val="004132AA"/>
    <w:rsid w:val="00415BC7"/>
    <w:rsid w:val="00422368"/>
    <w:rsid w:val="00493DC5"/>
    <w:rsid w:val="004F7605"/>
    <w:rsid w:val="005179E3"/>
    <w:rsid w:val="00522659"/>
    <w:rsid w:val="00527435"/>
    <w:rsid w:val="0054005E"/>
    <w:rsid w:val="0056779D"/>
    <w:rsid w:val="00570C21"/>
    <w:rsid w:val="005851E3"/>
    <w:rsid w:val="0059622B"/>
    <w:rsid w:val="005A1A8B"/>
    <w:rsid w:val="005A4A02"/>
    <w:rsid w:val="005A7EC3"/>
    <w:rsid w:val="005B2C3C"/>
    <w:rsid w:val="005B7E73"/>
    <w:rsid w:val="005C535E"/>
    <w:rsid w:val="005E0C3F"/>
    <w:rsid w:val="005E113A"/>
    <w:rsid w:val="0062338E"/>
    <w:rsid w:val="00641289"/>
    <w:rsid w:val="00644505"/>
    <w:rsid w:val="006837FD"/>
    <w:rsid w:val="00691767"/>
    <w:rsid w:val="006A14A9"/>
    <w:rsid w:val="006A7A95"/>
    <w:rsid w:val="006C48F4"/>
    <w:rsid w:val="00700394"/>
    <w:rsid w:val="00735549"/>
    <w:rsid w:val="00751B42"/>
    <w:rsid w:val="00765D6A"/>
    <w:rsid w:val="007775D9"/>
    <w:rsid w:val="0078085D"/>
    <w:rsid w:val="007B4B27"/>
    <w:rsid w:val="008123F7"/>
    <w:rsid w:val="00827B47"/>
    <w:rsid w:val="00827E26"/>
    <w:rsid w:val="00853556"/>
    <w:rsid w:val="00871525"/>
    <w:rsid w:val="0088427A"/>
    <w:rsid w:val="008864C5"/>
    <w:rsid w:val="008A33EA"/>
    <w:rsid w:val="008C5672"/>
    <w:rsid w:val="008D1F8A"/>
    <w:rsid w:val="008D623E"/>
    <w:rsid w:val="00907C97"/>
    <w:rsid w:val="0091184F"/>
    <w:rsid w:val="009168AD"/>
    <w:rsid w:val="00921653"/>
    <w:rsid w:val="00930B71"/>
    <w:rsid w:val="009342C6"/>
    <w:rsid w:val="00951B1F"/>
    <w:rsid w:val="00956AED"/>
    <w:rsid w:val="00960633"/>
    <w:rsid w:val="009625B7"/>
    <w:rsid w:val="0097356D"/>
    <w:rsid w:val="009739D3"/>
    <w:rsid w:val="009819CA"/>
    <w:rsid w:val="00981B71"/>
    <w:rsid w:val="00991D2E"/>
    <w:rsid w:val="00995BA1"/>
    <w:rsid w:val="009D5560"/>
    <w:rsid w:val="009D5683"/>
    <w:rsid w:val="009F7FC6"/>
    <w:rsid w:val="00A061D0"/>
    <w:rsid w:val="00A13179"/>
    <w:rsid w:val="00A43D05"/>
    <w:rsid w:val="00A76B5B"/>
    <w:rsid w:val="00A81D41"/>
    <w:rsid w:val="00A901D9"/>
    <w:rsid w:val="00A91BFB"/>
    <w:rsid w:val="00AA7AD5"/>
    <w:rsid w:val="00AB3213"/>
    <w:rsid w:val="00AB4B49"/>
    <w:rsid w:val="00AE7E6A"/>
    <w:rsid w:val="00AF73E7"/>
    <w:rsid w:val="00B23445"/>
    <w:rsid w:val="00B279EF"/>
    <w:rsid w:val="00B566DF"/>
    <w:rsid w:val="00B64D37"/>
    <w:rsid w:val="00B953D3"/>
    <w:rsid w:val="00BA1072"/>
    <w:rsid w:val="00BA60B3"/>
    <w:rsid w:val="00BB3345"/>
    <w:rsid w:val="00BC5419"/>
    <w:rsid w:val="00BC5E49"/>
    <w:rsid w:val="00BE2F36"/>
    <w:rsid w:val="00BF3128"/>
    <w:rsid w:val="00BF6C9E"/>
    <w:rsid w:val="00C00BE6"/>
    <w:rsid w:val="00C043B6"/>
    <w:rsid w:val="00C134B3"/>
    <w:rsid w:val="00C20F02"/>
    <w:rsid w:val="00C26290"/>
    <w:rsid w:val="00C34A95"/>
    <w:rsid w:val="00C71657"/>
    <w:rsid w:val="00C731EC"/>
    <w:rsid w:val="00C77A7E"/>
    <w:rsid w:val="00C816E2"/>
    <w:rsid w:val="00C84255"/>
    <w:rsid w:val="00CA7F56"/>
    <w:rsid w:val="00CC3584"/>
    <w:rsid w:val="00CD2257"/>
    <w:rsid w:val="00CE2100"/>
    <w:rsid w:val="00D115F3"/>
    <w:rsid w:val="00D12DE8"/>
    <w:rsid w:val="00D172A5"/>
    <w:rsid w:val="00D17B02"/>
    <w:rsid w:val="00D260FB"/>
    <w:rsid w:val="00D36B1D"/>
    <w:rsid w:val="00D45823"/>
    <w:rsid w:val="00D5178A"/>
    <w:rsid w:val="00D659A0"/>
    <w:rsid w:val="00D95632"/>
    <w:rsid w:val="00DA0B2F"/>
    <w:rsid w:val="00DA7CD2"/>
    <w:rsid w:val="00DB41AA"/>
    <w:rsid w:val="00DB536A"/>
    <w:rsid w:val="00DD36E2"/>
    <w:rsid w:val="00DE3E5A"/>
    <w:rsid w:val="00DF37DD"/>
    <w:rsid w:val="00E435FD"/>
    <w:rsid w:val="00E51AEC"/>
    <w:rsid w:val="00E83BDE"/>
    <w:rsid w:val="00E84FB8"/>
    <w:rsid w:val="00EA014B"/>
    <w:rsid w:val="00EA1EA2"/>
    <w:rsid w:val="00EB4EAF"/>
    <w:rsid w:val="00EC5F58"/>
    <w:rsid w:val="00ED3A32"/>
    <w:rsid w:val="00ED5070"/>
    <w:rsid w:val="00EE5DFA"/>
    <w:rsid w:val="00F064A9"/>
    <w:rsid w:val="00F1366A"/>
    <w:rsid w:val="00F21C55"/>
    <w:rsid w:val="00F24A34"/>
    <w:rsid w:val="00F31966"/>
    <w:rsid w:val="00F34EB1"/>
    <w:rsid w:val="00F51436"/>
    <w:rsid w:val="00F5327C"/>
    <w:rsid w:val="00F67042"/>
    <w:rsid w:val="00F86928"/>
    <w:rsid w:val="00F9104F"/>
    <w:rsid w:val="00F92976"/>
    <w:rsid w:val="00FA08CF"/>
    <w:rsid w:val="00FB048C"/>
    <w:rsid w:val="00FB6FB2"/>
    <w:rsid w:val="00FC390A"/>
    <w:rsid w:val="00FF02AD"/>
    <w:rsid w:val="00FF5E74"/>
  </w:rsids>
  <m:mathPr>
    <m:mathFont m:val="Cambria Math"/>
    <m:brkBin m:val="before"/>
    <m:brkBinSub m:val="--"/>
    <m:smallFrac m:val="0"/>
    <m:dispDef/>
    <m:lMargin m:val="0"/>
    <m:rMargin m:val="0"/>
    <m:defJc m:val="centerGroup"/>
    <m:wrapIndent m:val="1440"/>
    <m:intLim m:val="subSup"/>
    <m:naryLim m:val="undOvr"/>
  </m:mathPr>
  <w:themeFontLang w:val="en-AU"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9A659"/>
  <w15:chartTrackingRefBased/>
  <w15:docId w15:val="{57F3A8AD-6312-4A7F-99BF-921DEAE1DF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3A3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F2C3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3A3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F2C33"/>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AF73E7"/>
    <w:rPr>
      <w:color w:val="0563C1" w:themeColor="hyperlink"/>
      <w:u w:val="single"/>
    </w:rPr>
  </w:style>
  <w:style w:type="character" w:styleId="UnresolvedMention">
    <w:name w:val="Unresolved Mention"/>
    <w:basedOn w:val="DefaultParagraphFont"/>
    <w:uiPriority w:val="99"/>
    <w:semiHidden/>
    <w:unhideWhenUsed/>
    <w:rsid w:val="00AF73E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penelope.uchicago.edu/Thayer/E/Roman/Texts/Historia_Augusta/Elagabalus/1*.html" TargetMode="External"/><Relationship Id="rId5" Type="http://schemas.openxmlformats.org/officeDocument/2006/relationships/hyperlink" Target="https://www.theoi.com/Text/OvidFasti4.html" TargetMode="External"/><Relationship Id="rId4" Type="http://schemas.openxmlformats.org/officeDocument/2006/relationships/hyperlink" Target="http://mcadams.posc.mu.edu/txt/ah/Livy/Livy29.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1623</TotalTime>
  <Pages>2</Pages>
  <Words>1071</Words>
  <Characters>6111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Ewan Coopey</cp:lastModifiedBy>
  <cp:revision>242</cp:revision>
  <dcterms:created xsi:type="dcterms:W3CDTF">2019-11-15T02:29:00Z</dcterms:created>
  <dcterms:modified xsi:type="dcterms:W3CDTF">2019-11-21T21:46:00Z</dcterms:modified>
</cp:coreProperties>
</file>