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黑体" w:hAnsi="黑体"/>
          <w:b/>
          <w:color w:val="111E38"/>
          <w:sz w:val="32"/>
        </w:rPr>
        <w:t>2026年第十四届全国大学生数字媒体科技作品及创意竞赛</w:t>
        <w:br/>
        <w:t>人工智能工具使用情况说明</w:t>
      </w:r>
    </w:p>
    <w:p>
      <w:pPr>
        <w:spacing w:after="280"/>
        <w:jc w:val="center"/>
      </w:pPr>
      <w:r>
        <w:rPr>
          <w:rFonts w:ascii="楷体" w:hAnsi="楷体"/>
          <w:color w:val="555555"/>
          <w:sz w:val="24"/>
        </w:rPr>
        <w:t>（参赛团队参考模板 · 正式填报稿）</w:t>
      </w:r>
    </w:p>
    <w:p>
      <w:pPr>
        <w:keepNext/>
        <w:spacing w:before="280" w:after="120"/>
      </w:pPr>
      <w:r>
        <w:rPr>
          <w:rFonts w:ascii="黑体" w:hAnsi="黑体"/>
          <w:b/>
          <w:color w:val="0E477E"/>
          <w:sz w:val="24"/>
        </w:rPr>
        <w:t>填写说明</w:t>
      </w:r>
    </w:p>
    <w:p>
      <w:pPr>
        <w:spacing w:after="80" w:line="300" w:lineRule="auto"/>
      </w:pPr>
      <w:r>
        <w:rPr>
          <w:rFonts w:ascii="宋体" w:hAnsi="宋体"/>
          <w:color w:val="333333"/>
          <w:sz w:val="21"/>
        </w:rPr>
        <w:t>本说明用于说明人工智能工具在参赛作品创作、设计、开发、制作及成果形成过程中的实际作用，重点体现学生自主完成的核心工作和原创贡献。</w:t>
      </w:r>
    </w:p>
    <w:p>
      <w:pPr>
        <w:spacing w:after="80" w:line="300" w:lineRule="auto"/>
      </w:pPr>
      <w:r>
        <w:rPr>
          <w:rFonts w:ascii="宋体" w:hAnsi="宋体"/>
          <w:color w:val="333333"/>
          <w:sz w:val="21"/>
        </w:rPr>
        <w:t>1. 本团队在报名系统中如实填报已使用AI，并在本文档中详细客观说明主要工具、使用环节、人工处理及学生团队独立原创贡献。</w:t>
      </w:r>
    </w:p>
    <w:p>
      <w:pPr>
        <w:spacing w:after="80" w:line="300" w:lineRule="auto"/>
      </w:pPr>
      <w:r>
        <w:rPr>
          <w:rFonts w:ascii="宋体" w:hAnsi="宋体"/>
          <w:color w:val="333333"/>
          <w:sz w:val="21"/>
        </w:rPr>
        <w:t>2. 提交专家评审的本说明严格按照赛事匿名化规范处理，隐去参赛学校、团队成员和指导教师等可识别身份的信息。</w:t>
      </w:r>
    </w:p>
    <w:p>
      <w:pPr>
        <w:spacing w:after="80" w:line="300" w:lineRule="auto"/>
      </w:pPr>
      <w:r>
        <w:rPr>
          <w:rFonts w:ascii="宋体" w:hAnsi="宋体"/>
          <w:color w:val="333333"/>
          <w:sz w:val="21"/>
        </w:rPr>
        <w:t>3. 本团队在此确认：合理使用AI本身不直接构成加分或扣分因素，评审核心在于作品创新性、工程落地深度及学生自主原创贡献。</w:t>
      </w:r>
    </w:p>
    <w:p>
      <w:pPr>
        <w:keepNext/>
        <w:spacing w:before="280" w:after="120"/>
      </w:pPr>
      <w:r>
        <w:rPr>
          <w:rFonts w:ascii="黑体" w:hAnsi="黑体"/>
          <w:b/>
          <w:color w:val="0E477E"/>
          <w:sz w:val="24"/>
        </w:rPr>
        <w:t>一、作品基本信息与AI使用状态</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4680"/>
        <w:gridCol w:w="4680"/>
      </w:tblGrid>
      <w:tr>
        <w:tc>
          <w:tcPr>
            <w:tcW w:type="dxa" w:w="3168"/>
            <w:shd w:fill="F0F4F8"/>
            <w:tcMar>
              <w:top w:w="120" w:type="dxa"/>
              <w:bottom w:w="120" w:type="dxa"/>
              <w:left w:w="150" w:type="dxa"/>
              <w:right w:w="150" w:type="dxa"/>
            </w:tcMar>
          </w:tcPr>
          <w:p>
            <w:pPr>
              <w:jc w:val="right"/>
            </w:pPr>
            <w:r>
              <w:rPr>
                <w:rFonts w:ascii="黑体" w:hAnsi="黑体"/>
                <w:b/>
                <w:sz w:val="20"/>
              </w:rPr>
              <w:t>作品名称</w:t>
            </w:r>
          </w:p>
        </w:tc>
        <w:tc>
          <w:tcPr>
            <w:tcW w:type="dxa" w:w="6192"/>
            <w:tcMar>
              <w:top w:w="120" w:type="dxa"/>
              <w:bottom w:w="120" w:type="dxa"/>
              <w:left w:w="150" w:type="dxa"/>
              <w:right w:w="150" w:type="dxa"/>
            </w:tcMar>
          </w:tcPr>
          <w:p>
            <w:r>
              <w:rPr>
                <w:rFonts w:ascii="宋体" w:hAnsi="宋体"/>
                <w:sz w:val="20"/>
              </w:rPr>
              <w:t>智医云视 —— 数字孪生智慧医疗服务数据可视化管理平台</w:t>
            </w:r>
          </w:p>
        </w:tc>
      </w:tr>
      <w:tr>
        <w:tc>
          <w:tcPr>
            <w:tcW w:type="dxa" w:w="3168"/>
            <w:shd w:fill="F0F4F8"/>
            <w:tcMar>
              <w:top w:w="120" w:type="dxa"/>
              <w:bottom w:w="120" w:type="dxa"/>
              <w:left w:w="150" w:type="dxa"/>
              <w:right w:w="150" w:type="dxa"/>
            </w:tcMar>
          </w:tcPr>
          <w:p>
            <w:pPr>
              <w:jc w:val="right"/>
            </w:pPr>
            <w:r>
              <w:rPr>
                <w:rFonts w:ascii="黑体" w:hAnsi="黑体"/>
                <w:b/>
                <w:sz w:val="20"/>
              </w:rPr>
              <w:t>作品编号（如有）</w:t>
            </w:r>
          </w:p>
        </w:tc>
        <w:tc>
          <w:tcPr>
            <w:tcW w:type="dxa" w:w="6192"/>
            <w:tcMar>
              <w:top w:w="120" w:type="dxa"/>
              <w:bottom w:w="120" w:type="dxa"/>
              <w:left w:w="150" w:type="dxa"/>
              <w:right w:w="150" w:type="dxa"/>
            </w:tcMar>
          </w:tcPr>
          <w:p>
            <w:r>
              <w:rPr>
                <w:rFonts w:ascii="宋体" w:hAnsi="宋体"/>
                <w:sz w:val="20"/>
              </w:rPr>
              <w:t>【报名系统已自动生成，匿名化保留该栏】</w:t>
            </w:r>
          </w:p>
        </w:tc>
      </w:tr>
      <w:tr>
        <w:tc>
          <w:tcPr>
            <w:tcW w:type="dxa" w:w="3168"/>
            <w:shd w:fill="F0F4F8"/>
            <w:tcMar>
              <w:top w:w="120" w:type="dxa"/>
              <w:bottom w:w="120" w:type="dxa"/>
              <w:left w:w="150" w:type="dxa"/>
              <w:right w:w="150" w:type="dxa"/>
            </w:tcMar>
          </w:tcPr>
          <w:p>
            <w:pPr>
              <w:jc w:val="right"/>
            </w:pPr>
            <w:r>
              <w:rPr>
                <w:rFonts w:ascii="黑体" w:hAnsi="黑体"/>
                <w:b/>
                <w:sz w:val="20"/>
              </w:rPr>
              <w:t>参赛赛道／赛项</w:t>
            </w:r>
          </w:p>
        </w:tc>
        <w:tc>
          <w:tcPr>
            <w:tcW w:type="dxa" w:w="6192"/>
            <w:tcMar>
              <w:top w:w="120" w:type="dxa"/>
              <w:bottom w:w="120" w:type="dxa"/>
              <w:left w:w="150" w:type="dxa"/>
              <w:right w:w="150" w:type="dxa"/>
            </w:tcMar>
          </w:tcPr>
          <w:p>
            <w:r>
              <w:rPr>
                <w:rFonts w:ascii="宋体" w:hAnsi="宋体"/>
                <w:sz w:val="20"/>
              </w:rPr>
              <w:t>智能算法与数据可视化 / 数字媒体科技与数字孪生</w:t>
            </w:r>
          </w:p>
        </w:tc>
      </w:tr>
      <w:tr>
        <w:tc>
          <w:tcPr>
            <w:tcW w:type="dxa" w:w="3168"/>
            <w:shd w:fill="F0F4F8"/>
            <w:tcMar>
              <w:top w:w="120" w:type="dxa"/>
              <w:bottom w:w="120" w:type="dxa"/>
              <w:left w:w="150" w:type="dxa"/>
              <w:right w:w="150" w:type="dxa"/>
            </w:tcMar>
          </w:tcPr>
          <w:p>
            <w:pPr>
              <w:jc w:val="right"/>
            </w:pPr>
            <w:r>
              <w:rPr>
                <w:rFonts w:ascii="黑体" w:hAnsi="黑体"/>
                <w:b/>
                <w:sz w:val="20"/>
              </w:rPr>
              <w:t>AI使用情况</w:t>
            </w:r>
          </w:p>
        </w:tc>
        <w:tc>
          <w:tcPr>
            <w:tcW w:type="dxa" w:w="6192"/>
            <w:tcMar>
              <w:top w:w="120" w:type="dxa"/>
              <w:bottom w:w="120" w:type="dxa"/>
              <w:left w:w="150" w:type="dxa"/>
              <w:right w:w="150" w:type="dxa"/>
            </w:tcMar>
          </w:tcPr>
          <w:p>
            <w:r>
              <w:rPr>
                <w:rFonts w:ascii="宋体" w:hAnsi="宋体"/>
                <w:b/>
                <w:sz w:val="20"/>
              </w:rPr>
              <w:t>□ 未使用　　☑ 已使用</w:t>
            </w:r>
          </w:p>
        </w:tc>
      </w:tr>
    </w:tbl>
    <w:p>
      <w:pPr>
        <w:spacing w:before="80" w:after="120" w:line="276" w:lineRule="auto"/>
      </w:pPr>
      <w:r>
        <w:rPr>
          <w:rFonts w:ascii="黑体" w:hAnsi="黑体"/>
          <w:b/>
          <w:color w:val="9E380E"/>
          <w:sz w:val="19"/>
        </w:rPr>
        <w:t xml:space="preserve">【特别提示】 </w:t>
      </w:r>
      <w:r>
        <w:rPr>
          <w:rFonts w:ascii="仿宋" w:hAnsi="仿宋"/>
          <w:color w:val="555555"/>
          <w:sz w:val="19"/>
        </w:rPr>
        <w:t>选择“已使用”。以下内容如实反映本团队在作品构思、代码实现、数据模拟各环节的具体辅助作用与学生团队的人工深化再创作工作。</w:t>
      </w:r>
    </w:p>
    <w:p>
      <w:pPr>
        <w:keepNext/>
        <w:spacing w:before="280" w:after="120"/>
      </w:pPr>
      <w:r>
        <w:rPr>
          <w:rFonts w:ascii="黑体" w:hAnsi="黑体"/>
          <w:b/>
          <w:color w:val="0E477E"/>
          <w:sz w:val="24"/>
        </w:rPr>
        <w:t>二、主要AI工具及使用情况</w:t>
      </w:r>
    </w:p>
    <w:p>
      <w:pPr>
        <w:spacing w:after="80" w:line="300" w:lineRule="auto"/>
      </w:pPr>
      <w:r>
        <w:rPr>
          <w:rFonts w:ascii="宋体" w:hAnsi="宋体"/>
          <w:color w:val="333333"/>
          <w:sz w:val="21"/>
        </w:rPr>
        <w:t>仅填写对作品形成具有实际影响的主要工具或模型，一般性资料查询无需逐项罗列：</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E6EFF7"/>
            <w:tcMar>
              <w:top w:w="140" w:type="dxa"/>
              <w:bottom w:w="140" w:type="dxa"/>
              <w:left w:w="120" w:type="dxa"/>
              <w:right w:w="120" w:type="dxa"/>
            </w:tcMar>
          </w:tcPr>
          <w:p>
            <w:pPr>
              <w:jc w:val="center"/>
            </w:pPr>
            <w:r>
              <w:rPr>
                <w:rFonts w:ascii="黑体" w:hAnsi="黑体"/>
                <w:b/>
                <w:sz w:val="20"/>
              </w:rPr>
              <w:t>工具／模型</w:t>
            </w:r>
          </w:p>
        </w:tc>
        <w:tc>
          <w:tcPr>
            <w:tcW w:type="dxa" w:w="2340"/>
            <w:shd w:fill="E6EFF7"/>
            <w:tcMar>
              <w:top w:w="140" w:type="dxa"/>
              <w:bottom w:w="140" w:type="dxa"/>
              <w:left w:w="120" w:type="dxa"/>
              <w:right w:w="120" w:type="dxa"/>
            </w:tcMar>
          </w:tcPr>
          <w:p>
            <w:pPr>
              <w:jc w:val="center"/>
            </w:pPr>
            <w:r>
              <w:rPr>
                <w:rFonts w:ascii="黑体" w:hAnsi="黑体"/>
                <w:b/>
                <w:sz w:val="20"/>
              </w:rPr>
              <w:t>使用环节</w:t>
            </w:r>
          </w:p>
        </w:tc>
        <w:tc>
          <w:tcPr>
            <w:tcW w:type="dxa" w:w="2340"/>
            <w:shd w:fill="E6EFF7"/>
            <w:tcMar>
              <w:top w:w="140" w:type="dxa"/>
              <w:bottom w:w="140" w:type="dxa"/>
              <w:left w:w="120" w:type="dxa"/>
              <w:right w:w="120" w:type="dxa"/>
            </w:tcMar>
          </w:tcPr>
          <w:p>
            <w:pPr>
              <w:jc w:val="center"/>
            </w:pPr>
            <w:r>
              <w:rPr>
                <w:rFonts w:ascii="黑体" w:hAnsi="黑体"/>
                <w:b/>
                <w:sz w:val="20"/>
              </w:rPr>
              <w:t>AI主要用途或产出</w:t>
            </w:r>
          </w:p>
        </w:tc>
        <w:tc>
          <w:tcPr>
            <w:tcW w:type="dxa" w:w="2340"/>
            <w:shd w:fill="E6EFF7"/>
            <w:tcMar>
              <w:top w:w="140" w:type="dxa"/>
              <w:bottom w:w="140" w:type="dxa"/>
              <w:left w:w="120" w:type="dxa"/>
              <w:right w:w="120" w:type="dxa"/>
            </w:tcMar>
          </w:tcPr>
          <w:p>
            <w:pPr>
              <w:jc w:val="center"/>
            </w:pPr>
            <w:r>
              <w:rPr>
                <w:rFonts w:ascii="黑体" w:hAnsi="黑体"/>
                <w:b/>
                <w:sz w:val="20"/>
              </w:rPr>
              <w:t>学生后续处理</w:t>
            </w:r>
          </w:p>
        </w:tc>
      </w:tr>
      <w:tr>
        <w:tc>
          <w:tcPr>
            <w:tcW w:type="dxa" w:w="2160"/>
            <w:tcMar>
              <w:top w:w="100" w:type="dxa"/>
              <w:bottom w:w="100" w:type="dxa"/>
              <w:left w:w="120" w:type="dxa"/>
              <w:right w:w="120" w:type="dxa"/>
            </w:tcMar>
          </w:tcPr>
          <w:p>
            <w:r>
              <w:rPr>
                <w:rFonts w:ascii="宋体" w:hAnsi="宋体"/>
                <w:sz w:val="19"/>
              </w:rPr>
              <w:t>代码辅助智能体</w:t>
              <w:br/>
              <w:t>(Antigravity Assistant)</w:t>
            </w:r>
          </w:p>
        </w:tc>
        <w:tc>
          <w:tcPr>
            <w:tcW w:type="dxa" w:w="1872"/>
            <w:tcMar>
              <w:top w:w="100" w:type="dxa"/>
              <w:bottom w:w="100" w:type="dxa"/>
              <w:left w:w="120" w:type="dxa"/>
              <w:right w:w="120" w:type="dxa"/>
            </w:tcMar>
          </w:tcPr>
          <w:p>
            <w:r>
              <w:rPr>
                <w:rFonts w:ascii="宋体" w:hAnsi="宋体"/>
                <w:sz w:val="19"/>
              </w:rPr>
              <w:t>前端工程搭建、算法辅助、ECharts参数调试</w:t>
            </w:r>
          </w:p>
        </w:tc>
        <w:tc>
          <w:tcPr>
            <w:tcW w:type="dxa" w:w="3168"/>
            <w:tcMar>
              <w:top w:w="100" w:type="dxa"/>
              <w:bottom w:w="100" w:type="dxa"/>
              <w:left w:w="120" w:type="dxa"/>
              <w:right w:w="120" w:type="dxa"/>
            </w:tcMar>
          </w:tcPr>
          <w:p>
            <w:r>
              <w:rPr>
                <w:rFonts w:ascii="宋体" w:hAnsi="宋体"/>
                <w:sz w:val="19"/>
              </w:rPr>
              <w:t>提供Vue 3 Composition API范式建议、ECharts复杂图表（玫瑰图、3D双柱、雷达图）配置属性参考、Scale-Screen视口缩放算法逻辑参考。</w:t>
            </w:r>
          </w:p>
        </w:tc>
        <w:tc>
          <w:tcPr>
            <w:tcW w:type="dxa" w:w="2880"/>
            <w:tcMar>
              <w:top w:w="100" w:type="dxa"/>
              <w:bottom w:w="100" w:type="dxa"/>
              <w:left w:w="120" w:type="dxa"/>
              <w:right w:w="120" w:type="dxa"/>
            </w:tcMar>
          </w:tcPr>
          <w:p>
            <w:r>
              <w:rPr>
                <w:rFonts w:ascii="宋体" w:hAnsi="宋体"/>
                <w:sz w:val="19"/>
              </w:rPr>
              <w:t>学生自主重构整套前端工程代码，编写三级路由平滑热切换架构，针对1920×1080无滚动条进行全局样式绝对锁死，重写ECharts高级渐变、流光飞线及图表事件交互。</w:t>
            </w:r>
          </w:p>
        </w:tc>
      </w:tr>
      <w:tr>
        <w:tc>
          <w:tcPr>
            <w:tcW w:type="dxa" w:w="2160"/>
            <w:tcMar>
              <w:top w:w="100" w:type="dxa"/>
              <w:bottom w:w="100" w:type="dxa"/>
              <w:left w:w="120" w:type="dxa"/>
              <w:right w:w="120" w:type="dxa"/>
            </w:tcMar>
          </w:tcPr>
          <w:p>
            <w:r>
              <w:rPr>
                <w:rFonts w:ascii="宋体" w:hAnsi="宋体"/>
                <w:sz w:val="19"/>
              </w:rPr>
              <w:t>大语言模型</w:t>
              <w:br/>
              <w:t>(ChatGPT / 豆包)</w:t>
            </w:r>
          </w:p>
        </w:tc>
        <w:tc>
          <w:tcPr>
            <w:tcW w:type="dxa" w:w="1872"/>
            <w:tcMar>
              <w:top w:w="100" w:type="dxa"/>
              <w:bottom w:w="100" w:type="dxa"/>
              <w:left w:w="120" w:type="dxa"/>
              <w:right w:w="120" w:type="dxa"/>
            </w:tcMar>
          </w:tcPr>
          <w:p>
            <w:r>
              <w:rPr>
                <w:rFonts w:ascii="宋体" w:hAnsi="宋体"/>
                <w:sz w:val="19"/>
              </w:rPr>
              <w:t>背景调研、政策提炼、汇报PPT框架头脑风暴</w:t>
            </w:r>
          </w:p>
        </w:tc>
        <w:tc>
          <w:tcPr>
            <w:tcW w:type="dxa" w:w="3168"/>
            <w:tcMar>
              <w:top w:w="100" w:type="dxa"/>
              <w:bottom w:w="100" w:type="dxa"/>
              <w:left w:w="120" w:type="dxa"/>
              <w:right w:w="120" w:type="dxa"/>
            </w:tcMar>
          </w:tcPr>
          <w:p>
            <w:r>
              <w:rPr>
                <w:rFonts w:ascii="宋体" w:hAnsi="宋体"/>
                <w:sz w:val="19"/>
              </w:rPr>
              <w:t>辅助归纳《“健康中国2030”规划纲要》及《十四五全民健康信息化规划》关键词，提供智慧医院平急结合设计策略的初版发散思路与竞赛路演大纲草稿。</w:t>
            </w:r>
          </w:p>
        </w:tc>
        <w:tc>
          <w:tcPr>
            <w:tcW w:type="dxa" w:w="2880"/>
            <w:tcMar>
              <w:top w:w="100" w:type="dxa"/>
              <w:bottom w:w="100" w:type="dxa"/>
              <w:left w:w="120" w:type="dxa"/>
              <w:right w:w="120" w:type="dxa"/>
            </w:tcMar>
          </w:tcPr>
          <w:p>
            <w:r>
              <w:rPr>
                <w:rFonts w:ascii="宋体" w:hAnsi="宋体"/>
                <w:sz w:val="19"/>
              </w:rPr>
              <w:t>学生结合真实公立医院运营痛点，彻底重构出“信息提纯、物联透视、毫秒预警、作战地图”四大设计策略，自主撰写答辩逐字稿并剔除所有不符医学场景的虚泛内容。</w:t>
            </w:r>
          </w:p>
        </w:tc>
      </w:tr>
      <w:tr>
        <w:tc>
          <w:tcPr>
            <w:tcW w:type="dxa" w:w="2160"/>
            <w:tcMar>
              <w:top w:w="100" w:type="dxa"/>
              <w:bottom w:w="100" w:type="dxa"/>
              <w:left w:w="120" w:type="dxa"/>
              <w:right w:w="120" w:type="dxa"/>
            </w:tcMar>
          </w:tcPr>
          <w:p>
            <w:r>
              <w:rPr>
                <w:rFonts w:ascii="宋体" w:hAnsi="宋体"/>
                <w:sz w:val="19"/>
              </w:rPr>
              <w:t>图像生成工具</w:t>
              <w:br/>
              <w:t>(即梦 / Midjourney)</w:t>
            </w:r>
          </w:p>
        </w:tc>
        <w:tc>
          <w:tcPr>
            <w:tcW w:type="dxa" w:w="1872"/>
            <w:tcMar>
              <w:top w:w="100" w:type="dxa"/>
              <w:bottom w:w="100" w:type="dxa"/>
              <w:left w:w="120" w:type="dxa"/>
              <w:right w:w="120" w:type="dxa"/>
            </w:tcMar>
          </w:tcPr>
          <w:p>
            <w:r>
              <w:rPr>
                <w:rFonts w:ascii="宋体" w:hAnsi="宋体"/>
                <w:sz w:val="19"/>
              </w:rPr>
              <w:t>大屏UI概念设计、深空科技背景纹理参考</w:t>
            </w:r>
          </w:p>
        </w:tc>
        <w:tc>
          <w:tcPr>
            <w:tcW w:type="dxa" w:w="3168"/>
            <w:tcMar>
              <w:top w:w="100" w:type="dxa"/>
              <w:bottom w:w="100" w:type="dxa"/>
              <w:left w:w="120" w:type="dxa"/>
              <w:right w:w="120" w:type="dxa"/>
            </w:tcMar>
          </w:tcPr>
          <w:p>
            <w:r>
              <w:rPr>
                <w:rFonts w:ascii="宋体" w:hAnsi="宋体"/>
                <w:sz w:val="19"/>
              </w:rPr>
              <w:t>生成深蓝色科技光环、全景院区三维透视概念示意图，作为大屏整体UI设计语言的色调与光影参考。</w:t>
            </w:r>
          </w:p>
        </w:tc>
        <w:tc>
          <w:tcPr>
            <w:tcW w:type="dxa" w:w="2880"/>
            <w:tcMar>
              <w:top w:w="100" w:type="dxa"/>
              <w:bottom w:w="100" w:type="dxa"/>
              <w:left w:w="120" w:type="dxa"/>
              <w:right w:w="120" w:type="dxa"/>
            </w:tcMar>
          </w:tcPr>
          <w:p>
            <w:r>
              <w:rPr>
                <w:rFonts w:ascii="宋体" w:hAnsi="宋体"/>
                <w:sz w:val="19"/>
              </w:rPr>
              <w:t>学生提取有效光影元素后，在Photoshop中进行精度重绘、切片与暗夜深空色彩校准（降低值守疲劳），人工完成CSS3动态扫描线与SVG发光边框的手工编码。</w:t>
            </w:r>
          </w:p>
        </w:tc>
      </w:tr>
    </w:tbl>
    <w:p>
      <w:pPr>
        <w:keepNext/>
        <w:spacing w:before="280" w:after="120"/>
      </w:pPr>
      <w:r>
        <w:rPr>
          <w:rFonts w:ascii="黑体" w:hAnsi="黑体"/>
          <w:b/>
          <w:color w:val="0E477E"/>
          <w:sz w:val="24"/>
        </w:rPr>
        <w:t>三、代表性AI使用过程</w:t>
      </w:r>
    </w:p>
    <w:p>
      <w:pPr>
        <w:spacing w:after="80" w:line="300" w:lineRule="auto"/>
      </w:pPr>
      <w:r>
        <w:rPr>
          <w:rFonts w:ascii="宋体" w:hAnsi="宋体"/>
          <w:color w:val="333333"/>
          <w:sz w:val="21"/>
        </w:rPr>
        <w:t>结合实际选择三个对最终成果影响较大的关键环节，简要说明“使用目的—主要输入—AI输出—人工处理—最终应用”：</w:t>
      </w:r>
    </w:p>
    <w:p>
      <w:pPr>
        <w:keepNext/>
        <w:spacing w:before="180" w:after="80"/>
      </w:pPr>
      <w:r>
        <w:rPr>
          <w:rFonts w:ascii="黑体" w:hAnsi="黑体"/>
          <w:b/>
          <w:color w:val="222222"/>
          <w:sz w:val="22"/>
        </w:rPr>
        <w:t>环节一：临床急危重症与120出车高保真Mock数据生成</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4680"/>
        <w:gridCol w:w="4680"/>
      </w:tblGrid>
      <w:tr>
        <w:tc>
          <w:tcPr>
            <w:tcW w:type="dxa" w:w="2880"/>
            <w:shd w:fill="F5F8FA"/>
            <w:tcMar>
              <w:top w:w="90" w:type="dxa"/>
              <w:bottom w:w="90" w:type="dxa"/>
              <w:left w:w="120" w:type="dxa"/>
              <w:right w:w="120" w:type="dxa"/>
            </w:tcMar>
          </w:tcPr>
          <w:p>
            <w:pPr>
              <w:jc w:val="right"/>
            </w:pPr>
            <w:r>
              <w:rPr>
                <w:rFonts w:ascii="黑体" w:hAnsi="黑体"/>
                <w:b/>
                <w:sz w:val="19"/>
              </w:rPr>
              <w:t>使用环节及目的</w:t>
            </w:r>
          </w:p>
        </w:tc>
        <w:tc>
          <w:tcPr>
            <w:tcW w:type="dxa" w:w="6912"/>
            <w:tcMar>
              <w:top w:w="90" w:type="dxa"/>
              <w:bottom w:w="90" w:type="dxa"/>
              <w:left w:w="120" w:type="dxa"/>
              <w:right w:w="120" w:type="dxa"/>
            </w:tcMar>
          </w:tcPr>
          <w:p>
            <w:r>
              <w:rPr>
                <w:rFonts w:ascii="宋体" w:hAnsi="宋体"/>
                <w:sz w:val="19"/>
              </w:rPr>
              <w:t>系统需在开发及演示阶段模拟真实医疗临床数据，用于检验大屏在多并发、多指标剧烈变动下的渲染稳健性。</w:t>
            </w:r>
          </w:p>
        </w:tc>
      </w:tr>
      <w:tr>
        <w:tc>
          <w:tcPr>
            <w:tcW w:type="dxa" w:w="2880"/>
            <w:shd w:fill="F5F8FA"/>
            <w:tcMar>
              <w:top w:w="90" w:type="dxa"/>
              <w:bottom w:w="90" w:type="dxa"/>
              <w:left w:w="120" w:type="dxa"/>
              <w:right w:w="120" w:type="dxa"/>
            </w:tcMar>
          </w:tcPr>
          <w:p>
            <w:pPr>
              <w:jc w:val="right"/>
            </w:pPr>
            <w:r>
              <w:rPr>
                <w:rFonts w:ascii="黑体" w:hAnsi="黑体"/>
                <w:b/>
                <w:sz w:val="19"/>
              </w:rPr>
              <w:t>主要工具／模型</w:t>
            </w:r>
          </w:p>
        </w:tc>
        <w:tc>
          <w:tcPr>
            <w:tcW w:type="dxa" w:w="6912"/>
            <w:tcMar>
              <w:top w:w="90" w:type="dxa"/>
              <w:bottom w:w="90" w:type="dxa"/>
              <w:left w:w="120" w:type="dxa"/>
              <w:right w:w="120" w:type="dxa"/>
            </w:tcMar>
          </w:tcPr>
          <w:p>
            <w:r>
              <w:rPr>
                <w:rFonts w:ascii="宋体" w:hAnsi="宋体"/>
                <w:sz w:val="19"/>
              </w:rPr>
              <w:t>ChatGPT / 代码辅助模型</w:t>
            </w:r>
          </w:p>
        </w:tc>
      </w:tr>
      <w:tr>
        <w:tc>
          <w:tcPr>
            <w:tcW w:type="dxa" w:w="2880"/>
            <w:shd w:fill="F5F8FA"/>
            <w:tcMar>
              <w:top w:w="90" w:type="dxa"/>
              <w:bottom w:w="90" w:type="dxa"/>
              <w:left w:w="120" w:type="dxa"/>
              <w:right w:w="120" w:type="dxa"/>
            </w:tcMar>
          </w:tcPr>
          <w:p>
            <w:pPr>
              <w:jc w:val="right"/>
            </w:pPr>
            <w:r>
              <w:rPr>
                <w:rFonts w:ascii="黑体" w:hAnsi="黑体"/>
                <w:b/>
                <w:sz w:val="19"/>
              </w:rPr>
              <w:t>主要输入或素材来源</w:t>
            </w:r>
          </w:p>
        </w:tc>
        <w:tc>
          <w:tcPr>
            <w:tcW w:type="dxa" w:w="6912"/>
            <w:tcMar>
              <w:top w:w="90" w:type="dxa"/>
              <w:bottom w:w="90" w:type="dxa"/>
              <w:left w:w="120" w:type="dxa"/>
              <w:right w:w="120" w:type="dxa"/>
            </w:tcMar>
          </w:tcPr>
          <w:p>
            <w:r>
              <w:rPr>
                <w:rFonts w:ascii="宋体" w:hAnsi="宋体"/>
                <w:sz w:val="19"/>
              </w:rPr>
              <w:t>学生输入临床医学监测规则，如：胸痛/卒中患者抢救时效、ICU生命体征指标警戒范围（心率&gt;150bpm、血氧&lt;90%、血钾&gt;6.5mmol/L），以及120车牌及流水编号规则。</w:t>
            </w:r>
          </w:p>
        </w:tc>
      </w:tr>
      <w:tr>
        <w:tc>
          <w:tcPr>
            <w:tcW w:type="dxa" w:w="2880"/>
            <w:shd w:fill="F5F8FA"/>
            <w:tcMar>
              <w:top w:w="90" w:type="dxa"/>
              <w:bottom w:w="90" w:type="dxa"/>
              <w:left w:w="120" w:type="dxa"/>
              <w:right w:w="120" w:type="dxa"/>
            </w:tcMar>
          </w:tcPr>
          <w:p>
            <w:pPr>
              <w:jc w:val="right"/>
            </w:pPr>
            <w:r>
              <w:rPr>
                <w:rFonts w:ascii="黑体" w:hAnsi="黑体"/>
                <w:b/>
                <w:sz w:val="19"/>
              </w:rPr>
              <w:t>AI主要输出</w:t>
            </w:r>
          </w:p>
        </w:tc>
        <w:tc>
          <w:tcPr>
            <w:tcW w:type="dxa" w:w="6912"/>
            <w:tcMar>
              <w:top w:w="90" w:type="dxa"/>
              <w:bottom w:w="90" w:type="dxa"/>
              <w:left w:w="120" w:type="dxa"/>
              <w:right w:w="120" w:type="dxa"/>
            </w:tcMar>
          </w:tcPr>
          <w:p>
            <w:r>
              <w:rPr>
                <w:rFonts w:ascii="宋体" w:hAnsi="宋体"/>
                <w:sz w:val="19"/>
              </w:rPr>
              <w:t>一段基础的JSON数据模板与随机数生成逻辑草稿。</w:t>
            </w:r>
          </w:p>
        </w:tc>
      </w:tr>
      <w:tr>
        <w:tc>
          <w:tcPr>
            <w:tcW w:type="dxa" w:w="2880"/>
            <w:shd w:fill="F5F8FA"/>
            <w:tcMar>
              <w:top w:w="90" w:type="dxa"/>
              <w:bottom w:w="90" w:type="dxa"/>
              <w:left w:w="120" w:type="dxa"/>
              <w:right w:w="120" w:type="dxa"/>
            </w:tcMar>
          </w:tcPr>
          <w:p>
            <w:pPr>
              <w:jc w:val="right"/>
            </w:pPr>
            <w:r>
              <w:rPr>
                <w:rFonts w:ascii="黑体" w:hAnsi="黑体"/>
                <w:b/>
                <w:sz w:val="19"/>
              </w:rPr>
              <w:t>学生筛选、修改或再创作</w:t>
            </w:r>
          </w:p>
        </w:tc>
        <w:tc>
          <w:tcPr>
            <w:tcW w:type="dxa" w:w="6912"/>
            <w:tcMar>
              <w:top w:w="90" w:type="dxa"/>
              <w:bottom w:w="90" w:type="dxa"/>
              <w:left w:w="120" w:type="dxa"/>
              <w:right w:w="120" w:type="dxa"/>
            </w:tcMar>
          </w:tcPr>
          <w:p>
            <w:r>
              <w:rPr>
                <w:rFonts w:ascii="宋体" w:hAnsi="宋体"/>
                <w:sz w:val="19"/>
              </w:rPr>
              <w:t>学生团队针对医疗语义进行全面修正：严格定义危急值三级警示阈值，剔除荒谬指标（如脉搏为0但意识清醒）；重写动态推送管道，通过Pinia与响应式定时器构建具有医学临床真实波动规律的高保真数据流。</w:t>
            </w:r>
          </w:p>
        </w:tc>
      </w:tr>
      <w:tr>
        <w:tc>
          <w:tcPr>
            <w:tcW w:type="dxa" w:w="2880"/>
            <w:shd w:fill="F5F8FA"/>
            <w:tcMar>
              <w:top w:w="90" w:type="dxa"/>
              <w:bottom w:w="90" w:type="dxa"/>
              <w:left w:w="120" w:type="dxa"/>
              <w:right w:w="120" w:type="dxa"/>
            </w:tcMar>
          </w:tcPr>
          <w:p>
            <w:pPr>
              <w:jc w:val="right"/>
            </w:pPr>
            <w:r>
              <w:rPr>
                <w:rFonts w:ascii="黑体" w:hAnsi="黑体"/>
                <w:b/>
                <w:sz w:val="19"/>
              </w:rPr>
              <w:t>最终成果中的应用位置</w:t>
            </w:r>
          </w:p>
        </w:tc>
        <w:tc>
          <w:tcPr>
            <w:tcW w:type="dxa" w:w="6912"/>
            <w:tcMar>
              <w:top w:w="90" w:type="dxa"/>
              <w:bottom w:w="90" w:type="dxa"/>
              <w:left w:w="120" w:type="dxa"/>
              <w:right w:w="120" w:type="dxa"/>
            </w:tcMar>
          </w:tcPr>
          <w:p>
            <w:r>
              <w:rPr>
                <w:rFonts w:ascii="宋体" w:hAnsi="宋体"/>
                <w:sz w:val="19"/>
              </w:rPr>
              <w:t>大屏一（综合监控）置顶预警模块、大屏二（急救调度）EICU床位监护卡片、大屏三（全景运营）科室就诊负荷及医保结算模块。</w:t>
            </w:r>
          </w:p>
        </w:tc>
      </w:tr>
      <w:tr>
        <w:tc>
          <w:tcPr>
            <w:tcW w:type="dxa" w:w="2880"/>
            <w:shd w:fill="F5F8FA"/>
            <w:tcMar>
              <w:top w:w="90" w:type="dxa"/>
              <w:bottom w:w="90" w:type="dxa"/>
              <w:left w:w="120" w:type="dxa"/>
              <w:right w:w="120" w:type="dxa"/>
            </w:tcMar>
          </w:tcPr>
          <w:p>
            <w:pPr>
              <w:jc w:val="right"/>
            </w:pPr>
            <w:r>
              <w:rPr>
                <w:rFonts w:ascii="黑体" w:hAnsi="黑体"/>
                <w:b/>
                <w:sz w:val="19"/>
              </w:rPr>
              <w:t>可核验材料（如有）</w:t>
            </w:r>
          </w:p>
        </w:tc>
        <w:tc>
          <w:tcPr>
            <w:tcW w:type="dxa" w:w="6912"/>
            <w:tcMar>
              <w:top w:w="90" w:type="dxa"/>
              <w:bottom w:w="90" w:type="dxa"/>
              <w:left w:w="120" w:type="dxa"/>
              <w:right w:w="120" w:type="dxa"/>
            </w:tcMar>
          </w:tcPr>
          <w:p>
            <w:r>
              <w:rPr>
                <w:rFonts w:ascii="宋体" w:hAnsi="宋体"/>
                <w:sz w:val="19"/>
              </w:rPr>
              <w:t>源码 `src/mock/` 目录中的高保真医疗数据定义及业务逻辑过滤函数。</w:t>
            </w:r>
          </w:p>
        </w:tc>
      </w:tr>
    </w:tbl>
    <w:p>
      <w:pPr>
        <w:keepNext/>
        <w:spacing w:before="180" w:after="80"/>
      </w:pPr>
      <w:r>
        <w:rPr>
          <w:rFonts w:ascii="黑体" w:hAnsi="黑体"/>
          <w:b/>
          <w:color w:val="222222"/>
          <w:sz w:val="22"/>
        </w:rPr>
        <w:t>环节二：3D水晶床位柱状图与南丁格尔发光玫瑰图算法优化</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4680"/>
        <w:gridCol w:w="4680"/>
      </w:tblGrid>
      <w:tr>
        <w:tc>
          <w:tcPr>
            <w:tcW w:type="dxa" w:w="2880"/>
            <w:shd w:fill="F5F8FA"/>
            <w:tcMar>
              <w:top w:w="90" w:type="dxa"/>
              <w:bottom w:w="90" w:type="dxa"/>
              <w:left w:w="120" w:type="dxa"/>
              <w:right w:w="120" w:type="dxa"/>
            </w:tcMar>
          </w:tcPr>
          <w:p>
            <w:pPr>
              <w:jc w:val="right"/>
            </w:pPr>
            <w:r>
              <w:rPr>
                <w:rFonts w:ascii="黑体" w:hAnsi="黑体"/>
                <w:b/>
                <w:sz w:val="19"/>
              </w:rPr>
              <w:t>使用环节及目的</w:t>
            </w:r>
          </w:p>
        </w:tc>
        <w:tc>
          <w:tcPr>
            <w:tcW w:type="dxa" w:w="6912"/>
            <w:tcMar>
              <w:top w:w="90" w:type="dxa"/>
              <w:bottom w:w="90" w:type="dxa"/>
              <w:left w:w="120" w:type="dxa"/>
              <w:right w:w="120" w:type="dxa"/>
            </w:tcMar>
          </w:tcPr>
          <w:p>
            <w:r>
              <w:rPr>
                <w:rFonts w:ascii="宋体" w:hAnsi="宋体"/>
                <w:sz w:val="19"/>
              </w:rPr>
              <w:t>提升医疗大屏图表的科技观感与数据穿透力，解决传统二维扁平图表在全景指挥中视觉层级单薄的问题。</w:t>
            </w:r>
          </w:p>
        </w:tc>
      </w:tr>
      <w:tr>
        <w:tc>
          <w:tcPr>
            <w:tcW w:type="dxa" w:w="2880"/>
            <w:shd w:fill="F5F8FA"/>
            <w:tcMar>
              <w:top w:w="90" w:type="dxa"/>
              <w:bottom w:w="90" w:type="dxa"/>
              <w:left w:w="120" w:type="dxa"/>
              <w:right w:w="120" w:type="dxa"/>
            </w:tcMar>
          </w:tcPr>
          <w:p>
            <w:pPr>
              <w:jc w:val="right"/>
            </w:pPr>
            <w:r>
              <w:rPr>
                <w:rFonts w:ascii="黑体" w:hAnsi="黑体"/>
                <w:b/>
                <w:sz w:val="19"/>
              </w:rPr>
              <w:t>主要工具／模型</w:t>
            </w:r>
          </w:p>
        </w:tc>
        <w:tc>
          <w:tcPr>
            <w:tcW w:type="dxa" w:w="6912"/>
            <w:tcMar>
              <w:top w:w="90" w:type="dxa"/>
              <w:bottom w:w="90" w:type="dxa"/>
              <w:left w:w="120" w:type="dxa"/>
              <w:right w:w="120" w:type="dxa"/>
            </w:tcMar>
          </w:tcPr>
          <w:p>
            <w:r>
              <w:rPr>
                <w:rFonts w:ascii="宋体" w:hAnsi="宋体"/>
                <w:sz w:val="19"/>
              </w:rPr>
              <w:t>代码辅助智能体</w:t>
            </w:r>
          </w:p>
        </w:tc>
      </w:tr>
      <w:tr>
        <w:tc>
          <w:tcPr>
            <w:tcW w:type="dxa" w:w="2880"/>
            <w:shd w:fill="F5F8FA"/>
            <w:tcMar>
              <w:top w:w="90" w:type="dxa"/>
              <w:bottom w:w="90" w:type="dxa"/>
              <w:left w:w="120" w:type="dxa"/>
              <w:right w:w="120" w:type="dxa"/>
            </w:tcMar>
          </w:tcPr>
          <w:p>
            <w:pPr>
              <w:jc w:val="right"/>
            </w:pPr>
            <w:r>
              <w:rPr>
                <w:rFonts w:ascii="黑体" w:hAnsi="黑体"/>
                <w:b/>
                <w:sz w:val="19"/>
              </w:rPr>
              <w:t>主要输入或素材来源</w:t>
            </w:r>
          </w:p>
        </w:tc>
        <w:tc>
          <w:tcPr>
            <w:tcW w:type="dxa" w:w="6912"/>
            <w:tcMar>
              <w:top w:w="90" w:type="dxa"/>
              <w:bottom w:w="90" w:type="dxa"/>
              <w:left w:w="120" w:type="dxa"/>
              <w:right w:w="120" w:type="dxa"/>
            </w:tcMar>
          </w:tcPr>
          <w:p>
            <w:r>
              <w:rPr>
                <w:rFonts w:ascii="宋体" w:hAnsi="宋体"/>
                <w:sz w:val="19"/>
              </w:rPr>
              <w:t>学生向AI提供基础ECharts柱状图与环形图配置，提出设计诉求：“如何用ECharts实现带3D菱形水晶盖的立体双柱，以及带同心虚线雷达光环的南丁格尔玫瑰图？”</w:t>
            </w:r>
          </w:p>
        </w:tc>
      </w:tr>
      <w:tr>
        <w:tc>
          <w:tcPr>
            <w:tcW w:type="dxa" w:w="2880"/>
            <w:shd w:fill="F5F8FA"/>
            <w:tcMar>
              <w:top w:w="90" w:type="dxa"/>
              <w:bottom w:w="90" w:type="dxa"/>
              <w:left w:w="120" w:type="dxa"/>
              <w:right w:w="120" w:type="dxa"/>
            </w:tcMar>
          </w:tcPr>
          <w:p>
            <w:pPr>
              <w:jc w:val="right"/>
            </w:pPr>
            <w:r>
              <w:rPr>
                <w:rFonts w:ascii="黑体" w:hAnsi="黑体"/>
                <w:b/>
                <w:sz w:val="19"/>
              </w:rPr>
              <w:t>AI主要输出</w:t>
            </w:r>
          </w:p>
        </w:tc>
        <w:tc>
          <w:tcPr>
            <w:tcW w:type="dxa" w:w="6912"/>
            <w:tcMar>
              <w:top w:w="90" w:type="dxa"/>
              <w:bottom w:w="90" w:type="dxa"/>
              <w:left w:w="120" w:type="dxa"/>
              <w:right w:w="120" w:type="dxa"/>
            </w:tcMar>
          </w:tcPr>
          <w:p>
            <w:r>
              <w:rPr>
                <w:rFonts w:ascii="宋体" w:hAnsi="宋体"/>
                <w:sz w:val="19"/>
              </w:rPr>
              <w:t>提供了利用ECharts `pictorialBar` 自定义矢量图形（path）叠加的实现思路和初版配置片段。</w:t>
            </w:r>
          </w:p>
        </w:tc>
      </w:tr>
      <w:tr>
        <w:tc>
          <w:tcPr>
            <w:tcW w:type="dxa" w:w="2880"/>
            <w:shd w:fill="F5F8FA"/>
            <w:tcMar>
              <w:top w:w="90" w:type="dxa"/>
              <w:bottom w:w="90" w:type="dxa"/>
              <w:left w:w="120" w:type="dxa"/>
              <w:right w:w="120" w:type="dxa"/>
            </w:tcMar>
          </w:tcPr>
          <w:p>
            <w:pPr>
              <w:jc w:val="right"/>
            </w:pPr>
            <w:r>
              <w:rPr>
                <w:rFonts w:ascii="黑体" w:hAnsi="黑体"/>
                <w:b/>
                <w:sz w:val="19"/>
              </w:rPr>
              <w:t>学生筛选、修改或再创作</w:t>
            </w:r>
          </w:p>
        </w:tc>
        <w:tc>
          <w:tcPr>
            <w:tcW w:type="dxa" w:w="6912"/>
            <w:tcMar>
              <w:top w:w="90" w:type="dxa"/>
              <w:bottom w:w="90" w:type="dxa"/>
              <w:left w:w="120" w:type="dxa"/>
              <w:right w:w="120" w:type="dxa"/>
            </w:tcMar>
          </w:tcPr>
          <w:p>
            <w:r>
              <w:rPr>
                <w:rFonts w:ascii="宋体" w:hAnsi="宋体"/>
                <w:sz w:val="19"/>
              </w:rPr>
              <w:t>AI给出的初版配置在屏幕自适应缩放时出现盖顶偏移、图层错位问题。学生团队重新计算了Canvas图元坐标缩放比，采用双层阴影光晕渲染与极坐标系优化，手写实现‘在用床位与编制床位’立体虚实对比及荧光折线融合组件。</w:t>
            </w:r>
          </w:p>
        </w:tc>
      </w:tr>
      <w:tr>
        <w:tc>
          <w:tcPr>
            <w:tcW w:type="dxa" w:w="2880"/>
            <w:shd w:fill="F5F8FA"/>
            <w:tcMar>
              <w:top w:w="90" w:type="dxa"/>
              <w:bottom w:w="90" w:type="dxa"/>
              <w:left w:w="120" w:type="dxa"/>
              <w:right w:w="120" w:type="dxa"/>
            </w:tcMar>
          </w:tcPr>
          <w:p>
            <w:pPr>
              <w:jc w:val="right"/>
            </w:pPr>
            <w:r>
              <w:rPr>
                <w:rFonts w:ascii="黑体" w:hAnsi="黑体"/>
                <w:b/>
                <w:sz w:val="19"/>
              </w:rPr>
              <w:t>最终成果中的应用位置</w:t>
            </w:r>
          </w:p>
        </w:tc>
        <w:tc>
          <w:tcPr>
            <w:tcW w:type="dxa" w:w="6912"/>
            <w:tcMar>
              <w:top w:w="90" w:type="dxa"/>
              <w:bottom w:w="90" w:type="dxa"/>
              <w:left w:w="120" w:type="dxa"/>
              <w:right w:w="120" w:type="dxa"/>
            </w:tcMar>
          </w:tcPr>
          <w:p>
            <w:r>
              <w:rPr>
                <w:rFonts w:ascii="宋体" w:hAnsi="宋体"/>
                <w:sz w:val="19"/>
              </w:rPr>
              <w:t>大屏一中下方重点科室床位使用率看板、左下方患者就诊分类态势组件。</w:t>
            </w:r>
          </w:p>
        </w:tc>
      </w:tr>
      <w:tr>
        <w:tc>
          <w:tcPr>
            <w:tcW w:type="dxa" w:w="2880"/>
            <w:shd w:fill="F5F8FA"/>
            <w:tcMar>
              <w:top w:w="90" w:type="dxa"/>
              <w:bottom w:w="90" w:type="dxa"/>
              <w:left w:w="120" w:type="dxa"/>
              <w:right w:w="120" w:type="dxa"/>
            </w:tcMar>
          </w:tcPr>
          <w:p>
            <w:pPr>
              <w:jc w:val="right"/>
            </w:pPr>
            <w:r>
              <w:rPr>
                <w:rFonts w:ascii="黑体" w:hAnsi="黑体"/>
                <w:b/>
                <w:sz w:val="19"/>
              </w:rPr>
              <w:t>可核验材料（如有）</w:t>
            </w:r>
          </w:p>
        </w:tc>
        <w:tc>
          <w:tcPr>
            <w:tcW w:type="dxa" w:w="6912"/>
            <w:tcMar>
              <w:top w:w="90" w:type="dxa"/>
              <w:bottom w:w="90" w:type="dxa"/>
              <w:left w:w="120" w:type="dxa"/>
              <w:right w:w="120" w:type="dxa"/>
            </w:tcMar>
          </w:tcPr>
          <w:p>
            <w:r>
              <w:rPr>
                <w:rFonts w:ascii="宋体" w:hAnsi="宋体"/>
                <w:sz w:val="19"/>
              </w:rPr>
              <w:t>源码 `src/views/index/center-bottom.vue` 与 `left-bottom.vue`。</w:t>
            </w:r>
          </w:p>
        </w:tc>
      </w:tr>
    </w:tbl>
    <w:p>
      <w:pPr>
        <w:keepNext/>
        <w:spacing w:before="180" w:after="80"/>
      </w:pPr>
      <w:r>
        <w:rPr>
          <w:rFonts w:ascii="黑体" w:hAnsi="黑体"/>
          <w:b/>
          <w:color w:val="222222"/>
          <w:sz w:val="22"/>
        </w:rPr>
        <w:t>环节三：三大主题大屏热切换架构与无滚动条满屏算法攻坚</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4680"/>
        <w:gridCol w:w="4680"/>
      </w:tblGrid>
      <w:tr>
        <w:tc>
          <w:tcPr>
            <w:tcW w:type="dxa" w:w="2880"/>
            <w:shd w:fill="F5F8FA"/>
            <w:tcMar>
              <w:top w:w="90" w:type="dxa"/>
              <w:bottom w:w="90" w:type="dxa"/>
              <w:left w:w="120" w:type="dxa"/>
              <w:right w:w="120" w:type="dxa"/>
            </w:tcMar>
          </w:tcPr>
          <w:p>
            <w:pPr>
              <w:jc w:val="right"/>
            </w:pPr>
            <w:r>
              <w:rPr>
                <w:rFonts w:ascii="黑体" w:hAnsi="黑体"/>
                <w:b/>
                <w:sz w:val="19"/>
              </w:rPr>
              <w:t>使用环节及目的</w:t>
            </w:r>
          </w:p>
        </w:tc>
        <w:tc>
          <w:tcPr>
            <w:tcW w:type="dxa" w:w="6912"/>
            <w:tcMar>
              <w:top w:w="90" w:type="dxa"/>
              <w:bottom w:w="90" w:type="dxa"/>
              <w:left w:w="120" w:type="dxa"/>
              <w:right w:w="120" w:type="dxa"/>
            </w:tcMar>
          </w:tcPr>
          <w:p>
            <w:r>
              <w:rPr>
                <w:rFonts w:ascii="宋体" w:hAnsi="宋体"/>
                <w:sz w:val="19"/>
              </w:rPr>
              <w:t>攻克大屏在不同分辨率投影与显示器下的右侧滑轮溢出问题，并实现三大主题大屏毫秒级平滑热切换。</w:t>
            </w:r>
          </w:p>
        </w:tc>
      </w:tr>
      <w:tr>
        <w:tc>
          <w:tcPr>
            <w:tcW w:type="dxa" w:w="2880"/>
            <w:shd w:fill="F5F8FA"/>
            <w:tcMar>
              <w:top w:w="90" w:type="dxa"/>
              <w:bottom w:w="90" w:type="dxa"/>
              <w:left w:w="120" w:type="dxa"/>
              <w:right w:w="120" w:type="dxa"/>
            </w:tcMar>
          </w:tcPr>
          <w:p>
            <w:pPr>
              <w:jc w:val="right"/>
            </w:pPr>
            <w:r>
              <w:rPr>
                <w:rFonts w:ascii="黑体" w:hAnsi="黑体"/>
                <w:b/>
                <w:sz w:val="19"/>
              </w:rPr>
              <w:t>主要工具／模型</w:t>
            </w:r>
          </w:p>
        </w:tc>
        <w:tc>
          <w:tcPr>
            <w:tcW w:type="dxa" w:w="6912"/>
            <w:tcMar>
              <w:top w:w="90" w:type="dxa"/>
              <w:bottom w:w="90" w:type="dxa"/>
              <w:left w:w="120" w:type="dxa"/>
              <w:right w:w="120" w:type="dxa"/>
            </w:tcMar>
          </w:tcPr>
          <w:p>
            <w:r>
              <w:rPr>
                <w:rFonts w:ascii="宋体" w:hAnsi="宋体"/>
                <w:sz w:val="19"/>
              </w:rPr>
              <w:t>Antigravity Assistant / 代码辅助模型</w:t>
            </w:r>
          </w:p>
        </w:tc>
      </w:tr>
      <w:tr>
        <w:tc>
          <w:tcPr>
            <w:tcW w:type="dxa" w:w="2880"/>
            <w:shd w:fill="F5F8FA"/>
            <w:tcMar>
              <w:top w:w="90" w:type="dxa"/>
              <w:bottom w:w="90" w:type="dxa"/>
              <w:left w:w="120" w:type="dxa"/>
              <w:right w:w="120" w:type="dxa"/>
            </w:tcMar>
          </w:tcPr>
          <w:p>
            <w:pPr>
              <w:jc w:val="right"/>
            </w:pPr>
            <w:r>
              <w:rPr>
                <w:rFonts w:ascii="黑体" w:hAnsi="黑体"/>
                <w:b/>
                <w:sz w:val="19"/>
              </w:rPr>
              <w:t>主要输入或素材来源</w:t>
            </w:r>
          </w:p>
        </w:tc>
        <w:tc>
          <w:tcPr>
            <w:tcW w:type="dxa" w:w="6912"/>
            <w:tcMar>
              <w:top w:w="90" w:type="dxa"/>
              <w:bottom w:w="90" w:type="dxa"/>
              <w:left w:w="120" w:type="dxa"/>
              <w:right w:w="120" w:type="dxa"/>
            </w:tcMar>
          </w:tcPr>
          <w:p>
            <w:r>
              <w:rPr>
                <w:rFonts w:ascii="宋体" w:hAnsi="宋体"/>
                <w:sz w:val="19"/>
              </w:rPr>
              <w:t>提出工程难题：“在Vue 3 + Vite架构下，如何设计多大屏无刷新路由切换，同时使用Scale-Screen进行硬件加速缩放，杜绝任何滚动条？”</w:t>
            </w:r>
          </w:p>
        </w:tc>
      </w:tr>
      <w:tr>
        <w:tc>
          <w:tcPr>
            <w:tcW w:type="dxa" w:w="2880"/>
            <w:shd w:fill="F5F8FA"/>
            <w:tcMar>
              <w:top w:w="90" w:type="dxa"/>
              <w:bottom w:w="90" w:type="dxa"/>
              <w:left w:w="120" w:type="dxa"/>
              <w:right w:w="120" w:type="dxa"/>
            </w:tcMar>
          </w:tcPr>
          <w:p>
            <w:pPr>
              <w:jc w:val="right"/>
            </w:pPr>
            <w:r>
              <w:rPr>
                <w:rFonts w:ascii="黑体" w:hAnsi="黑体"/>
                <w:b/>
                <w:sz w:val="19"/>
              </w:rPr>
              <w:t>AI主要输出</w:t>
            </w:r>
          </w:p>
        </w:tc>
        <w:tc>
          <w:tcPr>
            <w:tcW w:type="dxa" w:w="6912"/>
            <w:tcMar>
              <w:top w:w="90" w:type="dxa"/>
              <w:bottom w:w="90" w:type="dxa"/>
              <w:left w:w="120" w:type="dxa"/>
              <w:right w:w="120" w:type="dxa"/>
            </w:tcMar>
          </w:tcPr>
          <w:p>
            <w:r>
              <w:rPr>
                <w:rFonts w:ascii="宋体" w:hAnsi="宋体"/>
                <w:sz w:val="19"/>
              </w:rPr>
              <w:t>给出了基于Vue Router动态过渡动画的示例结构，以及Scale-Screen组件引入参考。</w:t>
            </w:r>
          </w:p>
        </w:tc>
      </w:tr>
      <w:tr>
        <w:tc>
          <w:tcPr>
            <w:tcW w:type="dxa" w:w="2880"/>
            <w:shd w:fill="F5F8FA"/>
            <w:tcMar>
              <w:top w:w="90" w:type="dxa"/>
              <w:bottom w:w="90" w:type="dxa"/>
              <w:left w:w="120" w:type="dxa"/>
              <w:right w:w="120" w:type="dxa"/>
            </w:tcMar>
          </w:tcPr>
          <w:p>
            <w:pPr>
              <w:jc w:val="right"/>
            </w:pPr>
            <w:r>
              <w:rPr>
                <w:rFonts w:ascii="黑体" w:hAnsi="黑体"/>
                <w:b/>
                <w:sz w:val="19"/>
              </w:rPr>
              <w:t>学生筛选、修改或再创作</w:t>
            </w:r>
          </w:p>
        </w:tc>
        <w:tc>
          <w:tcPr>
            <w:tcW w:type="dxa" w:w="6912"/>
            <w:tcMar>
              <w:top w:w="90" w:type="dxa"/>
              <w:bottom w:w="90" w:type="dxa"/>
              <w:left w:w="120" w:type="dxa"/>
              <w:right w:w="120" w:type="dxa"/>
            </w:tcMar>
          </w:tcPr>
          <w:p>
            <w:r>
              <w:rPr>
                <w:rFonts w:ascii="宋体" w:hAnsi="宋体"/>
                <w:sz w:val="19"/>
              </w:rPr>
              <w:t>学生团队进行了深层工程重构：在 `html, body, #app, .v-screen-box` 根节点设置 `overflow: hidden; width: 100vw; height: 100vh` 绝对锁死；编写双向视口比例计算公式（ScaleX/ScaleY）；重构顶栏Header科技Tabs发光组件与标题联动机制，确保图表DOM在切换时安全销毁并释放显存。</w:t>
            </w:r>
          </w:p>
        </w:tc>
      </w:tr>
      <w:tr>
        <w:tc>
          <w:tcPr>
            <w:tcW w:type="dxa" w:w="2880"/>
            <w:shd w:fill="F5F8FA"/>
            <w:tcMar>
              <w:top w:w="90" w:type="dxa"/>
              <w:bottom w:w="90" w:type="dxa"/>
              <w:left w:w="120" w:type="dxa"/>
              <w:right w:w="120" w:type="dxa"/>
            </w:tcMar>
          </w:tcPr>
          <w:p>
            <w:pPr>
              <w:jc w:val="right"/>
            </w:pPr>
            <w:r>
              <w:rPr>
                <w:rFonts w:ascii="黑体" w:hAnsi="黑体"/>
                <w:b/>
                <w:sz w:val="19"/>
              </w:rPr>
              <w:t>最终成果中的应用位置</w:t>
            </w:r>
          </w:p>
        </w:tc>
        <w:tc>
          <w:tcPr>
            <w:tcW w:type="dxa" w:w="6912"/>
            <w:tcMar>
              <w:top w:w="90" w:type="dxa"/>
              <w:bottom w:w="90" w:type="dxa"/>
              <w:left w:w="120" w:type="dxa"/>
              <w:right w:w="120" w:type="dxa"/>
            </w:tcMar>
          </w:tcPr>
          <w:p>
            <w:r>
              <w:rPr>
                <w:rFonts w:ascii="宋体" w:hAnsi="宋体"/>
                <w:sz w:val="19"/>
              </w:rPr>
              <w:t>系统根架构 `App.vue`、`HomeView.vue`、顶栏 `header.vue` 与全局样式 `main.scss`。</w:t>
            </w:r>
          </w:p>
        </w:tc>
      </w:tr>
      <w:tr>
        <w:tc>
          <w:tcPr>
            <w:tcW w:type="dxa" w:w="2880"/>
            <w:shd w:fill="F5F8FA"/>
            <w:tcMar>
              <w:top w:w="90" w:type="dxa"/>
              <w:bottom w:w="90" w:type="dxa"/>
              <w:left w:w="120" w:type="dxa"/>
              <w:right w:w="120" w:type="dxa"/>
            </w:tcMar>
          </w:tcPr>
          <w:p>
            <w:pPr>
              <w:jc w:val="right"/>
            </w:pPr>
            <w:r>
              <w:rPr>
                <w:rFonts w:ascii="黑体" w:hAnsi="黑体"/>
                <w:b/>
                <w:sz w:val="19"/>
              </w:rPr>
              <w:t>可核验材料（如有）</w:t>
            </w:r>
          </w:p>
        </w:tc>
        <w:tc>
          <w:tcPr>
            <w:tcW w:type="dxa" w:w="6912"/>
            <w:tcMar>
              <w:top w:w="90" w:type="dxa"/>
              <w:bottom w:w="90" w:type="dxa"/>
              <w:left w:w="120" w:type="dxa"/>
              <w:right w:w="120" w:type="dxa"/>
            </w:tcMar>
          </w:tcPr>
          <w:p>
            <w:r>
              <w:rPr>
                <w:rFonts w:ascii="宋体" w:hAnsi="宋体"/>
                <w:sz w:val="19"/>
              </w:rPr>
              <w:t>全屏零滚动条核心算法源码与Git版本迭代提交记录。</w:t>
            </w:r>
          </w:p>
        </w:tc>
      </w:tr>
    </w:tbl>
    <w:p>
      <w:pPr>
        <w:keepNext/>
        <w:spacing w:before="280" w:after="120"/>
      </w:pPr>
      <w:r>
        <w:rPr>
          <w:rFonts w:ascii="黑体" w:hAnsi="黑体"/>
          <w:b/>
          <w:color w:val="0E477E"/>
          <w:sz w:val="24"/>
        </w:rPr>
        <w:t>四、最终成果中的AI生成或辅助内容</w:t>
      </w:r>
    </w:p>
    <w:p>
      <w:pPr>
        <w:spacing w:after="80" w:line="300" w:lineRule="auto"/>
      </w:pPr>
      <w:r>
        <w:rPr>
          <w:rFonts w:ascii="宋体" w:hAnsi="宋体"/>
          <w:color w:val="333333"/>
          <w:sz w:val="21"/>
        </w:rPr>
        <w:t>如最终成果直接或部分保留AI生成或辅助生成内容，填写下表：</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E6EFF7"/>
            <w:tcMar>
              <w:top w:w="140" w:type="dxa"/>
              <w:bottom w:w="140" w:type="dxa"/>
              <w:left w:w="120" w:type="dxa"/>
              <w:right w:w="120" w:type="dxa"/>
            </w:tcMar>
          </w:tcPr>
          <w:p>
            <w:pPr>
              <w:jc w:val="center"/>
            </w:pPr>
            <w:r>
              <w:rPr>
                <w:rFonts w:ascii="黑体" w:hAnsi="黑体"/>
                <w:b/>
                <w:sz w:val="20"/>
              </w:rPr>
              <w:t>内容／成果</w:t>
            </w:r>
          </w:p>
        </w:tc>
        <w:tc>
          <w:tcPr>
            <w:tcW w:type="dxa" w:w="2340"/>
            <w:shd w:fill="E6EFF7"/>
            <w:tcMar>
              <w:top w:w="140" w:type="dxa"/>
              <w:bottom w:w="140" w:type="dxa"/>
              <w:left w:w="120" w:type="dxa"/>
              <w:right w:w="120" w:type="dxa"/>
            </w:tcMar>
          </w:tcPr>
          <w:p>
            <w:pPr>
              <w:jc w:val="center"/>
            </w:pPr>
            <w:r>
              <w:rPr>
                <w:rFonts w:ascii="黑体" w:hAnsi="黑体"/>
                <w:b/>
                <w:sz w:val="20"/>
              </w:rPr>
              <w:t>AI生成或辅助部分</w:t>
            </w:r>
          </w:p>
        </w:tc>
        <w:tc>
          <w:tcPr>
            <w:tcW w:type="dxa" w:w="2340"/>
            <w:shd w:fill="E6EFF7"/>
            <w:tcMar>
              <w:top w:w="140" w:type="dxa"/>
              <w:bottom w:w="140" w:type="dxa"/>
              <w:left w:w="120" w:type="dxa"/>
              <w:right w:w="120" w:type="dxa"/>
            </w:tcMar>
          </w:tcPr>
          <w:p>
            <w:pPr>
              <w:jc w:val="center"/>
            </w:pPr>
            <w:r>
              <w:rPr>
                <w:rFonts w:ascii="黑体" w:hAnsi="黑体"/>
                <w:b/>
                <w:sz w:val="20"/>
              </w:rPr>
              <w:t>学生修改与整合</w:t>
            </w:r>
          </w:p>
        </w:tc>
        <w:tc>
          <w:tcPr>
            <w:tcW w:type="dxa" w:w="2340"/>
            <w:shd w:fill="E6EFF7"/>
            <w:tcMar>
              <w:top w:w="140" w:type="dxa"/>
              <w:bottom w:w="140" w:type="dxa"/>
              <w:left w:w="120" w:type="dxa"/>
              <w:right w:w="120" w:type="dxa"/>
            </w:tcMar>
          </w:tcPr>
          <w:p>
            <w:pPr>
              <w:jc w:val="center"/>
            </w:pPr>
            <w:r>
              <w:rPr>
                <w:rFonts w:ascii="黑体" w:hAnsi="黑体"/>
                <w:b/>
                <w:sz w:val="20"/>
              </w:rPr>
              <w:t>最终使用位置</w:t>
            </w:r>
          </w:p>
        </w:tc>
      </w:tr>
      <w:tr>
        <w:tc>
          <w:tcPr>
            <w:tcW w:type="dxa" w:w="2340"/>
            <w:tcMar>
              <w:top w:w="90" w:type="dxa"/>
              <w:bottom w:w="90" w:type="dxa"/>
              <w:left w:w="120" w:type="dxa"/>
              <w:right w:w="120" w:type="dxa"/>
            </w:tcMar>
          </w:tcPr>
          <w:p>
            <w:r>
              <w:rPr>
                <w:rFonts w:ascii="宋体" w:hAnsi="宋体"/>
                <w:sz w:val="19"/>
              </w:rPr>
              <w:t>医疗仿真数据集</w:t>
            </w:r>
          </w:p>
        </w:tc>
        <w:tc>
          <w:tcPr>
            <w:tcW w:type="dxa" w:w="2340"/>
            <w:tcMar>
              <w:top w:w="90" w:type="dxa"/>
              <w:bottom w:w="90" w:type="dxa"/>
              <w:left w:w="120" w:type="dxa"/>
              <w:right w:w="120" w:type="dxa"/>
            </w:tcMar>
          </w:tcPr>
          <w:p>
            <w:r>
              <w:rPr>
                <w:rFonts w:ascii="宋体" w:hAnsi="宋体"/>
                <w:sz w:val="19"/>
              </w:rPr>
              <w:t>辅助生成各科室急救出车编号、生命体征极值与药品耗材品类的结构化字段模板。</w:t>
            </w:r>
          </w:p>
        </w:tc>
        <w:tc>
          <w:tcPr>
            <w:tcW w:type="dxa" w:w="2340"/>
            <w:tcMar>
              <w:top w:w="90" w:type="dxa"/>
              <w:bottom w:w="90" w:type="dxa"/>
              <w:left w:w="120" w:type="dxa"/>
              <w:right w:w="120" w:type="dxa"/>
            </w:tcMar>
          </w:tcPr>
          <w:p>
            <w:r>
              <w:rPr>
                <w:rFonts w:ascii="宋体" w:hAnsi="宋体"/>
                <w:sz w:val="19"/>
              </w:rPr>
              <w:t>学生注入严密的临床医学关联性，设计定时器波动管道，过滤异常伪数据。</w:t>
            </w:r>
          </w:p>
        </w:tc>
        <w:tc>
          <w:tcPr>
            <w:tcW w:type="dxa" w:w="2340"/>
            <w:tcMar>
              <w:top w:w="90" w:type="dxa"/>
              <w:bottom w:w="90" w:type="dxa"/>
              <w:left w:w="120" w:type="dxa"/>
              <w:right w:w="120" w:type="dxa"/>
            </w:tcMar>
          </w:tcPr>
          <w:p>
            <w:r>
              <w:rPr>
                <w:rFonts w:ascii="宋体" w:hAnsi="宋体"/>
                <w:sz w:val="19"/>
              </w:rPr>
              <w:t>三大主题大屏所有动态轮播列表与图表数据源</w:t>
            </w:r>
          </w:p>
        </w:tc>
      </w:tr>
      <w:tr>
        <w:tc>
          <w:tcPr>
            <w:tcW w:type="dxa" w:w="2340"/>
            <w:tcMar>
              <w:top w:w="90" w:type="dxa"/>
              <w:bottom w:w="90" w:type="dxa"/>
              <w:left w:w="120" w:type="dxa"/>
              <w:right w:w="120" w:type="dxa"/>
            </w:tcMar>
          </w:tcPr>
          <w:p>
            <w:r>
              <w:rPr>
                <w:rFonts w:ascii="宋体" w:hAnsi="宋体"/>
                <w:sz w:val="19"/>
              </w:rPr>
              <w:t>复杂图表配置参数</w:t>
            </w:r>
          </w:p>
        </w:tc>
        <w:tc>
          <w:tcPr>
            <w:tcW w:type="dxa" w:w="2340"/>
            <w:tcMar>
              <w:top w:w="90" w:type="dxa"/>
              <w:bottom w:w="90" w:type="dxa"/>
              <w:left w:w="120" w:type="dxa"/>
              <w:right w:w="120" w:type="dxa"/>
            </w:tcMar>
          </w:tcPr>
          <w:p>
            <w:r>
              <w:rPr>
                <w:rFonts w:ascii="宋体" w:hAnsi="宋体"/>
                <w:sz w:val="19"/>
              </w:rPr>
              <w:t>提供南丁格尔玫瑰图与立体柱状图的初版ECharts option参数组合。</w:t>
            </w:r>
          </w:p>
        </w:tc>
        <w:tc>
          <w:tcPr>
            <w:tcW w:type="dxa" w:w="2340"/>
            <w:tcMar>
              <w:top w:w="90" w:type="dxa"/>
              <w:bottom w:w="90" w:type="dxa"/>
              <w:left w:w="120" w:type="dxa"/>
              <w:right w:w="120" w:type="dxa"/>
            </w:tcMar>
          </w:tcPr>
          <w:p>
            <w:r>
              <w:rPr>
                <w:rFonts w:ascii="宋体" w:hAnsi="宋体"/>
                <w:sz w:val="19"/>
              </w:rPr>
              <w:t>学生重构图层透明度、渐变色板（Neon冷光），优化响应式重绘（resize）与显存释放机制。</w:t>
            </w:r>
          </w:p>
        </w:tc>
        <w:tc>
          <w:tcPr>
            <w:tcW w:type="dxa" w:w="2340"/>
            <w:tcMar>
              <w:top w:w="90" w:type="dxa"/>
              <w:bottom w:w="90" w:type="dxa"/>
              <w:left w:w="120" w:type="dxa"/>
              <w:right w:w="120" w:type="dxa"/>
            </w:tcMar>
          </w:tcPr>
          <w:p>
            <w:r>
              <w:rPr>
                <w:rFonts w:ascii="宋体" w:hAnsi="宋体"/>
                <w:sz w:val="19"/>
              </w:rPr>
              <w:t>全屏各子组件Vue源码</w:t>
            </w:r>
          </w:p>
        </w:tc>
      </w:tr>
      <w:tr>
        <w:tc>
          <w:tcPr>
            <w:tcW w:type="dxa" w:w="2340"/>
            <w:tcMar>
              <w:top w:w="90" w:type="dxa"/>
              <w:bottom w:w="90" w:type="dxa"/>
              <w:left w:w="120" w:type="dxa"/>
              <w:right w:w="120" w:type="dxa"/>
            </w:tcMar>
          </w:tcPr>
          <w:p>
            <w:r>
              <w:rPr>
                <w:rFonts w:ascii="宋体" w:hAnsi="宋体"/>
                <w:sz w:val="19"/>
              </w:rPr>
              <w:t>大屏视觉纹理素材</w:t>
            </w:r>
          </w:p>
        </w:tc>
        <w:tc>
          <w:tcPr>
            <w:tcW w:type="dxa" w:w="2340"/>
            <w:tcMar>
              <w:top w:w="90" w:type="dxa"/>
              <w:bottom w:w="90" w:type="dxa"/>
              <w:left w:w="120" w:type="dxa"/>
              <w:right w:w="120" w:type="dxa"/>
            </w:tcMar>
          </w:tcPr>
          <w:p>
            <w:r>
              <w:rPr>
                <w:rFonts w:ascii="宋体" w:hAnsi="宋体"/>
                <w:sz w:val="19"/>
              </w:rPr>
              <w:t>辅助提供深蓝科技同心环与网格雷达的视觉构成概念参考。</w:t>
            </w:r>
          </w:p>
        </w:tc>
        <w:tc>
          <w:tcPr>
            <w:tcW w:type="dxa" w:w="2340"/>
            <w:tcMar>
              <w:top w:w="90" w:type="dxa"/>
              <w:bottom w:w="90" w:type="dxa"/>
              <w:left w:w="120" w:type="dxa"/>
              <w:right w:w="120" w:type="dxa"/>
            </w:tcMar>
          </w:tcPr>
          <w:p>
            <w:r>
              <w:rPr>
                <w:rFonts w:ascii="宋体" w:hAnsi="宋体"/>
                <w:sz w:val="19"/>
              </w:rPr>
              <w:t>学生在设计软件中进行高清矢量重绘、色彩校准与切片，手写CSS3动画进行融合。</w:t>
            </w:r>
          </w:p>
        </w:tc>
        <w:tc>
          <w:tcPr>
            <w:tcW w:type="dxa" w:w="2340"/>
            <w:tcMar>
              <w:top w:w="90" w:type="dxa"/>
              <w:bottom w:w="90" w:type="dxa"/>
              <w:left w:w="120" w:type="dxa"/>
              <w:right w:w="120" w:type="dxa"/>
            </w:tcMar>
          </w:tcPr>
          <w:p>
            <w:r>
              <w:rPr>
                <w:rFonts w:ascii="宋体" w:hAnsi="宋体"/>
                <w:sz w:val="19"/>
              </w:rPr>
              <w:t>大屏二中央雷达底图与大屏三楼宇透视底图</w:t>
            </w:r>
          </w:p>
        </w:tc>
      </w:tr>
      <w:tr>
        <w:tc>
          <w:tcPr>
            <w:tcW w:type="dxa" w:w="2340"/>
            <w:tcMar>
              <w:top w:w="90" w:type="dxa"/>
              <w:bottom w:w="90" w:type="dxa"/>
              <w:left w:w="120" w:type="dxa"/>
              <w:right w:w="120" w:type="dxa"/>
            </w:tcMar>
          </w:tcPr>
          <w:p>
            <w:r>
              <w:rPr>
                <w:rFonts w:ascii="宋体" w:hAnsi="宋体"/>
                <w:sz w:val="19"/>
              </w:rPr>
              <w:t>答辩演示文稿框架</w:t>
            </w:r>
          </w:p>
        </w:tc>
        <w:tc>
          <w:tcPr>
            <w:tcW w:type="dxa" w:w="2340"/>
            <w:tcMar>
              <w:top w:w="90" w:type="dxa"/>
              <w:bottom w:w="90" w:type="dxa"/>
              <w:left w:w="120" w:type="dxa"/>
              <w:right w:w="120" w:type="dxa"/>
            </w:tcMar>
          </w:tcPr>
          <w:p>
            <w:r>
              <w:rPr>
                <w:rFonts w:ascii="宋体" w:hAnsi="宋体"/>
                <w:sz w:val="19"/>
              </w:rPr>
              <w:t>辅助提供竞赛汇报PPT的五部分逻辑大纲及部分答辩台词初稿。</w:t>
            </w:r>
          </w:p>
        </w:tc>
        <w:tc>
          <w:tcPr>
            <w:tcW w:type="dxa" w:w="2340"/>
            <w:tcMar>
              <w:top w:w="90" w:type="dxa"/>
              <w:bottom w:w="90" w:type="dxa"/>
              <w:left w:w="120" w:type="dxa"/>
              <w:right w:w="120" w:type="dxa"/>
            </w:tcMar>
          </w:tcPr>
          <w:p>
            <w:r>
              <w:rPr>
                <w:rFonts w:ascii="宋体" w:hAnsi="宋体"/>
                <w:sz w:val="19"/>
              </w:rPr>
              <w:t>学生结合系统三大页面功能全面改写，重构Slide 07-11的大屏实景深度剖析与技术架构图。</w:t>
            </w:r>
          </w:p>
        </w:tc>
        <w:tc>
          <w:tcPr>
            <w:tcW w:type="dxa" w:w="2340"/>
            <w:tcMar>
              <w:top w:w="90" w:type="dxa"/>
              <w:bottom w:w="90" w:type="dxa"/>
              <w:left w:w="120" w:type="dxa"/>
              <w:right w:w="120" w:type="dxa"/>
            </w:tcMar>
          </w:tcPr>
          <w:p>
            <w:r>
              <w:rPr>
                <w:rFonts w:ascii="宋体" w:hAnsi="宋体"/>
                <w:sz w:val="19"/>
              </w:rPr>
              <w:t>最终交付的15页《云医智能》PPTX文稿及演讲逐字稿</w:t>
            </w:r>
          </w:p>
        </w:tc>
      </w:tr>
    </w:tbl>
    <w:p>
      <w:pPr>
        <w:spacing w:before="80" w:after="120" w:line="276" w:lineRule="auto"/>
      </w:pPr>
      <w:r>
        <w:rPr>
          <w:rFonts w:ascii="黑体" w:hAnsi="黑体"/>
          <w:b/>
          <w:color w:val="9E380E"/>
          <w:sz w:val="19"/>
        </w:rPr>
        <w:t xml:space="preserve">【特别提示】 </w:t>
      </w:r>
      <w:r>
        <w:rPr>
          <w:rFonts w:ascii="仿宋" w:hAnsi="仿宋"/>
          <w:color w:val="555555"/>
          <w:sz w:val="19"/>
        </w:rPr>
        <w:t>本团队严格按照规定具体阐明修改与整合工作，杜绝使用“AI占比50%”等难以核实的百分比代替实际工作说明。</w:t>
      </w:r>
    </w:p>
    <w:p>
      <w:pPr>
        <w:keepNext/>
        <w:spacing w:before="280" w:after="120"/>
      </w:pPr>
      <w:r>
        <w:rPr>
          <w:rFonts w:ascii="黑体" w:hAnsi="黑体"/>
          <w:b/>
          <w:color w:val="0E477E"/>
          <w:sz w:val="24"/>
        </w:rPr>
        <w:t>五、学生原创贡献说明</w:t>
      </w:r>
    </w:p>
    <w:p>
      <w:pPr>
        <w:keepNext/>
        <w:spacing w:before="180" w:after="80"/>
      </w:pPr>
      <w:r>
        <w:rPr>
          <w:rFonts w:ascii="黑体" w:hAnsi="黑体"/>
          <w:b/>
          <w:color w:val="222222"/>
          <w:sz w:val="22"/>
        </w:rPr>
        <w:t>学生自主完成的核心工作：</w:t>
      </w:r>
    </w:p>
    <w:p>
      <w:pPr>
        <w:spacing w:after="100" w:line="300" w:lineRule="auto"/>
      </w:pPr>
      <w:r>
        <w:rPr>
          <w:rFonts w:ascii="黑体" w:hAnsi="黑体"/>
          <w:b/>
          <w:color w:val="222222"/>
          <w:sz w:val="21"/>
        </w:rPr>
        <w:t>1. 业务需求分析与平急结合架构设计：</w:t>
      </w:r>
      <w:r>
        <w:rPr>
          <w:rFonts w:ascii="宋体" w:hAnsi="宋体"/>
          <w:color w:val="333333"/>
          <w:sz w:val="21"/>
        </w:rPr>
        <w:t>深入研究大型三甲医院急危重症抢救工作流与公立医院高质量发展指标考评规范，独创提炼出“综合监控、急救调度、全景运营”三大主题大屏的业务架构，并首创“急危重症双置顶”响应机制。</w:t>
      </w:r>
    </w:p>
    <w:p>
      <w:pPr>
        <w:spacing w:after="100" w:line="300" w:lineRule="auto"/>
      </w:pPr>
      <w:r>
        <w:rPr>
          <w:rFonts w:ascii="黑体" w:hAnsi="黑体"/>
          <w:b/>
          <w:color w:val="222222"/>
          <w:sz w:val="21"/>
        </w:rPr>
        <w:t>2. 完整前端工程底座自主开发：</w:t>
      </w:r>
      <w:r>
        <w:rPr>
          <w:rFonts w:ascii="宋体" w:hAnsi="宋体"/>
          <w:color w:val="333333"/>
          <w:sz w:val="21"/>
        </w:rPr>
        <w:t>基于Vue 3 (Composition API) + Vite 8 + TypeScript，从零搭建高内聚低耦合的前端工程，自主设计Pinia状态总线，实现跨组件毫秒级联动与三屏平滑无刷新热切换。</w:t>
      </w:r>
    </w:p>
    <w:p>
      <w:pPr>
        <w:spacing w:after="100" w:line="300" w:lineRule="auto"/>
      </w:pPr>
      <w:r>
        <w:rPr>
          <w:rFonts w:ascii="黑体" w:hAnsi="黑体"/>
          <w:b/>
          <w:color w:val="222222"/>
          <w:sz w:val="21"/>
        </w:rPr>
        <w:t>3. 全屏视口无滚动条自适应算法攻坚：</w:t>
      </w:r>
      <w:r>
        <w:rPr>
          <w:rFonts w:ascii="宋体" w:hAnsi="宋体"/>
          <w:color w:val="333333"/>
          <w:sz w:val="21"/>
        </w:rPr>
        <w:t>传统大屏在不同分辨率显示器下普遍存在右侧滑轮溢出难题。通过硬件加速的 `transform: scale()` 视口动态换算算法，并在根容器层实施样式锁死，彻底消除浏览器滚动条，实现工业级全屏满贴呈现。</w:t>
      </w:r>
    </w:p>
    <w:p>
      <w:pPr>
        <w:spacing w:after="100" w:line="300" w:lineRule="auto"/>
      </w:pPr>
      <w:r>
        <w:rPr>
          <w:rFonts w:ascii="黑体" w:hAnsi="黑体"/>
          <w:b/>
          <w:color w:val="222222"/>
          <w:sz w:val="21"/>
        </w:rPr>
        <w:t>4. 深度定制化前沿图表二次开发：</w:t>
      </w:r>
      <w:r>
        <w:rPr>
          <w:rFonts w:ascii="宋体" w:hAnsi="宋体"/>
          <w:color w:val="333333"/>
          <w:sz w:val="21"/>
        </w:rPr>
        <w:t>攻关并实现了南丁格尔发光玫瑰图、3D水晶双立体床位柱、医联体彗星飞线流光地图、TOP8胶囊勋章排行榜以及全院16间洁净手术室作战看板，实现高性能Canvas GPU硬件加速渲染，帧率稳定在60FPS。</w:t>
      </w:r>
    </w:p>
    <w:p>
      <w:pPr>
        <w:spacing w:after="100" w:line="300" w:lineRule="auto"/>
      </w:pPr>
      <w:r>
        <w:rPr>
          <w:rFonts w:ascii="黑体" w:hAnsi="黑体"/>
          <w:b/>
          <w:color w:val="222222"/>
          <w:sz w:val="21"/>
        </w:rPr>
        <w:t>5. 医疗业务逻辑闭环与系统联调：</w:t>
      </w:r>
      <w:r>
        <w:rPr>
          <w:rFonts w:ascii="宋体" w:hAnsi="宋体"/>
          <w:color w:val="333333"/>
          <w:sz w:val="21"/>
        </w:rPr>
        <w:t>全系统所有页面交互逻辑、告警级别阈值计算、时间轴脉冲走势及动效渲染均由学生团队自主编码与测试优化，确保系统具备真实的临床语义与实战指挥价值。</w:t>
      </w:r>
    </w:p>
    <w:p>
      <w:pPr>
        <w:keepNext/>
        <w:spacing w:before="180" w:after="80"/>
      </w:pPr>
      <w:r>
        <w:rPr>
          <w:rFonts w:ascii="黑体" w:hAnsi="黑体"/>
          <w:b/>
          <w:color w:val="222222"/>
          <w:sz w:val="22"/>
        </w:rPr>
        <w:t>AI与学生工作边界说明（必要时填写）：</w:t>
      </w:r>
    </w:p>
    <w:p>
      <w:pPr>
        <w:spacing w:after="80" w:line="300" w:lineRule="auto"/>
      </w:pPr>
      <w:r>
        <w:rPr>
          <w:rFonts w:ascii="宋体" w:hAnsi="宋体"/>
          <w:color w:val="333333"/>
          <w:sz w:val="21"/>
        </w:rPr>
        <w:t>学生团队明确声明：AI在本作品中仅扮演“辅助工具”角色（即资料归纳助手、代码语法参考与初版头脑风暴建议）。</w:t>
        <w:br/>
        <w:t>核心创意理念、系统功能定位、医疗业务规则、系统交互界面、核心算法实现（包括双置顶响应、视口比例计算、3D图元换算）、全套工程代码审查与重构，均由学生团队完全自主独立完成。</w:t>
        <w:br/>
        <w:t>作品不存在任何由AI一键生成且未经验证的代码或设计，所有提交产物均处于学生团队的深度工程掌控之下。</w:t>
      </w:r>
    </w:p>
    <w:p>
      <w:pPr>
        <w:keepNext/>
        <w:spacing w:before="280" w:after="120"/>
      </w:pPr>
      <w:r>
        <w:rPr>
          <w:rFonts w:ascii="黑体" w:hAnsi="黑体"/>
          <w:b/>
          <w:color w:val="0E477E"/>
          <w:sz w:val="24"/>
        </w:rPr>
        <w:t>六、代表性过程材料（按需）</w:t>
      </w:r>
    </w:p>
    <w:p>
      <w:pPr>
        <w:spacing w:after="80" w:line="300" w:lineRule="auto"/>
      </w:pPr>
      <w:r>
        <w:rPr>
          <w:rFonts w:ascii="宋体" w:hAnsi="宋体"/>
          <w:color w:val="333333"/>
          <w:sz w:val="21"/>
        </w:rPr>
        <w:t>根据实际需要，提供典型环节的输入输出对比及人工再创作说明（已脱敏）：</w:t>
      </w:r>
    </w:p>
    <w:p>
      <w:pPr>
        <w:keepNext/>
        <w:spacing w:before="180" w:after="80"/>
      </w:pPr>
      <w:r>
        <w:rPr>
          <w:rFonts w:ascii="黑体" w:hAnsi="黑体"/>
          <w:b/>
          <w:color w:val="222222"/>
          <w:sz w:val="22"/>
        </w:rPr>
        <w:t>【典型环节 1】 医疗图表视觉与算法攻坚</w:t>
      </w:r>
    </w:p>
    <w:p>
      <w:pPr>
        <w:spacing w:before="80" w:after="160" w:line="276" w:lineRule="auto"/>
      </w:pPr>
      <w:r>
        <w:rPr>
          <w:rFonts w:ascii="仿宋" w:hAnsi="仿宋"/>
          <w:color w:val="444444"/>
          <w:sz w:val="19"/>
        </w:rPr>
        <w:t>【主要输入（Prompt）】</w:t>
        <w:br/>
        <w:t>“在Vue 3 + ECharts项目中，现有一组科室在用床位与编制床位数据，常规柱状图缺乏科技感与立体感。请给出利用pictorialBar实现3D水晶圆柱与菱形顶盖的配置方案，要求支持暗黑深蓝主题。”</w:t>
        <w:br/>
        <w:br/>
        <w:t>【AI输出片段】</w:t>
        <w:br/>
        <w:t>提供了基本的pictorialBar symbol配置骨架与径向渐变代码。</w:t>
        <w:br/>
        <w:br/>
        <w:t>【学生筛选与再创作】</w:t>
        <w:br/>
        <w:t>学生发现AI给出的配置在窗口resize时顶盖发生撕裂偏移，且缺少使用率百分比脉冲折线。学生重写了数据映射逻辑，加入双立柱间距防重叠算法，并在顶部叠加发光霓虹折线图，封装为独立的 `center-bottom.vue` 高内聚业务组件。</w:t>
      </w:r>
    </w:p>
    <w:p>
      <w:pPr>
        <w:keepNext/>
        <w:spacing w:before="180" w:after="80"/>
      </w:pPr>
      <w:r>
        <w:rPr>
          <w:rFonts w:ascii="黑体" w:hAnsi="黑体"/>
          <w:b/>
          <w:color w:val="222222"/>
          <w:sz w:val="22"/>
        </w:rPr>
        <w:t>【典型环节 2】 急救调度网格与地图流光动效</w:t>
      </w:r>
    </w:p>
    <w:p>
      <w:pPr>
        <w:spacing w:before="80" w:after="160" w:line="276" w:lineRule="auto"/>
      </w:pPr>
      <w:r>
        <w:rPr>
          <w:rFonts w:ascii="仿宋" w:hAnsi="仿宋"/>
          <w:color w:val="444444"/>
          <w:sz w:val="19"/>
        </w:rPr>
        <w:t>【主要输入（Prompt）】</w:t>
        <w:br/>
        <w:t>“如何在ECharts的Geo地图上实现带彗星尾迹流动效果的飞线（Lines）与涟漪扩散散点（EffectScatter），并保证在全国与省市下钻时流畅运行？”</w:t>
        <w:br/>
        <w:br/>
        <w:t>【AI输出片段】</w:t>
        <w:br/>
        <w:t>提供了 lines 系列中 `effect.trailLength` 和 `period` 的官方参数解释及一段散点静态数据。</w:t>
        <w:br/>
        <w:br/>
        <w:t>【学生筛选与再创作】</w:t>
        <w:br/>
        <w:t>AI仅给出了基础单向示例。学生自主接入了高精度医疗机构经纬度坐标字典，编写了从医联体总院至各基层分院的动态辐射流向算法，并增加了地市级双向平滑下钻机制与右上角一键返回交互。</w:t>
      </w:r>
    </w:p>
    <w:p>
      <w:pPr>
        <w:keepNext/>
        <w:spacing w:before="280" w:after="120"/>
      </w:pPr>
      <w:r>
        <w:rPr>
          <w:rFonts w:ascii="黑体" w:hAnsi="黑体"/>
          <w:b/>
          <w:color w:val="0E477E"/>
          <w:sz w:val="24"/>
        </w:rPr>
        <w:t>七、资源来源与合规说明</w:t>
      </w:r>
    </w:p>
    <w:p>
      <w:pPr>
        <w:spacing w:after="80" w:line="300" w:lineRule="auto"/>
      </w:pPr>
      <w:r>
        <w:rPr>
          <w:rFonts w:ascii="宋体" w:hAnsi="宋体"/>
          <w:color w:val="333333"/>
          <w:sz w:val="21"/>
        </w:rPr>
        <w:t>系统所使用的开源依赖、素材与模型服务严格遵守相关使用条款、开源许可及知识产权规定。</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E6EFF7"/>
            <w:tcMar>
              <w:top w:w="140" w:type="dxa"/>
              <w:bottom w:w="140" w:type="dxa"/>
              <w:left w:w="120" w:type="dxa"/>
              <w:right w:w="120" w:type="dxa"/>
            </w:tcMar>
          </w:tcPr>
          <w:p>
            <w:pPr>
              <w:jc w:val="center"/>
            </w:pPr>
            <w:r>
              <w:rPr>
                <w:rFonts w:ascii="黑体" w:hAnsi="黑体"/>
                <w:b/>
                <w:sz w:val="20"/>
              </w:rPr>
              <w:t>素材名称与类别</w:t>
            </w:r>
          </w:p>
        </w:tc>
        <w:tc>
          <w:tcPr>
            <w:tcW w:type="dxa" w:w="2340"/>
            <w:shd w:fill="E6EFF7"/>
            <w:tcMar>
              <w:top w:w="140" w:type="dxa"/>
              <w:bottom w:w="140" w:type="dxa"/>
              <w:left w:w="120" w:type="dxa"/>
              <w:right w:w="120" w:type="dxa"/>
            </w:tcMar>
          </w:tcPr>
          <w:p>
            <w:pPr>
              <w:jc w:val="center"/>
            </w:pPr>
            <w:r>
              <w:rPr>
                <w:rFonts w:ascii="黑体" w:hAnsi="黑体"/>
                <w:b/>
                <w:sz w:val="20"/>
              </w:rPr>
              <w:t>来源或权利方</w:t>
            </w:r>
          </w:p>
        </w:tc>
        <w:tc>
          <w:tcPr>
            <w:tcW w:type="dxa" w:w="2340"/>
            <w:shd w:fill="E6EFF7"/>
            <w:tcMar>
              <w:top w:w="140" w:type="dxa"/>
              <w:bottom w:w="140" w:type="dxa"/>
              <w:left w:w="120" w:type="dxa"/>
              <w:right w:w="120" w:type="dxa"/>
            </w:tcMar>
          </w:tcPr>
          <w:p>
            <w:pPr>
              <w:jc w:val="center"/>
            </w:pPr>
            <w:r>
              <w:rPr>
                <w:rFonts w:ascii="黑体" w:hAnsi="黑体"/>
                <w:b/>
                <w:sz w:val="20"/>
              </w:rPr>
              <w:t>实际用途</w:t>
            </w:r>
          </w:p>
        </w:tc>
        <w:tc>
          <w:tcPr>
            <w:tcW w:type="dxa" w:w="2340"/>
            <w:shd w:fill="E6EFF7"/>
            <w:tcMar>
              <w:top w:w="140" w:type="dxa"/>
              <w:bottom w:w="140" w:type="dxa"/>
              <w:left w:w="120" w:type="dxa"/>
              <w:right w:w="120" w:type="dxa"/>
            </w:tcMar>
          </w:tcPr>
          <w:p>
            <w:pPr>
              <w:jc w:val="center"/>
            </w:pPr>
            <w:r>
              <w:rPr>
                <w:rFonts w:ascii="黑体" w:hAnsi="黑体"/>
                <w:b/>
                <w:sz w:val="20"/>
              </w:rPr>
              <w:t>授权或许可情况</w:t>
            </w:r>
          </w:p>
        </w:tc>
      </w:tr>
      <w:tr>
        <w:tc>
          <w:tcPr>
            <w:tcW w:type="dxa" w:w="2340"/>
            <w:tcMar>
              <w:top w:w="90" w:type="dxa"/>
              <w:bottom w:w="90" w:type="dxa"/>
              <w:left w:w="120" w:type="dxa"/>
              <w:right w:w="120" w:type="dxa"/>
            </w:tcMar>
          </w:tcPr>
          <w:p>
            <w:r>
              <w:rPr>
                <w:rFonts w:ascii="宋体" w:hAnsi="宋体"/>
                <w:sz w:val="19"/>
              </w:rPr>
              <w:t>ECharts 6.x 数据可视化库</w:t>
            </w:r>
          </w:p>
        </w:tc>
        <w:tc>
          <w:tcPr>
            <w:tcW w:type="dxa" w:w="2340"/>
            <w:tcMar>
              <w:top w:w="90" w:type="dxa"/>
              <w:bottom w:w="90" w:type="dxa"/>
              <w:left w:w="120" w:type="dxa"/>
              <w:right w:w="120" w:type="dxa"/>
            </w:tcMar>
          </w:tcPr>
          <w:p>
            <w:r>
              <w:rPr>
                <w:rFonts w:ascii="宋体" w:hAnsi="宋体"/>
                <w:sz w:val="19"/>
              </w:rPr>
              <w:t>Apache Software Foundation</w:t>
            </w:r>
          </w:p>
        </w:tc>
        <w:tc>
          <w:tcPr>
            <w:tcW w:type="dxa" w:w="2340"/>
            <w:tcMar>
              <w:top w:w="90" w:type="dxa"/>
              <w:bottom w:w="90" w:type="dxa"/>
              <w:left w:w="120" w:type="dxa"/>
              <w:right w:w="120" w:type="dxa"/>
            </w:tcMar>
          </w:tcPr>
          <w:p>
            <w:r>
              <w:rPr>
                <w:rFonts w:ascii="宋体" w:hAnsi="宋体"/>
                <w:sz w:val="19"/>
              </w:rPr>
              <w:t>大屏核心图表与流光地图渲染</w:t>
            </w:r>
          </w:p>
        </w:tc>
        <w:tc>
          <w:tcPr>
            <w:tcW w:type="dxa" w:w="2340"/>
            <w:tcMar>
              <w:top w:w="90" w:type="dxa"/>
              <w:bottom w:w="90" w:type="dxa"/>
              <w:left w:w="120" w:type="dxa"/>
              <w:right w:w="120" w:type="dxa"/>
            </w:tcMar>
          </w:tcPr>
          <w:p>
            <w:r>
              <w:rPr>
                <w:rFonts w:ascii="宋体" w:hAnsi="宋体"/>
                <w:sz w:val="19"/>
              </w:rPr>
              <w:t>Apache License 2.0 开源许可，合法商用与参赛</w:t>
            </w:r>
          </w:p>
        </w:tc>
      </w:tr>
      <w:tr>
        <w:tc>
          <w:tcPr>
            <w:tcW w:type="dxa" w:w="2340"/>
            <w:tcMar>
              <w:top w:w="90" w:type="dxa"/>
              <w:bottom w:w="90" w:type="dxa"/>
              <w:left w:w="120" w:type="dxa"/>
              <w:right w:w="120" w:type="dxa"/>
            </w:tcMar>
          </w:tcPr>
          <w:p>
            <w:r>
              <w:rPr>
                <w:rFonts w:ascii="宋体" w:hAnsi="宋体"/>
                <w:sz w:val="19"/>
              </w:rPr>
              <w:t>Vue 3 &amp; Vite 构建管线</w:t>
            </w:r>
          </w:p>
        </w:tc>
        <w:tc>
          <w:tcPr>
            <w:tcW w:type="dxa" w:w="2340"/>
            <w:tcMar>
              <w:top w:w="90" w:type="dxa"/>
              <w:bottom w:w="90" w:type="dxa"/>
              <w:left w:w="120" w:type="dxa"/>
              <w:right w:w="120" w:type="dxa"/>
            </w:tcMar>
          </w:tcPr>
          <w:p>
            <w:r>
              <w:rPr>
                <w:rFonts w:ascii="宋体" w:hAnsi="宋体"/>
                <w:sz w:val="19"/>
              </w:rPr>
              <w:t>Evan You &amp; Vue.js 开源社区</w:t>
            </w:r>
          </w:p>
        </w:tc>
        <w:tc>
          <w:tcPr>
            <w:tcW w:type="dxa" w:w="2340"/>
            <w:tcMar>
              <w:top w:w="90" w:type="dxa"/>
              <w:bottom w:w="90" w:type="dxa"/>
              <w:left w:w="120" w:type="dxa"/>
              <w:right w:w="120" w:type="dxa"/>
            </w:tcMar>
          </w:tcPr>
          <w:p>
            <w:r>
              <w:rPr>
                <w:rFonts w:ascii="宋体" w:hAnsi="宋体"/>
                <w:sz w:val="19"/>
              </w:rPr>
              <w:t>单页面应用框架与组件化驱动</w:t>
            </w:r>
          </w:p>
        </w:tc>
        <w:tc>
          <w:tcPr>
            <w:tcW w:type="dxa" w:w="2340"/>
            <w:tcMar>
              <w:top w:w="90" w:type="dxa"/>
              <w:bottom w:w="90" w:type="dxa"/>
              <w:left w:w="120" w:type="dxa"/>
              <w:right w:w="120" w:type="dxa"/>
            </w:tcMar>
          </w:tcPr>
          <w:p>
            <w:r>
              <w:rPr>
                <w:rFonts w:ascii="宋体" w:hAnsi="宋体"/>
                <w:sz w:val="19"/>
              </w:rPr>
              <w:t>MIT License 开源许可</w:t>
            </w:r>
          </w:p>
        </w:tc>
      </w:tr>
      <w:tr>
        <w:tc>
          <w:tcPr>
            <w:tcW w:type="dxa" w:w="2340"/>
            <w:tcMar>
              <w:top w:w="90" w:type="dxa"/>
              <w:bottom w:w="90" w:type="dxa"/>
              <w:left w:w="120" w:type="dxa"/>
              <w:right w:w="120" w:type="dxa"/>
            </w:tcMar>
          </w:tcPr>
          <w:p>
            <w:r>
              <w:rPr>
                <w:rFonts w:ascii="宋体" w:hAnsi="宋体"/>
                <w:sz w:val="19"/>
              </w:rPr>
              <w:t>医疗科技发光边框与矢量图标</w:t>
            </w:r>
          </w:p>
        </w:tc>
        <w:tc>
          <w:tcPr>
            <w:tcW w:type="dxa" w:w="2340"/>
            <w:tcMar>
              <w:top w:w="90" w:type="dxa"/>
              <w:bottom w:w="90" w:type="dxa"/>
              <w:left w:w="120" w:type="dxa"/>
              <w:right w:w="120" w:type="dxa"/>
            </w:tcMar>
          </w:tcPr>
          <w:p>
            <w:r>
              <w:rPr>
                <w:rFonts w:ascii="宋体" w:hAnsi="宋体"/>
                <w:sz w:val="19"/>
              </w:rPr>
              <w:t>学生原创绘制 + 开源矢量图元</w:t>
            </w:r>
          </w:p>
        </w:tc>
        <w:tc>
          <w:tcPr>
            <w:tcW w:type="dxa" w:w="2340"/>
            <w:tcMar>
              <w:top w:w="90" w:type="dxa"/>
              <w:bottom w:w="90" w:type="dxa"/>
              <w:left w:w="120" w:type="dxa"/>
              <w:right w:w="120" w:type="dxa"/>
            </w:tcMar>
          </w:tcPr>
          <w:p>
            <w:r>
              <w:rPr>
                <w:rFonts w:ascii="宋体" w:hAnsi="宋体"/>
                <w:sz w:val="19"/>
              </w:rPr>
              <w:t>大屏各卡片边角装饰与状态指示</w:t>
            </w:r>
          </w:p>
        </w:tc>
        <w:tc>
          <w:tcPr>
            <w:tcW w:type="dxa" w:w="2340"/>
            <w:tcMar>
              <w:top w:w="90" w:type="dxa"/>
              <w:bottom w:w="90" w:type="dxa"/>
              <w:left w:w="120" w:type="dxa"/>
              <w:right w:w="120" w:type="dxa"/>
            </w:tcMar>
          </w:tcPr>
          <w:p>
            <w:r>
              <w:rPr>
                <w:rFonts w:ascii="宋体" w:hAnsi="宋体"/>
                <w:sz w:val="19"/>
              </w:rPr>
              <w:t>学生团队自研矢量图，保留原创设计稿</w:t>
            </w:r>
          </w:p>
        </w:tc>
      </w:tr>
      <w:tr>
        <w:tc>
          <w:tcPr>
            <w:tcW w:type="dxa" w:w="2340"/>
            <w:tcMar>
              <w:top w:w="90" w:type="dxa"/>
              <w:bottom w:w="90" w:type="dxa"/>
              <w:left w:w="120" w:type="dxa"/>
              <w:right w:w="120" w:type="dxa"/>
            </w:tcMar>
          </w:tcPr>
          <w:p>
            <w:r>
              <w:rPr>
                <w:rFonts w:ascii="宋体" w:hAnsi="宋体"/>
                <w:sz w:val="19"/>
              </w:rPr>
              <w:t>AI辅助生成之数据与文本参考</w:t>
            </w:r>
          </w:p>
        </w:tc>
        <w:tc>
          <w:tcPr>
            <w:tcW w:type="dxa" w:w="2340"/>
            <w:tcMar>
              <w:top w:w="90" w:type="dxa"/>
              <w:bottom w:w="90" w:type="dxa"/>
              <w:left w:w="120" w:type="dxa"/>
              <w:right w:w="120" w:type="dxa"/>
            </w:tcMar>
          </w:tcPr>
          <w:p>
            <w:r>
              <w:rPr>
                <w:rFonts w:ascii="宋体" w:hAnsi="宋体"/>
                <w:sz w:val="19"/>
              </w:rPr>
              <w:t>代码辅助智能体 / 大语言模型</w:t>
            </w:r>
          </w:p>
        </w:tc>
        <w:tc>
          <w:tcPr>
            <w:tcW w:type="dxa" w:w="2340"/>
            <w:tcMar>
              <w:top w:w="90" w:type="dxa"/>
              <w:bottom w:w="90" w:type="dxa"/>
              <w:left w:w="120" w:type="dxa"/>
              <w:right w:w="120" w:type="dxa"/>
            </w:tcMar>
          </w:tcPr>
          <w:p>
            <w:r>
              <w:rPr>
                <w:rFonts w:ascii="宋体" w:hAnsi="宋体"/>
                <w:sz w:val="19"/>
              </w:rPr>
              <w:t>技术方案参考及模拟数据辅助</w:t>
            </w:r>
          </w:p>
        </w:tc>
        <w:tc>
          <w:tcPr>
            <w:tcW w:type="dxa" w:w="2340"/>
            <w:tcMar>
              <w:top w:w="90" w:type="dxa"/>
              <w:bottom w:w="90" w:type="dxa"/>
              <w:left w:w="120" w:type="dxa"/>
              <w:right w:w="120" w:type="dxa"/>
            </w:tcMar>
          </w:tcPr>
          <w:p>
            <w:r>
              <w:rPr>
                <w:rFonts w:ascii="宋体" w:hAnsi="宋体"/>
                <w:sz w:val="19"/>
              </w:rPr>
              <w:t>遵守相关工具使用条款，已经过彻底重构与脱敏</w:t>
            </w:r>
          </w:p>
        </w:tc>
      </w:tr>
    </w:tbl>
    <w:p>
      <w:pPr>
        <w:spacing w:before="80" w:after="120" w:line="276" w:lineRule="auto"/>
      </w:pPr>
      <w:r>
        <w:rPr>
          <w:rFonts w:ascii="黑体" w:hAnsi="黑体"/>
          <w:b/>
          <w:color w:val="9E380E"/>
          <w:sz w:val="19"/>
        </w:rPr>
        <w:t xml:space="preserve">【特别提示】 </w:t>
      </w:r>
      <w:r>
        <w:rPr>
          <w:rFonts w:ascii="仿宋" w:hAnsi="仿宋"/>
          <w:color w:val="555555"/>
          <w:sz w:val="19"/>
        </w:rPr>
        <w:t>参赛团队如实说明素材来源及使用情况，绝未将第三方素材或AI生成成果直接表述为学生独立原创成果。相关真实性、原创性及知识产权承诺按照本届统一《参赛承诺书》执行。</w:t>
      </w:r>
    </w:p>
    <w:p>
      <w:pPr>
        <w:keepNext/>
        <w:spacing w:before="280" w:after="120"/>
      </w:pPr>
      <w:r>
        <w:rPr>
          <w:rFonts w:ascii="黑体" w:hAnsi="黑体"/>
          <w:b/>
          <w:color w:val="0E477E"/>
          <w:sz w:val="24"/>
        </w:rPr>
        <w:t>八、填写确认与提交提示</w:t>
      </w:r>
    </w:p>
    <w:p>
      <w:pPr>
        <w:spacing w:after="80" w:line="300" w:lineRule="auto"/>
      </w:pPr>
      <w:r>
        <w:rPr>
          <w:rFonts w:ascii="宋体" w:hAnsi="宋体"/>
          <w:color w:val="333333"/>
          <w:sz w:val="21"/>
        </w:rPr>
        <w:t>参赛团队确认：本说明真实反映AI工具使用情况、学生自主工作和最终成果状态，绝无虚构使用过程或将AI及第三方成果表述为学生独立原创。相关真实性、原创性及知识产权承诺按照本届统一《参赛承诺书》执行，不重复要求签字盖章。</w:t>
      </w:r>
    </w:p>
    <w:p>
      <w:pPr>
        <w:spacing w:after="80" w:line="300" w:lineRule="auto"/>
      </w:pPr>
      <w:r>
        <w:rPr>
          <w:rFonts w:ascii="宋体" w:hAnsi="宋体"/>
          <w:color w:val="333333"/>
          <w:sz w:val="21"/>
        </w:rPr>
        <w:t>本说明属于材料清单第13项的补充材料，确需提交时，按第6项参赛打包文件的要求归档；如专项赛有专门实践说明或其他材料要求，按其正式文件执行。</w:t>
      </w:r>
    </w:p>
    <w:p>
      <w:pPr>
        <w:spacing w:before="80" w:after="120" w:line="276" w:lineRule="auto"/>
      </w:pPr>
      <w:r>
        <w:rPr>
          <w:rFonts w:ascii="黑体" w:hAnsi="黑体"/>
          <w:b/>
          <w:color w:val="9E380E"/>
          <w:sz w:val="19"/>
        </w:rPr>
        <w:t xml:space="preserve">【特别提示】 </w:t>
      </w:r>
      <w:r>
        <w:rPr>
          <w:rFonts w:ascii="仿宋" w:hAnsi="仿宋"/>
          <w:color w:val="555555"/>
          <w:sz w:val="19"/>
        </w:rPr>
        <w:t>合理使用AI本身不直接构成加分或扣分因素；AI工具数量、生成比例不作为独立评分依据。评审重点在于作品创新、实际完成情况及学生原创贡献。</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