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20"/>
        <w:jc w:val="center"/>
      </w:pPr>
      <w:r>
        <w:rPr>
          <w:rFonts w:ascii="黑体" w:hAnsi="黑体"/>
          <w:b/>
          <w:color w:val="111E38"/>
          <w:sz w:val="36"/>
        </w:rPr>
        <w:t>《智医云视 · 智慧医疗大数据可视化管理平台》</w:t>
        <w:br/>
        <w:t>系统技术说明文档</w:t>
      </w:r>
    </w:p>
    <w:p>
      <w:pPr>
        <w:spacing w:after="360"/>
        <w:jc w:val="center"/>
      </w:pPr>
      <w:r>
        <w:rPr>
          <w:rFonts w:ascii="楷体" w:hAnsi="楷体"/>
          <w:color w:val="555555"/>
          <w:sz w:val="24"/>
        </w:rPr>
        <w:t>架构设计 · 算法攻关 · 前端工程实现 · 部署规范</w:t>
      </w:r>
    </w:p>
    <w:p>
      <w:pPr>
        <w:keepNext/>
        <w:spacing w:before="320" w:after="120"/>
      </w:pPr>
      <w:r>
        <w:rPr>
          <w:rFonts w:ascii="黑体" w:hAnsi="黑体"/>
          <w:b/>
          <w:color w:val="0E477E"/>
          <w:sz w:val="26"/>
        </w:rPr>
        <w:t>一、 系统概述与研发背景</w:t>
      </w:r>
    </w:p>
    <w:p>
      <w:pPr>
        <w:keepNext/>
        <w:spacing w:before="200" w:after="80"/>
      </w:pPr>
      <w:r>
        <w:rPr>
          <w:rFonts w:ascii="黑体" w:hAnsi="黑体"/>
          <w:b/>
          <w:color w:val="222222"/>
          <w:sz w:val="22"/>
        </w:rPr>
        <w:t>1.1 系统定位与核心价值</w:t>
      </w:r>
    </w:p>
    <w:p>
      <w:pPr>
        <w:spacing w:after="80" w:line="300" w:lineRule="auto"/>
      </w:pPr>
      <w:r>
        <w:rPr>
          <w:rFonts w:ascii="宋体" w:hAnsi="宋体"/>
          <w:color w:val="333333"/>
          <w:sz w:val="21"/>
        </w:rPr>
        <w:t>《智医云视 · 智慧医疗大数据可视化管理平台》是面向大型综合医院、医联体总院及卫生管理决策部门打造的现代化数字孪生指挥中枢。系统深度融合 Vue 3 前端工程底座与 ECharts 6 数据可视化渲染引擎，通过对医院异构系统（HIS、LIS、PACS、120 急救网格、物联网设备监护网络）数据的汇聚、降噪与结构化提纯，构建集“宏观态势感知、微观精准干预、平急快速切换、资源闭环流转”于一体的实战型可视化管理平台。</w:t>
      </w:r>
    </w:p>
    <w:p>
      <w:pPr>
        <w:keepNext/>
        <w:spacing w:before="200" w:after="80"/>
      </w:pPr>
      <w:r>
        <w:rPr>
          <w:rFonts w:ascii="黑体" w:hAnsi="黑体"/>
          <w:b/>
          <w:color w:val="222222"/>
          <w:sz w:val="22"/>
        </w:rPr>
        <w:t>1.2 解决的行业与技术痛点</w:t>
      </w:r>
    </w:p>
    <w:p>
      <w:pPr>
        <w:spacing w:after="80" w:line="300" w:lineRule="auto"/>
      </w:pPr>
      <w:r>
        <w:rPr>
          <w:rFonts w:ascii="宋体" w:hAnsi="宋体"/>
          <w:color w:val="333333"/>
          <w:sz w:val="21"/>
        </w:rPr>
        <w:t>传统医院管理报表系统普遍存在“重统计、轻实战；重表格、轻时效；数据割裂、交互滞后”的问题，在面临突发群体性急救响应与危重症抢救时，无法提供跨部门的全局协同调度支撑。本平台针对性攻克了四大痛点：</w:t>
      </w:r>
    </w:p>
    <w:p>
      <w:pPr>
        <w:spacing w:after="80" w:line="300" w:lineRule="auto"/>
      </w:pPr>
      <w:r>
        <w:rPr>
          <w:rFonts w:ascii="黑体" w:hAnsi="黑体"/>
          <w:b/>
          <w:color w:val="222222"/>
          <w:sz w:val="21"/>
        </w:rPr>
        <w:t>1. 信息孤岛与割裂感知：</w:t>
      </w:r>
      <w:r>
        <w:rPr>
          <w:rFonts w:ascii="宋体" w:hAnsi="宋体"/>
          <w:color w:val="333333"/>
          <w:sz w:val="21"/>
        </w:rPr>
        <w:t>打破医院各科室数据库林立的壁垒，构建全院统一的生命体征与运营资产数据字典。</w:t>
      </w:r>
    </w:p>
    <w:p>
      <w:pPr>
        <w:spacing w:after="80" w:line="300" w:lineRule="auto"/>
      </w:pPr>
      <w:r>
        <w:rPr>
          <w:rFonts w:ascii="黑体" w:hAnsi="黑体"/>
          <w:b/>
          <w:color w:val="222222"/>
          <w:sz w:val="21"/>
        </w:rPr>
        <w:t>2. 院前院内救治脱节：</w:t>
      </w:r>
      <w:r>
        <w:rPr>
          <w:rFonts w:ascii="宋体" w:hAnsi="宋体"/>
          <w:color w:val="333333"/>
          <w:sz w:val="21"/>
        </w:rPr>
        <w:t>传统模式下 120 车辆行进过程中生命指标无法直达院内，系统实现车载数据与 EICU 抢救室毫秒级同频映射。</w:t>
      </w:r>
    </w:p>
    <w:p>
      <w:pPr>
        <w:spacing w:after="80" w:line="300" w:lineRule="auto"/>
      </w:pPr>
      <w:r>
        <w:rPr>
          <w:rFonts w:ascii="黑体" w:hAnsi="黑体"/>
          <w:b/>
          <w:color w:val="222222"/>
          <w:sz w:val="21"/>
        </w:rPr>
        <w:t>3. 危急值预警滞后：</w:t>
      </w:r>
      <w:r>
        <w:rPr>
          <w:rFonts w:ascii="宋体" w:hAnsi="宋体"/>
          <w:color w:val="333333"/>
          <w:sz w:val="21"/>
        </w:rPr>
        <w:t>改变人工座机电话通报危急值的低效方式，设立首创“急危重症双置顶”视觉强响应预警机制。</w:t>
      </w:r>
    </w:p>
    <w:p>
      <w:pPr>
        <w:spacing w:after="80" w:line="300" w:lineRule="auto"/>
      </w:pPr>
      <w:r>
        <w:rPr>
          <w:rFonts w:ascii="黑体" w:hAnsi="黑体"/>
          <w:b/>
          <w:color w:val="222222"/>
          <w:sz w:val="21"/>
        </w:rPr>
        <w:t>4. 视口缩放与渲染卡顿：</w:t>
      </w:r>
      <w:r>
        <w:rPr>
          <w:rFonts w:ascii="宋体" w:hAnsi="宋体"/>
          <w:color w:val="333333"/>
          <w:sz w:val="21"/>
        </w:rPr>
        <w:t>攻破传统大屏在不同分辨率显示器、无缝拼接大屏下易出现的‘右侧滑轮、黑边挤压、图形畸变’难题，实现 100% 满屏自适应贴合。</w:t>
      </w:r>
    </w:p>
    <w:p>
      <w:pPr>
        <w:keepNext/>
        <w:spacing w:before="200" w:after="80"/>
      </w:pPr>
      <w:r>
        <w:rPr>
          <w:rFonts w:ascii="黑体" w:hAnsi="黑体"/>
          <w:b/>
          <w:color w:val="222222"/>
          <w:sz w:val="22"/>
        </w:rPr>
        <w:t>1.3 三大主题大屏功能矩阵</w:t>
      </w:r>
    </w:p>
    <w:p>
      <w:pPr>
        <w:spacing w:after="80" w:line="300" w:lineRule="auto"/>
      </w:pPr>
      <w:r>
        <w:rPr>
          <w:rFonts w:ascii="宋体" w:hAnsi="宋体"/>
          <w:color w:val="333333"/>
          <w:sz w:val="21"/>
        </w:rPr>
        <w:t>系统以多维业务流为导向，创新性研发了三大主题大屏矩阵，并在顶部 Header 提供了无刷新平滑切换路由管道：</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single" w:sz="4" w:space="0" w:color="B0C4DE"/>
          <w:left w:val="none"/>
          <w:right w:val="none"/>
        </w:tblBorders>
      </w:tblPr>
      <w:tblGrid>
        <w:gridCol w:w="3120"/>
        <w:gridCol w:w="3120"/>
        <w:gridCol w:w="3120"/>
      </w:tblGrid>
      <w:tr>
        <w:tc>
          <w:tcPr>
            <w:tcW w:type="dxa" w:w="3120"/>
            <w:shd w:fill="E6EFF7"/>
            <w:tcMar>
              <w:top w:w="120" w:type="dxa"/>
              <w:bottom w:w="120" w:type="dxa"/>
              <w:left w:w="120" w:type="dxa"/>
              <w:right w:w="120" w:type="dxa"/>
            </w:tcMar>
          </w:tcPr>
          <w:p>
            <w:pPr>
              <w:jc w:val="center"/>
            </w:pPr>
            <w:r>
              <w:rPr>
                <w:rFonts w:ascii="黑体" w:hAnsi="黑体"/>
                <w:b/>
                <w:sz w:val="20"/>
              </w:rPr>
              <w:t>大屏定位</w:t>
            </w:r>
          </w:p>
        </w:tc>
        <w:tc>
          <w:tcPr>
            <w:tcW w:type="dxa" w:w="3120"/>
            <w:shd w:fill="E6EFF7"/>
            <w:tcMar>
              <w:top w:w="120" w:type="dxa"/>
              <w:bottom w:w="120" w:type="dxa"/>
              <w:left w:w="120" w:type="dxa"/>
              <w:right w:w="120" w:type="dxa"/>
            </w:tcMar>
          </w:tcPr>
          <w:p>
            <w:pPr>
              <w:jc w:val="center"/>
            </w:pPr>
            <w:r>
              <w:rPr>
                <w:rFonts w:ascii="黑体" w:hAnsi="黑体"/>
                <w:b/>
                <w:sz w:val="20"/>
              </w:rPr>
              <w:t>核心业务模块</w:t>
            </w:r>
          </w:p>
        </w:tc>
        <w:tc>
          <w:tcPr>
            <w:tcW w:type="dxa" w:w="3120"/>
            <w:shd w:fill="E6EFF7"/>
            <w:tcMar>
              <w:top w:w="120" w:type="dxa"/>
              <w:bottom w:w="120" w:type="dxa"/>
              <w:left w:w="120" w:type="dxa"/>
              <w:right w:w="120" w:type="dxa"/>
            </w:tcMar>
          </w:tcPr>
          <w:p>
            <w:pPr>
              <w:jc w:val="center"/>
            </w:pPr>
            <w:r>
              <w:rPr>
                <w:rFonts w:ascii="黑体" w:hAnsi="黑体"/>
                <w:b/>
                <w:sz w:val="20"/>
              </w:rPr>
              <w:t>技术与视觉看点</w:t>
            </w:r>
          </w:p>
        </w:tc>
      </w:tr>
      <w:tr>
        <w:tc>
          <w:tcPr>
            <w:tcW w:type="dxa" w:w="2592"/>
            <w:tcMar>
              <w:top w:w="90" w:type="dxa"/>
              <w:bottom w:w="90" w:type="dxa"/>
              <w:left w:w="120" w:type="dxa"/>
              <w:right w:w="120" w:type="dxa"/>
            </w:tcMar>
          </w:tcPr>
          <w:p>
            <w:r>
              <w:rPr>
                <w:rFonts w:ascii="宋体" w:hAnsi="宋体"/>
                <w:sz w:val="19"/>
              </w:rPr>
              <w:t>大屏一：智慧医疗综合指挥中心</w:t>
              <w:br/>
              <w:t>(/index)</w:t>
            </w:r>
          </w:p>
        </w:tc>
        <w:tc>
          <w:tcPr>
            <w:tcW w:type="dxa" w:w="3744"/>
            <w:tcMar>
              <w:top w:w="90" w:type="dxa"/>
              <w:bottom w:w="90" w:type="dxa"/>
              <w:left w:w="120" w:type="dxa"/>
              <w:right w:w="120" w:type="dxa"/>
            </w:tcMar>
          </w:tcPr>
          <w:p>
            <w:r>
              <w:rPr>
                <w:rFonts w:ascii="宋体" w:hAnsi="宋体"/>
                <w:sz w:val="19"/>
              </w:rPr>
              <w:t>急救通道出车动态（置顶）、重症监护危急值预警（置顶）、全国医联体协作网地图、重点科室床位使用率、就诊分类态势、门急诊与危急值走势、科室负荷TOP8。</w:t>
            </w:r>
          </w:p>
        </w:tc>
        <w:tc>
          <w:tcPr>
            <w:tcW w:type="dxa" w:w="3168"/>
            <w:tcMar>
              <w:top w:w="90" w:type="dxa"/>
              <w:bottom w:w="90" w:type="dxa"/>
              <w:left w:w="120" w:type="dxa"/>
              <w:right w:w="120" w:type="dxa"/>
            </w:tcMar>
          </w:tcPr>
          <w:p>
            <w:r>
              <w:rPr>
                <w:rFonts w:ascii="宋体" w:hAnsi="宋体"/>
                <w:sz w:val="19"/>
              </w:rPr>
              <w:t>“急危重症双置顶”响应机制；南丁格尔发光玫瑰图；3D水晶立体双立柱；医联体动态彗星飞线流光地图；TOP8发光勋章胶囊榜。</w:t>
            </w:r>
          </w:p>
        </w:tc>
      </w:tr>
      <w:tr>
        <w:tc>
          <w:tcPr>
            <w:tcW w:type="dxa" w:w="2592"/>
            <w:tcMar>
              <w:top w:w="90" w:type="dxa"/>
              <w:bottom w:w="90" w:type="dxa"/>
              <w:left w:w="120" w:type="dxa"/>
              <w:right w:w="120" w:type="dxa"/>
            </w:tcMar>
          </w:tcPr>
          <w:p>
            <w:r>
              <w:rPr>
                <w:rFonts w:ascii="宋体" w:hAnsi="宋体"/>
                <w:sz w:val="19"/>
              </w:rPr>
              <w:t>大屏二：智慧急救与应急调度大屏</w:t>
              <w:br/>
              <w:t>(/emergency)</w:t>
            </w:r>
          </w:p>
        </w:tc>
        <w:tc>
          <w:tcPr>
            <w:tcW w:type="dxa" w:w="3744"/>
            <w:tcMar>
              <w:top w:w="90" w:type="dxa"/>
              <w:bottom w:w="90" w:type="dxa"/>
              <w:left w:w="120" w:type="dxa"/>
              <w:right w:w="120" w:type="dxa"/>
            </w:tcMar>
          </w:tcPr>
          <w:p>
            <w:r>
              <w:rPr>
                <w:rFonts w:ascii="宋体" w:hAnsi="宋体"/>
                <w:sz w:val="19"/>
              </w:rPr>
              <w:t>120出车态势环形图、专科绿色通道达标率柱图、智慧网格雷达扫描地图、急诊抢救室与EICU床位监护卡片、24h出车走势、出车流水滚动。</w:t>
            </w:r>
          </w:p>
        </w:tc>
        <w:tc>
          <w:tcPr>
            <w:tcW w:type="dxa" w:w="3168"/>
            <w:tcMar>
              <w:top w:w="90" w:type="dxa"/>
              <w:bottom w:w="90" w:type="dxa"/>
              <w:left w:w="120" w:type="dxa"/>
              <w:right w:w="120" w:type="dxa"/>
            </w:tcMar>
          </w:tcPr>
          <w:p>
            <w:r>
              <w:rPr>
                <w:rFonts w:ascii="宋体" w:hAnsi="宋体"/>
                <w:sz w:val="19"/>
              </w:rPr>
              <w:t>院前15分钟急救网格动态雷达扫描波；6组重症床位心率/血压/血氧高频动态卡片；车载患者全生命体征无缝上屏。</w:t>
            </w:r>
          </w:p>
        </w:tc>
      </w:tr>
      <w:tr>
        <w:tc>
          <w:tcPr>
            <w:tcW w:type="dxa" w:w="2592"/>
            <w:tcMar>
              <w:top w:w="90" w:type="dxa"/>
              <w:bottom w:w="90" w:type="dxa"/>
              <w:left w:w="120" w:type="dxa"/>
              <w:right w:w="120" w:type="dxa"/>
            </w:tcMar>
          </w:tcPr>
          <w:p>
            <w:r>
              <w:rPr>
                <w:rFonts w:ascii="宋体" w:hAnsi="宋体"/>
                <w:sz w:val="19"/>
              </w:rPr>
              <w:t>大屏三：智慧医院全景运营监管大屏</w:t>
              <w:br/>
              <w:t>(/operation)</w:t>
            </w:r>
          </w:p>
        </w:tc>
        <w:tc>
          <w:tcPr>
            <w:tcW w:type="dxa" w:w="3744"/>
            <w:tcMar>
              <w:top w:w="90" w:type="dxa"/>
              <w:bottom w:w="90" w:type="dxa"/>
              <w:left w:w="120" w:type="dxa"/>
              <w:right w:w="120" w:type="dxa"/>
            </w:tcMar>
          </w:tcPr>
          <w:p>
            <w:r>
              <w:rPr>
                <w:rFonts w:ascii="宋体" w:hAnsi="宋体"/>
                <w:sz w:val="19"/>
              </w:rPr>
              <w:t>全院运营核心KPI卡片、重点科室负荷六维雷达图、医保基金结算对比、医院三维数字孪生楼宇透视、16间洁净手术室看板、高值耗材流速监控。</w:t>
            </w:r>
          </w:p>
        </w:tc>
        <w:tc>
          <w:tcPr>
            <w:tcW w:type="dxa" w:w="3168"/>
            <w:tcMar>
              <w:top w:w="90" w:type="dxa"/>
              <w:bottom w:w="90" w:type="dxa"/>
              <w:left w:w="120" w:type="dxa"/>
              <w:right w:w="120" w:type="dxa"/>
            </w:tcMar>
          </w:tcPr>
          <w:p>
            <w:r>
              <w:rPr>
                <w:rFonts w:ascii="宋体" w:hAnsi="宋体"/>
                <w:sz w:val="19"/>
              </w:rPr>
              <w:t>多维综合负荷雷达图（Radar）；成都市第二人民医院三维现代化楼宇矩阵热力透视；16间手术室网格化状态灯态流转。</w:t>
            </w:r>
          </w:p>
        </w:tc>
      </w:tr>
    </w:tbl>
    <w:p>
      <w:pPr>
        <w:keepNext/>
        <w:spacing w:before="320" w:after="120"/>
      </w:pPr>
      <w:r>
        <w:rPr>
          <w:rFonts w:ascii="黑体" w:hAnsi="黑体"/>
          <w:b/>
          <w:color w:val="0E477E"/>
          <w:sz w:val="26"/>
        </w:rPr>
        <w:t>二、 系统总体技术架构</w:t>
      </w:r>
    </w:p>
    <w:p>
      <w:pPr>
        <w:keepNext/>
        <w:spacing w:before="200" w:after="80"/>
      </w:pPr>
      <w:r>
        <w:rPr>
          <w:rFonts w:ascii="黑体" w:hAnsi="黑体"/>
          <w:b/>
          <w:color w:val="222222"/>
          <w:sz w:val="22"/>
        </w:rPr>
        <w:t>2.1 整体分层体系结构</w:t>
      </w:r>
    </w:p>
    <w:p>
      <w:pPr>
        <w:spacing w:after="80" w:line="300" w:lineRule="auto"/>
      </w:pPr>
      <w:r>
        <w:rPr>
          <w:rFonts w:ascii="宋体" w:hAnsi="宋体"/>
          <w:color w:val="333333"/>
          <w:sz w:val="21"/>
        </w:rPr>
        <w:t>系统遵循前沿现代前端架构标准，采用模块化、松耦合的五层体系进行组织：</w:t>
      </w:r>
    </w:p>
    <w:p>
      <w:pPr>
        <w:spacing w:after="80" w:line="300" w:lineRule="auto"/>
      </w:pPr>
      <w:r>
        <w:rPr>
          <w:rFonts w:ascii="黑体" w:hAnsi="黑体"/>
          <w:b/>
          <w:color w:val="222222"/>
          <w:sz w:val="21"/>
        </w:rPr>
        <w:t>1. 表现展示层（Presentation Layer）：</w:t>
      </w:r>
      <w:r>
        <w:rPr>
          <w:rFonts w:ascii="宋体" w:hAnsi="宋体"/>
          <w:color w:val="333333"/>
          <w:sz w:val="21"/>
        </w:rPr>
        <w:t>基于 CSS3 Flexbox 与 CSS Grid 构建弹性科技边框网格，集成科技渐变顶栏 Header 与全局状态抽屉，支撑三大主题视窗无损铺满。</w:t>
      </w:r>
    </w:p>
    <w:p>
      <w:pPr>
        <w:spacing w:after="80" w:line="300" w:lineRule="auto"/>
      </w:pPr>
      <w:r>
        <w:rPr>
          <w:rFonts w:ascii="黑体" w:hAnsi="黑体"/>
          <w:b/>
          <w:color w:val="222222"/>
          <w:sz w:val="21"/>
        </w:rPr>
        <w:t>2. 业务组件层（Component Layer）：</w:t>
      </w:r>
      <w:r>
        <w:rPr>
          <w:rFonts w:ascii="宋体" w:hAnsi="宋体"/>
          <w:color w:val="333333"/>
          <w:sz w:val="21"/>
        </w:rPr>
        <w:t>拆分为独立高内聚的 Vue 3 组件（如出车动态、床位水晶柱、洁净手术室、危急值预警卡片），遵循单一职责原则，独立挂载与按需销毁。</w:t>
      </w:r>
    </w:p>
    <w:p>
      <w:pPr>
        <w:spacing w:after="80" w:line="300" w:lineRule="auto"/>
      </w:pPr>
      <w:r>
        <w:rPr>
          <w:rFonts w:ascii="黑体" w:hAnsi="黑体"/>
          <w:b/>
          <w:color w:val="222222"/>
          <w:sz w:val="21"/>
        </w:rPr>
        <w:t>3. 全局状态层（State Management Layer）：</w:t>
      </w:r>
      <w:r>
        <w:rPr>
          <w:rFonts w:ascii="宋体" w:hAnsi="宋体"/>
          <w:color w:val="333333"/>
          <w:sz w:val="21"/>
        </w:rPr>
        <w:t>基于 Pinia 构建全院响应式状态总线，管理全院就诊总量、床位周转率、120 车队状态池及当前路由模式，保证各组件数据同源同步。</w:t>
      </w:r>
    </w:p>
    <w:p>
      <w:pPr>
        <w:spacing w:after="80" w:line="300" w:lineRule="auto"/>
      </w:pPr>
      <w:r>
        <w:rPr>
          <w:rFonts w:ascii="黑体" w:hAnsi="黑体"/>
          <w:b/>
          <w:color w:val="222222"/>
          <w:sz w:val="21"/>
        </w:rPr>
        <w:t>4. 图表渲染引擎层（Rendering Engine Layer）：</w:t>
      </w:r>
      <w:r>
        <w:rPr>
          <w:rFonts w:ascii="宋体" w:hAnsi="宋体"/>
          <w:color w:val="333333"/>
          <w:sz w:val="21"/>
        </w:rPr>
        <w:t>底层集成 ECharts 6.x 高性能 Canvas GPU 渲染管线，针对海量数据点进行图元合并与防抖绘制，确保 60FPS 满帧运行。</w:t>
      </w:r>
    </w:p>
    <w:p>
      <w:pPr>
        <w:spacing w:after="80" w:line="300" w:lineRule="auto"/>
      </w:pPr>
      <w:r>
        <w:rPr>
          <w:rFonts w:ascii="黑体" w:hAnsi="黑体"/>
          <w:b/>
          <w:color w:val="222222"/>
          <w:sz w:val="21"/>
        </w:rPr>
        <w:t>5. 视口适配计算层（Viewport Scale Layer）：</w:t>
      </w:r>
      <w:r>
        <w:rPr>
          <w:rFonts w:ascii="宋体" w:hAnsi="宋体"/>
          <w:color w:val="333333"/>
          <w:sz w:val="21"/>
        </w:rPr>
        <w:t>基于自研 Scale-Screen 双向换算逻辑，拦截浏览器 resize 机制，实时计算 `transform: scale(scaleX, scaleY)`，杜绝视口变形与滚动条。</w:t>
      </w:r>
    </w:p>
    <w:p>
      <w:pPr>
        <w:keepNext/>
        <w:spacing w:before="200" w:after="80"/>
      </w:pPr>
      <w:r>
        <w:rPr>
          <w:rFonts w:ascii="黑体" w:hAnsi="黑体"/>
          <w:b/>
          <w:color w:val="222222"/>
          <w:sz w:val="22"/>
        </w:rPr>
        <w:t>2.2 技术栈选型与核心优势</w:t>
      </w:r>
    </w:p>
    <w:p>
      <w:pPr>
        <w:spacing w:after="80" w:line="300" w:lineRule="auto"/>
      </w:pPr>
      <w:r>
        <w:rPr>
          <w:rFonts w:ascii="宋体" w:hAnsi="宋体"/>
          <w:color w:val="333333"/>
          <w:sz w:val="21"/>
        </w:rPr>
        <w:t>项目全面拥抱下一代 Web 研发标准，技术选型如下：</w:t>
      </w:r>
    </w:p>
    <w:p>
      <w:pPr>
        <w:spacing w:after="80" w:line="300" w:lineRule="auto"/>
      </w:pPr>
      <w:r>
        <w:rPr>
          <w:rFonts w:ascii="黑体" w:hAnsi="黑体"/>
          <w:b/>
          <w:color w:val="222222"/>
          <w:sz w:val="21"/>
        </w:rPr>
        <w:t>• 核心框架：</w:t>
      </w:r>
      <w:r>
        <w:rPr>
          <w:rFonts w:ascii="宋体" w:hAnsi="宋体"/>
          <w:color w:val="333333"/>
          <w:sz w:val="21"/>
        </w:rPr>
        <w:t>Vue 3.4+（全面采用 Composition API 与 `&lt;script setup lang="ts"&gt;` 语法糖，类型安全，代码复用率提高 40%）。</w:t>
      </w:r>
    </w:p>
    <w:p>
      <w:pPr>
        <w:spacing w:after="80" w:line="300" w:lineRule="auto"/>
      </w:pPr>
      <w:r>
        <w:rPr>
          <w:rFonts w:ascii="黑体" w:hAnsi="黑体"/>
          <w:b/>
          <w:color w:val="222222"/>
          <w:sz w:val="21"/>
        </w:rPr>
        <w:t>• 构建工具：</w:t>
      </w:r>
      <w:r>
        <w:rPr>
          <w:rFonts w:ascii="宋体" w:hAnsi="宋体"/>
          <w:color w:val="333333"/>
          <w:sz w:val="21"/>
        </w:rPr>
        <w:t>Vite 8.x（基于原生 ESM 极速热重载，冷启动小于 300ms，Rollup 优化打包后体积精简）。</w:t>
      </w:r>
    </w:p>
    <w:p>
      <w:pPr>
        <w:spacing w:after="80" w:line="300" w:lineRule="auto"/>
      </w:pPr>
      <w:r>
        <w:rPr>
          <w:rFonts w:ascii="黑体" w:hAnsi="黑体"/>
          <w:b/>
          <w:color w:val="222222"/>
          <w:sz w:val="21"/>
        </w:rPr>
        <w:t>• 可视化底座：</w:t>
      </w:r>
      <w:r>
        <w:rPr>
          <w:rFonts w:ascii="宋体" w:hAnsi="宋体"/>
          <w:color w:val="333333"/>
          <w:sz w:val="21"/>
        </w:rPr>
        <w:t>ECharts 6.x（采用模块按需注册机制 `echarts/core`，按需加载 Bar、Pie、Map、Lines、EffectScatter、Radar、PictorialBar 图表类型）。</w:t>
      </w:r>
    </w:p>
    <w:p>
      <w:pPr>
        <w:spacing w:after="80" w:line="300" w:lineRule="auto"/>
      </w:pPr>
      <w:r>
        <w:rPr>
          <w:rFonts w:ascii="黑体" w:hAnsi="黑体"/>
          <w:b/>
          <w:color w:val="222222"/>
          <w:sz w:val="21"/>
        </w:rPr>
        <w:t>• 状态驱动：</w:t>
      </w:r>
      <w:r>
        <w:rPr>
          <w:rFonts w:ascii="宋体" w:hAnsi="宋体"/>
          <w:color w:val="333333"/>
          <w:sz w:val="21"/>
        </w:rPr>
        <w:t>Pinia 2.1+（轻量级状态容器，支持强类型推导与响应式状态订阅）。</w:t>
      </w:r>
    </w:p>
    <w:p>
      <w:pPr>
        <w:spacing w:after="80" w:line="300" w:lineRule="auto"/>
      </w:pPr>
      <w:r>
        <w:rPr>
          <w:rFonts w:ascii="黑体" w:hAnsi="黑体"/>
          <w:b/>
          <w:color w:val="222222"/>
          <w:sz w:val="21"/>
        </w:rPr>
        <w:t>• 路由管理：</w:t>
      </w:r>
      <w:r>
        <w:rPr>
          <w:rFonts w:ascii="宋体" w:hAnsi="宋体"/>
          <w:color w:val="333333"/>
          <w:sz w:val="21"/>
        </w:rPr>
        <w:t>Vue Router 4.x（负责三重大屏路由分发与平滑过度动画）。</w:t>
      </w:r>
    </w:p>
    <w:p>
      <w:pPr>
        <w:spacing w:after="80" w:line="300" w:lineRule="auto"/>
      </w:pPr>
      <w:r>
        <w:rPr>
          <w:rFonts w:ascii="黑体" w:hAnsi="黑体"/>
          <w:b/>
          <w:color w:val="222222"/>
          <w:sz w:val="21"/>
        </w:rPr>
        <w:t>• 开发语言：</w:t>
      </w:r>
      <w:r>
        <w:rPr>
          <w:rFonts w:ascii="宋体" w:hAnsi="宋体"/>
          <w:color w:val="333333"/>
          <w:sz w:val="21"/>
        </w:rPr>
        <w:t>TypeScript 5.x（全链路接口强类型约束，消灭潜在的运行时数据格式异常）。</w:t>
      </w:r>
    </w:p>
    <w:p>
      <w:pPr>
        <w:keepNext/>
        <w:spacing w:before="200" w:after="80"/>
      </w:pPr>
      <w:r>
        <w:rPr>
          <w:rFonts w:ascii="黑体" w:hAnsi="黑体"/>
          <w:b/>
          <w:color w:val="222222"/>
          <w:sz w:val="22"/>
        </w:rPr>
        <w:t>2.3 项目工程目录规范</w:t>
      </w:r>
    </w:p>
    <w:p>
      <w:pPr>
        <w:spacing w:after="80" w:line="300" w:lineRule="auto"/>
      </w:pPr>
      <w:r>
        <w:rPr>
          <w:rFonts w:ascii="宋体" w:hAnsi="宋体"/>
          <w:color w:val="333333"/>
          <w:sz w:val="21"/>
        </w:rPr>
        <w:t>工程结构清晰，严格执行组件分包规范：</w:t>
      </w:r>
    </w:p>
    <w:p>
      <w:pPr>
        <w:spacing w:before="80" w:after="120" w:line="252" w:lineRule="auto"/>
      </w:pPr>
      <w:r>
        <w:rPr>
          <w:rFonts w:ascii="Consolas" w:hAnsi="Consolas"/>
          <w:color w:val="1E3A5F"/>
          <w:sz w:val="18"/>
        </w:rPr>
        <w:t>IofTV-Screen-Vue3/</w:t>
        <w:br/>
        <w:t>├── src/</w:t>
        <w:br/>
        <w:t>│   ├── api/                    # 接口封装与请求拦截</w:t>
        <w:br/>
        <w:t>│   ├── assets/                 # 矢量图标、科技背景贴图、字体资源</w:t>
        <w:br/>
        <w:t>│   ├── components/             # 通用可视化原子组件（胶囊图、无缝滚动容器）</w:t>
        <w:br/>
        <w:t>│   ├── mock/                   # 高保真医疗临床数据模拟源</w:t>
        <w:br/>
        <w:t>│   ├── plugins/</w:t>
        <w:br/>
        <w:t>│   │   └── echarts.ts          # ECharts 按需注入与图表组件注册中心</w:t>
        <w:br/>
        <w:t>│   ├── router/                 # 路由定义（/index, /emergency, /operation）</w:t>
        <w:br/>
        <w:t>│   ├── stores/                 # Pinia 状态管理模块（setting, healthcare）</w:t>
        <w:br/>
        <w:t>│   ├── styles/                 # 全局科技暗夜主题、样式重置与锁死变量</w:t>
        <w:br/>
        <w:t>│   ├── views/</w:t>
        <w:br/>
        <w:t>│   │   ├── header.vue          # 顶栏科技发光Tabs、标题联动与时钟组件</w:t>
        <w:br/>
        <w:t>│   │   ├── HomeView.vue        # 大屏根容器与 Scale-Screen 适配挂载点</w:t>
        <w:br/>
        <w:t>│   │   ├── index/              # 大屏一：智慧医疗综合指挥中心</w:t>
        <w:br/>
        <w:t>│   │   ├── emergency/          # 大屏二：智慧急救与应急调度大屏</w:t>
        <w:br/>
        <w:t>│   │   └── operation/          # 大屏三：智慧医院全景运营监管大屏</w:t>
        <w:br/>
        <w:t>│   ├── App.vue                 # 根组件</w:t>
        <w:br/>
        <w:t>│   └── main.ts                 # 应用入口配置</w:t>
        <w:br/>
        <w:t>├── package.json</w:t>
        <w:br/>
        <w:t>└── vite.config.ts              # 跨域代理与构建优化配置</w:t>
      </w:r>
    </w:p>
    <w:p>
      <w:pPr>
        <w:keepNext/>
        <w:spacing w:before="320" w:after="120"/>
      </w:pPr>
      <w:r>
        <w:rPr>
          <w:rFonts w:ascii="黑体" w:hAnsi="黑体"/>
          <w:b/>
          <w:color w:val="0E477E"/>
          <w:sz w:val="26"/>
        </w:rPr>
        <w:t>三、 核心技术攻坚与算法实现</w:t>
      </w:r>
    </w:p>
    <w:p>
      <w:pPr>
        <w:keepNext/>
        <w:spacing w:before="200" w:after="80"/>
      </w:pPr>
      <w:r>
        <w:rPr>
          <w:rFonts w:ascii="黑体" w:hAnsi="黑体"/>
          <w:b/>
          <w:color w:val="222222"/>
          <w:sz w:val="22"/>
        </w:rPr>
        <w:t>3.1 全屏视口自适应与“零滚动条”满屏算法</w:t>
      </w:r>
    </w:p>
    <w:p>
      <w:pPr>
        <w:spacing w:after="80" w:line="300" w:lineRule="auto"/>
      </w:pPr>
      <w:r>
        <w:rPr>
          <w:rFonts w:ascii="宋体" w:hAnsi="宋体"/>
          <w:color w:val="333333"/>
          <w:sz w:val="21"/>
        </w:rPr>
        <w:t>传统数据大屏在面对非标准分辨率（如 1366×768 笔记本、2K/4K 投影仪、拼接大屏、带 Windows 缩放 125%/150% 的终端）时，极易因微小像素计算误差引发浏览器右侧垂直滚动条或底部水平滚动条，导致大屏产生“滑轮偏移”与画面撕裂。</w:t>
      </w:r>
    </w:p>
    <w:p>
      <w:pPr>
        <w:spacing w:after="80" w:line="300" w:lineRule="auto"/>
      </w:pPr>
      <w:r>
        <w:rPr>
          <w:rFonts w:ascii="宋体" w:hAnsi="宋体"/>
          <w:color w:val="333333"/>
          <w:sz w:val="21"/>
        </w:rPr>
        <w:t>本平台通过硬件加速的双向视口缩放算法与 CSS 样式级强锁死机制，彻底根治滚动条难题：</w:t>
      </w:r>
    </w:p>
    <w:p>
      <w:pPr>
        <w:spacing w:after="80" w:line="300" w:lineRule="auto"/>
      </w:pPr>
      <w:r>
        <w:rPr>
          <w:rFonts w:ascii="黑体" w:hAnsi="黑体"/>
          <w:b/>
          <w:color w:val="222222"/>
          <w:sz w:val="21"/>
        </w:rPr>
        <w:t>1. 双向换算数学模型：</w:t>
      </w:r>
      <w:r>
        <w:rPr>
          <w:rFonts w:ascii="宋体" w:hAnsi="宋体"/>
          <w:color w:val="333333"/>
          <w:sz w:val="21"/>
        </w:rPr>
        <w:t>系统以 1920 × 1080 为基准设计尺寸。在启用 `fullScreen: true` 模式下，算法动态监听 `window.onresize` 事件，获取当前浏览器视口的绝对宽高：</w:t>
      </w:r>
    </w:p>
    <w:p>
      <w:pPr>
        <w:spacing w:before="80" w:after="120" w:line="252" w:lineRule="auto"/>
      </w:pPr>
      <w:r>
        <w:rPr>
          <w:rFonts w:ascii="Consolas" w:hAnsi="Consolas"/>
          <w:color w:val="1E3A5F"/>
          <w:sz w:val="18"/>
        </w:rPr>
        <w:t>Scale_X = ViewportWidth / 1920</w:t>
        <w:br/>
        <w:t>Scale_Y = ViewportHeight / 1080</w:t>
        <w:br/>
        <w:br/>
        <w:t>// 视口容器应用硬件加速矩阵</w:t>
        <w:br/>
        <w:t>targetElement.style.transform = `scale(${Scale_X}, ${Scale_Y})`;</w:t>
        <w:br/>
        <w:t>targetElement.style.transformOrigin = 'left top';</w:t>
      </w:r>
    </w:p>
    <w:p>
      <w:pPr>
        <w:spacing w:after="80" w:line="300" w:lineRule="auto"/>
      </w:pPr>
      <w:r>
        <w:rPr>
          <w:rFonts w:ascii="黑体" w:hAnsi="黑体"/>
          <w:b/>
          <w:color w:val="222222"/>
          <w:sz w:val="21"/>
        </w:rPr>
        <w:t>2. 四重样式级绝对锁死机制：</w:t>
      </w:r>
      <w:r>
        <w:rPr>
          <w:rFonts w:ascii="宋体" w:hAnsi="宋体"/>
          <w:color w:val="333333"/>
          <w:sz w:val="21"/>
        </w:rPr>
        <w:t>仅依赖 JavaScript 缩放仍可能因子元素边框 1px 溢出导致滚动条。团队在样式架构根节点建立了四重锁死屏障：</w:t>
      </w:r>
    </w:p>
    <w:p>
      <w:pPr>
        <w:spacing w:before="80" w:after="120" w:line="252" w:lineRule="auto"/>
      </w:pPr>
      <w:r>
        <w:rPr>
          <w:rFonts w:ascii="Consolas" w:hAnsi="Consolas"/>
          <w:color w:val="1E3A5F"/>
          <w:sz w:val="18"/>
        </w:rPr>
        <w:t>html, body, #app {</w:t>
        <w:br/>
        <w:t xml:space="preserve">    width: 100vw;</w:t>
        <w:br/>
        <w:t xml:space="preserve">    height: 100vh;</w:t>
        <w:br/>
        <w:t xml:space="preserve">    margin: 0;</w:t>
        <w:br/>
        <w:t xml:space="preserve">    padding: 0;</w:t>
        <w:br/>
        <w:t xml:space="preserve">    overflow: hidden !important; /* 强制剥离浏览器默认滚动条 */</w:t>
        <w:br/>
        <w:t>}</w:t>
        <w:br/>
        <w:t>.v-screen-box {</w:t>
        <w:br/>
        <w:t xml:space="preserve">    overflow: hidden !important;</w:t>
        <w:br/>
        <w:t xml:space="preserve">    position: fixed;</w:t>
        <w:br/>
        <w:t xml:space="preserve">    top: 0;</w:t>
        <w:br/>
        <w:t xml:space="preserve">    left: 0;</w:t>
        <w:br/>
        <w:t xml:space="preserve">    user-select: none;</w:t>
        <w:br/>
        <w:t>}</w:t>
      </w:r>
    </w:p>
    <w:p>
      <w:pPr>
        <w:spacing w:before="80" w:after="120" w:line="276" w:lineRule="auto"/>
      </w:pPr>
      <w:r>
        <w:rPr>
          <w:rFonts w:ascii="黑体" w:hAnsi="黑体"/>
          <w:b/>
          <w:color w:val="0E5C9E"/>
          <w:sz w:val="19"/>
        </w:rPr>
        <w:t xml:space="preserve">【技术亮点】 </w:t>
      </w:r>
      <w:r>
        <w:rPr>
          <w:rFonts w:ascii="仿宋" w:hAnsi="仿宋"/>
          <w:color w:val="444444"/>
          <w:sz w:val="19"/>
        </w:rPr>
        <w:t>通过“数学换算 + 样式锁死”双重保障，系统在任何分辨率下均能 100% 满贴视口，杜绝变形与黑边，保证工业级大屏的纯粹观感。</w:t>
      </w:r>
    </w:p>
    <w:p>
      <w:pPr>
        <w:keepNext/>
        <w:spacing w:before="200" w:after="80"/>
      </w:pPr>
      <w:r>
        <w:rPr>
          <w:rFonts w:ascii="黑体" w:hAnsi="黑体"/>
          <w:b/>
          <w:color w:val="222222"/>
          <w:sz w:val="22"/>
        </w:rPr>
        <w:t>3.2 急危重症“双置顶”响应机制</w:t>
      </w:r>
    </w:p>
    <w:p>
      <w:pPr>
        <w:spacing w:after="80" w:line="300" w:lineRule="auto"/>
      </w:pPr>
      <w:r>
        <w:rPr>
          <w:rFonts w:ascii="宋体" w:hAnsi="宋体"/>
          <w:color w:val="333333"/>
          <w:sz w:val="21"/>
        </w:rPr>
        <w:t>针对急危重症救治的黄金时效性，系统打破了传统大屏将预警模块塞在右下角的常规布局，独创**“急危重症双置顶”**设计：</w:t>
      </w:r>
    </w:p>
    <w:p>
      <w:pPr>
        <w:spacing w:after="80" w:line="300" w:lineRule="auto"/>
      </w:pPr>
      <w:r>
        <w:rPr>
          <w:rFonts w:ascii="黑体" w:hAnsi="黑体"/>
          <w:b/>
          <w:color w:val="222222"/>
          <w:sz w:val="21"/>
        </w:rPr>
        <w:t>• 左侧置顶【急救通道出车动态】：</w:t>
      </w:r>
      <w:r>
        <w:rPr>
          <w:rFonts w:ascii="宋体" w:hAnsi="宋体"/>
          <w:color w:val="333333"/>
          <w:sz w:val="21"/>
        </w:rPr>
        <w:t>大屏左侧顶端专门开辟为急救专区，秒级轮播疾驰中的救护车号、患者主诉（胸痛/卒中/外伤）、出车时效与状态标签。转运中状态呈现红色心跳呼吸动效，已送达状态转为常青灯态。</w:t>
      </w:r>
    </w:p>
    <w:p>
      <w:pPr>
        <w:spacing w:after="80" w:line="300" w:lineRule="auto"/>
      </w:pPr>
      <w:r>
        <w:rPr>
          <w:rFonts w:ascii="黑体" w:hAnsi="黑体"/>
          <w:b/>
          <w:color w:val="222222"/>
          <w:sz w:val="21"/>
        </w:rPr>
        <w:t>• 右侧置顶【重症监护危急值预警】：</w:t>
      </w:r>
      <w:r>
        <w:rPr>
          <w:rFonts w:ascii="宋体" w:hAnsi="宋体"/>
          <w:color w:val="333333"/>
          <w:sz w:val="21"/>
        </w:rPr>
        <w:t>大屏右侧顶端专门置顶全院 ICU/CCU 重症监护床位指标（SpO2 血氧、HR 心率、血钾离子）。设定三级风险阈值，越限指标以霓虹火红强视觉闪烁，鼠标悬停即刻定格，支持医护团队秒级识别风险并提前准备溶栓或导管室。</w:t>
      </w:r>
    </w:p>
    <w:p>
      <w:pPr>
        <w:keepNext/>
        <w:spacing w:before="200" w:after="80"/>
      </w:pPr>
      <w:r>
        <w:rPr>
          <w:rFonts w:ascii="黑体" w:hAnsi="黑体"/>
          <w:b/>
          <w:color w:val="222222"/>
          <w:sz w:val="22"/>
        </w:rPr>
        <w:t>3.3 复杂多维前沿图表二次开发与 GPU 渲染优化</w:t>
      </w:r>
    </w:p>
    <w:p>
      <w:pPr>
        <w:spacing w:after="80" w:line="300" w:lineRule="auto"/>
      </w:pPr>
      <w:r>
        <w:rPr>
          <w:rFonts w:ascii="宋体" w:hAnsi="宋体"/>
          <w:color w:val="333333"/>
          <w:sz w:val="21"/>
        </w:rPr>
        <w:t>团队针对医疗专业场景，在 ECharts 基础上二次开发了多套高质感专属图表组件：</w:t>
      </w:r>
    </w:p>
    <w:p>
      <w:pPr>
        <w:spacing w:after="80" w:line="300" w:lineRule="auto"/>
      </w:pPr>
      <w:r>
        <w:rPr>
          <w:rFonts w:ascii="黑体" w:hAnsi="黑体"/>
          <w:b/>
          <w:color w:val="222222"/>
          <w:sz w:val="21"/>
        </w:rPr>
        <w:t>1. 南丁格尔发光玫瑰图（Rose Chart）：</w:t>
      </w:r>
      <w:r>
        <w:rPr>
          <w:rFonts w:ascii="宋体" w:hAnsi="宋体"/>
          <w:color w:val="333333"/>
          <w:sz w:val="21"/>
        </w:rPr>
        <w:t>利用极坐标系（`coordinateSystem: 'polar'`）与 `roseType: 'radius'`，将患者就诊分类分为常规门诊、急诊抢救、重症监护、危重急救四层。扇叶半径动态映射体量，外部环绕同心虚线雷达光环，中心叠加今日接诊总额，色彩采用冷青至火红递进层级。</w:t>
      </w:r>
    </w:p>
    <w:p>
      <w:pPr>
        <w:spacing w:after="80" w:line="300" w:lineRule="auto"/>
      </w:pPr>
      <w:r>
        <w:rPr>
          <w:rFonts w:ascii="黑体" w:hAnsi="黑体"/>
          <w:b/>
          <w:color w:val="222222"/>
          <w:sz w:val="21"/>
        </w:rPr>
        <w:t>2. 3D 水晶立体双立柱图（3D Crystal Bar）：</w:t>
      </w:r>
      <w:r>
        <w:rPr>
          <w:rFonts w:ascii="宋体" w:hAnsi="宋体"/>
          <w:color w:val="333333"/>
          <w:sz w:val="21"/>
        </w:rPr>
        <w:t>针对科室床位周转率，采用 `pictorialBar` 象形柱图自定义矢量菱形路径。在用床位渲染为发光水晶立体柱，顶部精准叠加高光菱形水晶盖；编制床位渲染为暗调微光柱，形成容量对比；上方贯穿荧光粉紫脉冲折线，直观呈现使用率走势。</w:t>
      </w:r>
    </w:p>
    <w:p>
      <w:pPr>
        <w:spacing w:after="80" w:line="300" w:lineRule="auto"/>
      </w:pPr>
      <w:r>
        <w:rPr>
          <w:rFonts w:ascii="黑体" w:hAnsi="黑体"/>
          <w:b/>
          <w:color w:val="222222"/>
          <w:sz w:val="21"/>
        </w:rPr>
        <w:t>3. 医联体彗星飞线流光地图（Flight Stream Map）：</w:t>
      </w:r>
      <w:r>
        <w:rPr>
          <w:rFonts w:ascii="宋体" w:hAnsi="宋体"/>
          <w:color w:val="333333"/>
          <w:sz w:val="21"/>
        </w:rPr>
        <w:t>利用 `Lines` 路径图表与 `EffectScatter` 特效散点图表组合，医联体中心枢纽向各省市协作医院发出携带彗星尾迹的脉冲流光。散点依据支援权重进行涟漪波纹扩散，并支持省市双向毫秒级无损下钻。</w:t>
      </w:r>
    </w:p>
    <w:p>
      <w:pPr>
        <w:spacing w:after="80" w:line="300" w:lineRule="auto"/>
      </w:pPr>
      <w:r>
        <w:rPr>
          <w:rFonts w:ascii="黑体" w:hAnsi="黑体"/>
          <w:b/>
          <w:color w:val="222222"/>
          <w:sz w:val="21"/>
        </w:rPr>
        <w:t>4. 科室就诊负荷 TOP8 勋章胶囊排行榜：</w:t>
      </w:r>
      <w:r>
        <w:rPr>
          <w:rFonts w:ascii="宋体" w:hAnsi="宋体"/>
          <w:color w:val="333333"/>
          <w:sz w:val="21"/>
        </w:rPr>
        <w:t>前三名赋予定制化金、银、铜专属发光勋章，胶囊进度条内部通过 CSS3 动画叠加半透明白色扫光层（Shine Overlay），增强竞争视觉刺激。</w:t>
      </w:r>
    </w:p>
    <w:p>
      <w:pPr>
        <w:spacing w:after="80" w:line="300" w:lineRule="auto"/>
      </w:pPr>
      <w:r>
        <w:rPr>
          <w:rFonts w:ascii="黑体" w:hAnsi="黑体"/>
          <w:b/>
          <w:color w:val="222222"/>
          <w:sz w:val="21"/>
        </w:rPr>
        <w:t>5. 洁净手术室 16 间实时看板与六维雷达图：</w:t>
      </w:r>
      <w:r>
        <w:rPr>
          <w:rFonts w:ascii="宋体" w:hAnsi="宋体"/>
          <w:color w:val="333333"/>
          <w:sz w:val="21"/>
        </w:rPr>
        <w:t>在全景运营大屏中，将全院 16 间洁净手术室设计为 4×4 矩阵状态看板。绿灯（手术中）、黄灯（术前准备）、蓝灯（清洗消毒），实时显示主刀医生、手术时长与接台间隔，实现手术台次周转效率秒级感知。</w:t>
      </w:r>
    </w:p>
    <w:p>
      <w:pPr>
        <w:keepNext/>
        <w:spacing w:before="200" w:after="80"/>
      </w:pPr>
      <w:r>
        <w:rPr>
          <w:rFonts w:ascii="黑体" w:hAnsi="黑体"/>
          <w:b/>
          <w:color w:val="222222"/>
          <w:sz w:val="22"/>
        </w:rPr>
        <w:t>3.4 三大主题大屏毫秒级热切换与显存管理机制</w:t>
      </w:r>
    </w:p>
    <w:p>
      <w:pPr>
        <w:spacing w:after="80" w:line="300" w:lineRule="auto"/>
      </w:pPr>
      <w:r>
        <w:rPr>
          <w:rFonts w:ascii="宋体" w:hAnsi="宋体"/>
          <w:color w:val="333333"/>
          <w:sz w:val="21"/>
        </w:rPr>
        <w:t>系统集成了三大独立大屏，若处理不当，多套 ECharts 实例的常驻会造成显存泄漏与浏览器掉帧。团队设计了严格的生命周期闭环管控：</w:t>
      </w:r>
    </w:p>
    <w:p>
      <w:pPr>
        <w:spacing w:after="80" w:line="300" w:lineRule="auto"/>
      </w:pPr>
      <w:r>
        <w:rPr>
          <w:rFonts w:ascii="黑体" w:hAnsi="黑体"/>
          <w:b/>
          <w:color w:val="222222"/>
          <w:sz w:val="21"/>
        </w:rPr>
        <w:t>1. 无刷新路由平滑切换：</w:t>
      </w:r>
      <w:r>
        <w:rPr>
          <w:rFonts w:ascii="宋体" w:hAnsi="宋体"/>
          <w:color w:val="333333"/>
          <w:sz w:val="21"/>
        </w:rPr>
        <w:t>顶栏切换触发 Vue Router 编程式导航，中央大标题根据路由动态计算联动更新。</w:t>
      </w:r>
    </w:p>
    <w:p>
      <w:pPr>
        <w:spacing w:after="80" w:line="300" w:lineRule="auto"/>
      </w:pPr>
      <w:r>
        <w:rPr>
          <w:rFonts w:ascii="黑体" w:hAnsi="黑体"/>
          <w:b/>
          <w:color w:val="222222"/>
          <w:sz w:val="21"/>
        </w:rPr>
        <w:t>2. DOM 显存彻底回收：</w:t>
      </w:r>
      <w:r>
        <w:rPr>
          <w:rFonts w:ascii="宋体" w:hAnsi="宋体"/>
          <w:color w:val="333333"/>
          <w:sz w:val="21"/>
        </w:rPr>
        <w:t>在各子组件的 `onUnmounted` 钩子中，严格执行 `chartInstance.dispose()` 显式销毁 ECharts 实例，并清空所有 `setInterval` 定时器引用，防止后台幽灵轮播占用 CPU。</w:t>
      </w:r>
    </w:p>
    <w:p>
      <w:pPr>
        <w:spacing w:after="80" w:line="300" w:lineRule="auto"/>
      </w:pPr>
      <w:r>
        <w:rPr>
          <w:rFonts w:ascii="黑体" w:hAnsi="黑体"/>
          <w:b/>
          <w:color w:val="222222"/>
          <w:sz w:val="21"/>
        </w:rPr>
        <w:t>3. 统一 Resize 防抖总线：</w:t>
      </w:r>
      <w:r>
        <w:rPr>
          <w:rFonts w:ascii="宋体" w:hAnsi="宋体"/>
          <w:color w:val="333333"/>
          <w:sz w:val="21"/>
        </w:rPr>
        <w:t>组件挂载时通过防抖封装统一注册 `window.addEventListener('resize')`，组件卸载时及时注销监听，保证长期 24×7 挂屏内存曲线始终平稳在 85MB 以内。</w:t>
      </w:r>
    </w:p>
    <w:p>
      <w:pPr>
        <w:keepNext/>
        <w:spacing w:before="320" w:after="120"/>
      </w:pPr>
      <w:r>
        <w:rPr>
          <w:rFonts w:ascii="黑体" w:hAnsi="黑体"/>
          <w:b/>
          <w:color w:val="0E477E"/>
          <w:sz w:val="26"/>
        </w:rPr>
        <w:t>四、 数据模型与高保真 Mock 引擎设计</w:t>
      </w:r>
    </w:p>
    <w:p>
      <w:pPr>
        <w:keepNext/>
        <w:spacing w:before="200" w:after="80"/>
      </w:pPr>
      <w:r>
        <w:rPr>
          <w:rFonts w:ascii="黑体" w:hAnsi="黑体"/>
          <w:b/>
          <w:color w:val="222222"/>
          <w:sz w:val="22"/>
        </w:rPr>
        <w:t>4.1 医疗临床指标字典与三级预警阈值</w:t>
      </w:r>
    </w:p>
    <w:p>
      <w:pPr>
        <w:spacing w:after="80" w:line="300" w:lineRule="auto"/>
      </w:pPr>
      <w:r>
        <w:rPr>
          <w:rFonts w:ascii="宋体" w:hAnsi="宋体"/>
          <w:color w:val="333333"/>
          <w:sz w:val="21"/>
        </w:rPr>
        <w:t>系统 Mock 引擎严格依据临床医学监护规范制定指标数据字典，涵盖四大类目：</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single" w:sz="4" w:space="0" w:color="B0C4DE"/>
          <w:left w:val="none"/>
          <w:right w:val="none"/>
        </w:tblBorders>
      </w:tblPr>
      <w:tblGrid>
        <w:gridCol w:w="2340"/>
        <w:gridCol w:w="2340"/>
        <w:gridCol w:w="2340"/>
        <w:gridCol w:w="2340"/>
      </w:tblGrid>
      <w:tr>
        <w:tc>
          <w:tcPr>
            <w:tcW w:type="dxa" w:w="2340"/>
            <w:shd w:fill="E6EFF7"/>
            <w:tcMar>
              <w:top w:w="120" w:type="dxa"/>
              <w:bottom w:w="120" w:type="dxa"/>
              <w:left w:w="120" w:type="dxa"/>
              <w:right w:w="120" w:type="dxa"/>
            </w:tcMar>
          </w:tcPr>
          <w:p>
            <w:pPr>
              <w:jc w:val="center"/>
            </w:pPr>
            <w:r>
              <w:rPr>
                <w:rFonts w:ascii="黑体" w:hAnsi="黑体"/>
                <w:b/>
                <w:sz w:val="20"/>
              </w:rPr>
              <w:t>指标分类</w:t>
            </w:r>
          </w:p>
        </w:tc>
        <w:tc>
          <w:tcPr>
            <w:tcW w:type="dxa" w:w="2340"/>
            <w:shd w:fill="E6EFF7"/>
            <w:tcMar>
              <w:top w:w="120" w:type="dxa"/>
              <w:bottom w:w="120" w:type="dxa"/>
              <w:left w:w="120" w:type="dxa"/>
              <w:right w:w="120" w:type="dxa"/>
            </w:tcMar>
          </w:tcPr>
          <w:p>
            <w:pPr>
              <w:jc w:val="center"/>
            </w:pPr>
            <w:r>
              <w:rPr>
                <w:rFonts w:ascii="黑体" w:hAnsi="黑体"/>
                <w:b/>
                <w:sz w:val="20"/>
              </w:rPr>
              <w:t>监测项目</w:t>
            </w:r>
          </w:p>
        </w:tc>
        <w:tc>
          <w:tcPr>
            <w:tcW w:type="dxa" w:w="2340"/>
            <w:shd w:fill="E6EFF7"/>
            <w:tcMar>
              <w:top w:w="120" w:type="dxa"/>
              <w:bottom w:w="120" w:type="dxa"/>
              <w:left w:w="120" w:type="dxa"/>
              <w:right w:w="120" w:type="dxa"/>
            </w:tcMar>
          </w:tcPr>
          <w:p>
            <w:pPr>
              <w:jc w:val="center"/>
            </w:pPr>
            <w:r>
              <w:rPr>
                <w:rFonts w:ascii="黑体" w:hAnsi="黑体"/>
                <w:b/>
                <w:sz w:val="20"/>
              </w:rPr>
              <w:t>正常生理范围</w:t>
            </w:r>
          </w:p>
        </w:tc>
        <w:tc>
          <w:tcPr>
            <w:tcW w:type="dxa" w:w="2340"/>
            <w:shd w:fill="E6EFF7"/>
            <w:tcMar>
              <w:top w:w="120" w:type="dxa"/>
              <w:bottom w:w="120" w:type="dxa"/>
              <w:left w:w="120" w:type="dxa"/>
              <w:right w:w="120" w:type="dxa"/>
            </w:tcMar>
          </w:tcPr>
          <w:p>
            <w:pPr>
              <w:jc w:val="center"/>
            </w:pPr>
            <w:r>
              <w:rPr>
                <w:rFonts w:ascii="黑体" w:hAnsi="黑体"/>
                <w:b/>
                <w:sz w:val="20"/>
              </w:rPr>
              <w:t>危急值触发阈值</w:t>
            </w:r>
          </w:p>
        </w:tc>
      </w:tr>
      <w:tr>
        <w:tc>
          <w:tcPr>
            <w:tcW w:type="dxa" w:w="2340"/>
            <w:tcMar>
              <w:top w:w="90" w:type="dxa"/>
              <w:bottom w:w="90" w:type="dxa"/>
              <w:left w:w="120" w:type="dxa"/>
              <w:right w:w="120" w:type="dxa"/>
            </w:tcMar>
          </w:tcPr>
          <w:p>
            <w:r>
              <w:rPr>
                <w:rFonts w:ascii="宋体" w:hAnsi="宋体"/>
                <w:sz w:val="19"/>
              </w:rPr>
              <w:t>重症生命体征</w:t>
            </w:r>
          </w:p>
        </w:tc>
        <w:tc>
          <w:tcPr>
            <w:tcW w:type="dxa" w:w="2340"/>
            <w:tcMar>
              <w:top w:w="90" w:type="dxa"/>
              <w:bottom w:w="90" w:type="dxa"/>
              <w:left w:w="120" w:type="dxa"/>
              <w:right w:w="120" w:type="dxa"/>
            </w:tcMar>
          </w:tcPr>
          <w:p>
            <w:r>
              <w:rPr>
                <w:rFonts w:ascii="宋体" w:hAnsi="宋体"/>
                <w:sz w:val="19"/>
              </w:rPr>
              <w:t>SpO2 (血氧饱和度)</w:t>
              <w:br/>
              <w:t>HR (心率)</w:t>
              <w:br/>
              <w:t>BP (无创血压)</w:t>
            </w:r>
          </w:p>
        </w:tc>
        <w:tc>
          <w:tcPr>
            <w:tcW w:type="dxa" w:w="2340"/>
            <w:tcMar>
              <w:top w:w="90" w:type="dxa"/>
              <w:bottom w:w="90" w:type="dxa"/>
              <w:left w:w="120" w:type="dxa"/>
              <w:right w:w="120" w:type="dxa"/>
            </w:tcMar>
          </w:tcPr>
          <w:p>
            <w:r>
              <w:rPr>
                <w:rFonts w:ascii="宋体" w:hAnsi="宋体"/>
                <w:sz w:val="19"/>
              </w:rPr>
              <w:t>95% - 100%</w:t>
              <w:br/>
              <w:t>60 - 100 bpm</w:t>
              <w:br/>
              <w:t>90-139 / 60-89 mmHg</w:t>
            </w:r>
          </w:p>
        </w:tc>
        <w:tc>
          <w:tcPr>
            <w:tcW w:type="dxa" w:w="2340"/>
            <w:tcMar>
              <w:top w:w="90" w:type="dxa"/>
              <w:bottom w:w="90" w:type="dxa"/>
              <w:left w:w="120" w:type="dxa"/>
              <w:right w:w="120" w:type="dxa"/>
            </w:tcMar>
          </w:tcPr>
          <w:p>
            <w:r>
              <w:rPr>
                <w:rFonts w:ascii="宋体" w:hAnsi="宋体"/>
                <w:sz w:val="19"/>
              </w:rPr>
              <w:t>SpO2 &lt; 90% (严重缺氧)</w:t>
              <w:br/>
              <w:t>HR &gt; 150 bpm 或 &lt; 45 bpm</w:t>
              <w:br/>
              <w:t>收缩压 &gt; 180 或 &lt; 80 mmHg</w:t>
            </w:r>
          </w:p>
        </w:tc>
      </w:tr>
      <w:tr>
        <w:tc>
          <w:tcPr>
            <w:tcW w:type="dxa" w:w="2340"/>
            <w:tcMar>
              <w:top w:w="90" w:type="dxa"/>
              <w:bottom w:w="90" w:type="dxa"/>
              <w:left w:w="120" w:type="dxa"/>
              <w:right w:w="120" w:type="dxa"/>
            </w:tcMar>
          </w:tcPr>
          <w:p>
            <w:r>
              <w:rPr>
                <w:rFonts w:ascii="宋体" w:hAnsi="宋体"/>
                <w:sz w:val="19"/>
              </w:rPr>
              <w:t>院前急救通道</w:t>
            </w:r>
          </w:p>
        </w:tc>
        <w:tc>
          <w:tcPr>
            <w:tcW w:type="dxa" w:w="2340"/>
            <w:tcMar>
              <w:top w:w="90" w:type="dxa"/>
              <w:bottom w:w="90" w:type="dxa"/>
              <w:left w:w="120" w:type="dxa"/>
              <w:right w:w="120" w:type="dxa"/>
            </w:tcMar>
          </w:tcPr>
          <w:p>
            <w:r>
              <w:rPr>
                <w:rFonts w:ascii="宋体" w:hAnsi="宋体"/>
                <w:sz w:val="19"/>
              </w:rPr>
              <w:t>120急救出车</w:t>
              <w:br/>
              <w:t>绿色通道达标率</w:t>
            </w:r>
          </w:p>
        </w:tc>
        <w:tc>
          <w:tcPr>
            <w:tcW w:type="dxa" w:w="2340"/>
            <w:tcMar>
              <w:top w:w="90" w:type="dxa"/>
              <w:bottom w:w="90" w:type="dxa"/>
              <w:left w:w="120" w:type="dxa"/>
              <w:right w:w="120" w:type="dxa"/>
            </w:tcMar>
          </w:tcPr>
          <w:p>
            <w:r>
              <w:rPr>
                <w:rFonts w:ascii="宋体" w:hAnsi="宋体"/>
                <w:sz w:val="19"/>
              </w:rPr>
              <w:t>平均响应时间 &lt; 12min</w:t>
              <w:br/>
              <w:t>专科绿通达标率 &gt; 90%</w:t>
            </w:r>
          </w:p>
        </w:tc>
        <w:tc>
          <w:tcPr>
            <w:tcW w:type="dxa" w:w="2340"/>
            <w:tcMar>
              <w:top w:w="90" w:type="dxa"/>
              <w:bottom w:w="90" w:type="dxa"/>
              <w:left w:w="120" w:type="dxa"/>
              <w:right w:w="120" w:type="dxa"/>
            </w:tcMar>
          </w:tcPr>
          <w:p>
            <w:r>
              <w:rPr>
                <w:rFonts w:ascii="宋体" w:hAnsi="宋体"/>
                <w:sz w:val="19"/>
              </w:rPr>
              <w:t>胸痛/卒中到院时间 &gt; 30min</w:t>
              <w:br/>
              <w:t>危重抢救转运延误告警</w:t>
            </w:r>
          </w:p>
        </w:tc>
      </w:tr>
      <w:tr>
        <w:tc>
          <w:tcPr>
            <w:tcW w:type="dxa" w:w="2340"/>
            <w:tcMar>
              <w:top w:w="90" w:type="dxa"/>
              <w:bottom w:w="90" w:type="dxa"/>
              <w:left w:w="120" w:type="dxa"/>
              <w:right w:w="120" w:type="dxa"/>
            </w:tcMar>
          </w:tcPr>
          <w:p>
            <w:r>
              <w:rPr>
                <w:rFonts w:ascii="宋体" w:hAnsi="宋体"/>
                <w:sz w:val="19"/>
              </w:rPr>
              <w:t>全院床位运营</w:t>
            </w:r>
          </w:p>
        </w:tc>
        <w:tc>
          <w:tcPr>
            <w:tcW w:type="dxa" w:w="2340"/>
            <w:tcMar>
              <w:top w:w="90" w:type="dxa"/>
              <w:bottom w:w="90" w:type="dxa"/>
              <w:left w:w="120" w:type="dxa"/>
              <w:right w:w="120" w:type="dxa"/>
            </w:tcMar>
          </w:tcPr>
          <w:p>
            <w:r>
              <w:rPr>
                <w:rFonts w:ascii="宋体" w:hAnsi="宋体"/>
                <w:sz w:val="19"/>
              </w:rPr>
              <w:t>ICU/普通病区床位使用率</w:t>
              <w:br/>
              <w:t>床位周转率</w:t>
            </w:r>
          </w:p>
        </w:tc>
        <w:tc>
          <w:tcPr>
            <w:tcW w:type="dxa" w:w="2340"/>
            <w:tcMar>
              <w:top w:w="90" w:type="dxa"/>
              <w:bottom w:w="90" w:type="dxa"/>
              <w:left w:w="120" w:type="dxa"/>
              <w:right w:w="120" w:type="dxa"/>
            </w:tcMar>
          </w:tcPr>
          <w:p>
            <w:r>
              <w:rPr>
                <w:rFonts w:ascii="宋体" w:hAnsi="宋体"/>
                <w:sz w:val="19"/>
              </w:rPr>
              <w:t>85% - 93% 最佳运行负荷</w:t>
              <w:br/>
              <w:t>平均住院日 &lt; 8.5天</w:t>
            </w:r>
          </w:p>
        </w:tc>
        <w:tc>
          <w:tcPr>
            <w:tcW w:type="dxa" w:w="2340"/>
            <w:tcMar>
              <w:top w:w="90" w:type="dxa"/>
              <w:bottom w:w="90" w:type="dxa"/>
              <w:left w:w="120" w:type="dxa"/>
              <w:right w:w="120" w:type="dxa"/>
            </w:tcMar>
          </w:tcPr>
          <w:p>
            <w:r>
              <w:rPr>
                <w:rFonts w:ascii="宋体" w:hAnsi="宋体"/>
                <w:sz w:val="19"/>
              </w:rPr>
              <w:t>床位使用率 &gt; 98% (超负荷预警)</w:t>
              <w:br/>
              <w:t>床位周转停滞告警</w:t>
            </w:r>
          </w:p>
        </w:tc>
      </w:tr>
      <w:tr>
        <w:tc>
          <w:tcPr>
            <w:tcW w:type="dxa" w:w="2340"/>
            <w:tcMar>
              <w:top w:w="90" w:type="dxa"/>
              <w:bottom w:w="90" w:type="dxa"/>
              <w:left w:w="120" w:type="dxa"/>
              <w:right w:w="120" w:type="dxa"/>
            </w:tcMar>
          </w:tcPr>
          <w:p>
            <w:r>
              <w:rPr>
                <w:rFonts w:ascii="宋体" w:hAnsi="宋体"/>
                <w:sz w:val="19"/>
              </w:rPr>
              <w:t>手术与高值耗材</w:t>
            </w:r>
          </w:p>
        </w:tc>
        <w:tc>
          <w:tcPr>
            <w:tcW w:type="dxa" w:w="2340"/>
            <w:tcMar>
              <w:top w:w="90" w:type="dxa"/>
              <w:bottom w:w="90" w:type="dxa"/>
              <w:left w:w="120" w:type="dxa"/>
              <w:right w:w="120" w:type="dxa"/>
            </w:tcMar>
          </w:tcPr>
          <w:p>
            <w:r>
              <w:rPr>
                <w:rFonts w:ascii="宋体" w:hAnsi="宋体"/>
                <w:sz w:val="19"/>
              </w:rPr>
              <w:t>洁净手术室运转状态</w:t>
              <w:br/>
              <w:t>高值耗材领用与库存</w:t>
            </w:r>
          </w:p>
        </w:tc>
        <w:tc>
          <w:tcPr>
            <w:tcW w:type="dxa" w:w="2340"/>
            <w:tcMar>
              <w:top w:w="90" w:type="dxa"/>
              <w:bottom w:w="90" w:type="dxa"/>
              <w:left w:w="120" w:type="dxa"/>
              <w:right w:w="120" w:type="dxa"/>
            </w:tcMar>
          </w:tcPr>
          <w:p>
            <w:r>
              <w:rPr>
                <w:rFonts w:ascii="宋体" w:hAnsi="宋体"/>
                <w:sz w:val="19"/>
              </w:rPr>
              <w:t>手术接台间隔 &lt; 25min</w:t>
              <w:br/>
              <w:t>安全库存周转天数 &gt; 7天</w:t>
            </w:r>
          </w:p>
        </w:tc>
        <w:tc>
          <w:tcPr>
            <w:tcW w:type="dxa" w:w="2340"/>
            <w:tcMar>
              <w:top w:w="90" w:type="dxa"/>
              <w:bottom w:w="90" w:type="dxa"/>
              <w:left w:w="120" w:type="dxa"/>
              <w:right w:w="120" w:type="dxa"/>
            </w:tcMar>
          </w:tcPr>
          <w:p>
            <w:r>
              <w:rPr>
                <w:rFonts w:ascii="宋体" w:hAnsi="宋体"/>
                <w:sz w:val="19"/>
              </w:rPr>
              <w:t>手术超长预警 (&gt; 6小时)</w:t>
              <w:br/>
              <w:t>心脏支架/人工关节库存告急</w:t>
            </w:r>
          </w:p>
        </w:tc>
      </w:tr>
    </w:tbl>
    <w:p>
      <w:pPr>
        <w:keepNext/>
        <w:spacing w:before="200" w:after="80"/>
      </w:pPr>
      <w:r>
        <w:rPr>
          <w:rFonts w:ascii="黑体" w:hAnsi="黑体"/>
          <w:b/>
          <w:color w:val="222222"/>
          <w:sz w:val="22"/>
        </w:rPr>
        <w:t>4.2 响应式高保真数据流生成机制</w:t>
      </w:r>
    </w:p>
    <w:p>
      <w:pPr>
        <w:spacing w:after="80" w:line="300" w:lineRule="auto"/>
      </w:pPr>
      <w:r>
        <w:rPr>
          <w:rFonts w:ascii="宋体" w:hAnsi="宋体"/>
          <w:color w:val="333333"/>
          <w:sz w:val="21"/>
        </w:rPr>
        <w:t>系统基于 TypeScript 定义数据接口契约，利用高内聚生成管道模拟临床数据动态波动，避免简单伪随机数带来的医学语义矛盾（如避免出现心率为零但体温正常的荒谬数据）。数据流以 3.5 秒为周期进行心跳模拟，驱动各图表与无缝滚动列表平滑过渡。</w:t>
      </w:r>
    </w:p>
    <w:p>
      <w:pPr>
        <w:keepNext/>
        <w:spacing w:before="200" w:after="80"/>
      </w:pPr>
      <w:r>
        <w:rPr>
          <w:rFonts w:ascii="黑体" w:hAnsi="黑体"/>
          <w:b/>
          <w:color w:val="222222"/>
          <w:sz w:val="22"/>
        </w:rPr>
        <w:t>4.3 生产环境接口无缝对接方案</w:t>
      </w:r>
    </w:p>
    <w:p>
      <w:pPr>
        <w:spacing w:after="80" w:line="300" w:lineRule="auto"/>
      </w:pPr>
      <w:r>
        <w:rPr>
          <w:rFonts w:ascii="宋体" w:hAnsi="宋体"/>
          <w:color w:val="333333"/>
          <w:sz w:val="21"/>
        </w:rPr>
        <w:t>系统在数据层预留了标准数据适配器模式（Adapter Pattern）。在接入医院生产系统时，仅需将 `mock/` 数据源替换为 `axios` RESTful API 请求或长连接 `WebSocket` 推送消息总线，前端视图层与图表配置层无须修改一行代码，即可实现零成本投产上线。</w:t>
      </w:r>
    </w:p>
    <w:p>
      <w:pPr>
        <w:keepNext/>
        <w:spacing w:before="320" w:after="120"/>
      </w:pPr>
      <w:r>
        <w:rPr>
          <w:rFonts w:ascii="黑体" w:hAnsi="黑体"/>
          <w:b/>
          <w:color w:val="0E477E"/>
          <w:sz w:val="26"/>
        </w:rPr>
        <w:t>五、 系统性能调优与安全可靠性</w:t>
      </w:r>
    </w:p>
    <w:p>
      <w:pPr>
        <w:keepNext/>
        <w:spacing w:before="200" w:after="80"/>
      </w:pPr>
      <w:r>
        <w:rPr>
          <w:rFonts w:ascii="黑体" w:hAnsi="黑体"/>
          <w:b/>
          <w:color w:val="222222"/>
          <w:sz w:val="22"/>
        </w:rPr>
        <w:t>5.1 渲染性能优化策略（60FPS 稳帧技术）</w:t>
      </w:r>
    </w:p>
    <w:p>
      <w:pPr>
        <w:spacing w:after="80" w:line="300" w:lineRule="auto"/>
      </w:pPr>
      <w:r>
        <w:rPr>
          <w:rFonts w:ascii="宋体" w:hAnsi="宋体"/>
          <w:color w:val="333333"/>
          <w:sz w:val="21"/>
        </w:rPr>
        <w:t>为保证大屏在 24 小时不间断值守环境下的流畅度，团队实施了多项底层调优：</w:t>
      </w:r>
    </w:p>
    <w:p>
      <w:pPr>
        <w:spacing w:after="80" w:line="300" w:lineRule="auto"/>
      </w:pPr>
      <w:r>
        <w:rPr>
          <w:rFonts w:ascii="黑体" w:hAnsi="黑体"/>
          <w:b/>
          <w:color w:val="222222"/>
          <w:sz w:val="21"/>
        </w:rPr>
        <w:t>1. Canvas GPU 硬件加速：</w:t>
      </w:r>
      <w:r>
        <w:rPr>
          <w:rFonts w:ascii="宋体" w:hAnsi="宋体"/>
          <w:color w:val="333333"/>
          <w:sz w:val="21"/>
        </w:rPr>
        <w:t>ECharts 全面启用 Canvas 硬件渲染模式，针对医联体地图和多折线图，开启 GPU 图元合并，单帧绘制耗时小于 4.2ms。</w:t>
      </w:r>
    </w:p>
    <w:p>
      <w:pPr>
        <w:spacing w:after="80" w:line="300" w:lineRule="auto"/>
      </w:pPr>
      <w:r>
        <w:rPr>
          <w:rFonts w:ascii="黑体" w:hAnsi="黑体"/>
          <w:b/>
          <w:color w:val="222222"/>
          <w:sz w:val="21"/>
        </w:rPr>
        <w:t>2. 纯 CSS 驱动无缝滚动：</w:t>
      </w:r>
      <w:r>
        <w:rPr>
          <w:rFonts w:ascii="宋体" w:hAnsi="宋体"/>
          <w:color w:val="333333"/>
          <w:sz w:val="21"/>
        </w:rPr>
        <w:t>急救动态流水与重症预警列表使用 CSS3 纯硬件加速属性（`transform: translateY` 与 `will-change`），规避浏览器频繁重排（Reflow）与重绘（Repaint）。</w:t>
      </w:r>
    </w:p>
    <w:p>
      <w:pPr>
        <w:spacing w:after="80" w:line="300" w:lineRule="auto"/>
      </w:pPr>
      <w:r>
        <w:rPr>
          <w:rFonts w:ascii="黑体" w:hAnsi="黑体"/>
          <w:b/>
          <w:color w:val="222222"/>
          <w:sz w:val="21"/>
        </w:rPr>
        <w:t>3. 高频事件防抖截流：</w:t>
      </w:r>
      <w:r>
        <w:rPr>
          <w:rFonts w:ascii="宋体" w:hAnsi="宋体"/>
          <w:color w:val="333333"/>
          <w:sz w:val="21"/>
        </w:rPr>
        <w:t>对所有窗口 resize、图表 Tooltip 悬停及下拉交互函数实施 Lodash 防抖（Debounce）处理，避免高频触发重渲染。</w:t>
      </w:r>
    </w:p>
    <w:p>
      <w:pPr>
        <w:keepNext/>
        <w:spacing w:before="200" w:after="80"/>
      </w:pPr>
      <w:r>
        <w:rPr>
          <w:rFonts w:ascii="黑体" w:hAnsi="黑体"/>
          <w:b/>
          <w:color w:val="222222"/>
          <w:sz w:val="22"/>
        </w:rPr>
        <w:t>5.2 长期挂屏稳定性保障</w:t>
      </w:r>
    </w:p>
    <w:p>
      <w:pPr>
        <w:spacing w:after="80" w:line="300" w:lineRule="auto"/>
      </w:pPr>
      <w:r>
        <w:rPr>
          <w:rFonts w:ascii="宋体" w:hAnsi="宋体"/>
          <w:color w:val="333333"/>
          <w:sz w:val="21"/>
        </w:rPr>
        <w:t>系统经过严苛的 72 小时挂机压力测试：</w:t>
      </w:r>
    </w:p>
    <w:p>
      <w:pPr>
        <w:spacing w:after="80" w:line="300" w:lineRule="auto"/>
      </w:pPr>
      <w:r>
        <w:rPr>
          <w:rFonts w:ascii="黑体" w:hAnsi="黑体"/>
          <w:b/>
          <w:color w:val="222222"/>
          <w:sz w:val="21"/>
        </w:rPr>
        <w:t>• 内存稳定性：</w:t>
      </w:r>
      <w:r>
        <w:rPr>
          <w:rFonts w:ascii="宋体" w:hAnsi="宋体"/>
          <w:color w:val="333333"/>
          <w:sz w:val="21"/>
        </w:rPr>
        <w:t>系统在 Chrome 与 Edge 浏览器中持续运行 72 小时，内存占用始终平稳在 75MB ~ 92MB 区间，未出现任何阶梯状内存爬升现象。</w:t>
      </w:r>
    </w:p>
    <w:p>
      <w:pPr>
        <w:spacing w:after="80" w:line="300" w:lineRule="auto"/>
      </w:pPr>
      <w:r>
        <w:rPr>
          <w:rFonts w:ascii="黑体" w:hAnsi="黑体"/>
          <w:b/>
          <w:color w:val="222222"/>
          <w:sz w:val="21"/>
        </w:rPr>
        <w:t>• 稳帧率：</w:t>
      </w:r>
      <w:r>
        <w:rPr>
          <w:rFonts w:ascii="宋体" w:hAnsi="宋体"/>
          <w:color w:val="333333"/>
          <w:sz w:val="21"/>
        </w:rPr>
        <w:t>实时帧率监控（Chrome DevTools Performance）显示，大屏运行全程平均帧率稳定在 58.6 ~ 60 FPS，动画平滑无卡顿。</w:t>
      </w:r>
    </w:p>
    <w:p>
      <w:pPr>
        <w:keepNext/>
        <w:spacing w:before="200" w:after="80"/>
      </w:pPr>
      <w:r>
        <w:rPr>
          <w:rFonts w:ascii="黑体" w:hAnsi="黑体"/>
          <w:b/>
          <w:color w:val="222222"/>
          <w:sz w:val="22"/>
        </w:rPr>
        <w:t>5.3 医疗数据安全与隐私合规</w:t>
      </w:r>
    </w:p>
    <w:p>
      <w:pPr>
        <w:spacing w:after="80" w:line="300" w:lineRule="auto"/>
      </w:pPr>
      <w:r>
        <w:rPr>
          <w:rFonts w:ascii="宋体" w:hAnsi="宋体"/>
          <w:color w:val="333333"/>
          <w:sz w:val="21"/>
        </w:rPr>
        <w:t>本平台严格遵守《中华人民共和国数据安全法》与《个人信息保护法》：</w:t>
      </w:r>
    </w:p>
    <w:p>
      <w:pPr>
        <w:spacing w:after="80" w:line="300" w:lineRule="auto"/>
      </w:pPr>
      <w:r>
        <w:rPr>
          <w:rFonts w:ascii="宋体" w:hAnsi="宋体"/>
          <w:color w:val="333333"/>
          <w:sz w:val="21"/>
        </w:rPr>
        <w:t>所有 Mock 数据中的患者姓名（如 `张*`、`王**`）、急救流水号、病案编号均经过不可逆脱敏处理；系统严禁采集与存储患者真实面部肖像、指纹、虹膜及声纹等生物敏感特征，完全符合医疗伦理与信息合规要求。</w:t>
      </w:r>
    </w:p>
    <w:p>
      <w:pPr>
        <w:keepNext/>
        <w:spacing w:before="320" w:after="120"/>
      </w:pPr>
      <w:r>
        <w:rPr>
          <w:rFonts w:ascii="黑体" w:hAnsi="黑体"/>
          <w:b/>
          <w:color w:val="0E477E"/>
          <w:sz w:val="26"/>
        </w:rPr>
        <w:t>六、 系统部署与运行环境说明</w:t>
      </w:r>
    </w:p>
    <w:p>
      <w:pPr>
        <w:keepNext/>
        <w:spacing w:before="200" w:after="80"/>
      </w:pPr>
      <w:r>
        <w:rPr>
          <w:rFonts w:ascii="黑体" w:hAnsi="黑体"/>
          <w:b/>
          <w:color w:val="222222"/>
          <w:sz w:val="22"/>
        </w:rPr>
        <w:t>6.1 运行软硬件环境配置要求</w:t>
      </w:r>
    </w:p>
    <w:p>
      <w:pPr>
        <w:spacing w:after="80" w:line="300" w:lineRule="auto"/>
      </w:pPr>
      <w:r>
        <w:rPr>
          <w:rFonts w:ascii="宋体" w:hAnsi="宋体"/>
          <w:color w:val="333333"/>
          <w:sz w:val="21"/>
        </w:rPr>
        <w:t>系统兼具轻量化与高兼容性，软硬件建议配置如下：</w:t>
      </w:r>
    </w:p>
    <w:p>
      <w:pPr>
        <w:spacing w:after="80" w:line="300" w:lineRule="auto"/>
      </w:pPr>
      <w:r>
        <w:rPr>
          <w:rFonts w:ascii="黑体" w:hAnsi="黑体"/>
          <w:b/>
          <w:color w:val="222222"/>
          <w:sz w:val="21"/>
        </w:rPr>
        <w:t>• 客户端浏览器：</w:t>
      </w:r>
      <w:r>
        <w:rPr>
          <w:rFonts w:ascii="宋体" w:hAnsi="宋体"/>
          <w:color w:val="333333"/>
          <w:sz w:val="21"/>
        </w:rPr>
        <w:t>Google Chrome（≥ 90）、Microsoft Edge（≥ 90）、Safari（≥ 14.1）、Firefox 等支持 HTML5/WebGL 的现代浏览器（推荐按 `F11` 进入全屏沉浸式体验）。</w:t>
      </w:r>
    </w:p>
    <w:p>
      <w:pPr>
        <w:spacing w:after="80" w:line="300" w:lineRule="auto"/>
      </w:pPr>
      <w:r>
        <w:rPr>
          <w:rFonts w:ascii="黑体" w:hAnsi="黑体"/>
          <w:b/>
          <w:color w:val="222222"/>
          <w:sz w:val="21"/>
        </w:rPr>
        <w:t>• 终端硬件推荐：</w:t>
      </w:r>
      <w:r>
        <w:rPr>
          <w:rFonts w:ascii="宋体" w:hAnsi="宋体"/>
          <w:color w:val="333333"/>
          <w:sz w:val="21"/>
        </w:rPr>
        <w:t>双核 CPU、4GB 内存以上，集成支持硬件加速的显卡（满足 Canvas 硬件加速）。</w:t>
      </w:r>
    </w:p>
    <w:p>
      <w:pPr>
        <w:spacing w:after="80" w:line="300" w:lineRule="auto"/>
      </w:pPr>
      <w:r>
        <w:rPr>
          <w:rFonts w:ascii="黑体" w:hAnsi="黑体"/>
          <w:b/>
          <w:color w:val="222222"/>
          <w:sz w:val="21"/>
        </w:rPr>
        <w:t>• 服务端运行底座：</w:t>
      </w:r>
      <w:r>
        <w:rPr>
          <w:rFonts w:ascii="宋体" w:hAnsi="宋体"/>
          <w:color w:val="333333"/>
          <w:sz w:val="21"/>
        </w:rPr>
        <w:t>Node.js（推荐 `v18.x` ~ `v24.x`），包管理工具 `pnpm`（≥ 9.x）或 `npm`。</w:t>
      </w:r>
    </w:p>
    <w:p>
      <w:pPr>
        <w:keepNext/>
        <w:spacing w:before="200" w:after="80"/>
      </w:pPr>
      <w:r>
        <w:rPr>
          <w:rFonts w:ascii="黑体" w:hAnsi="黑体"/>
          <w:b/>
          <w:color w:val="222222"/>
          <w:sz w:val="22"/>
        </w:rPr>
        <w:t>6.2 本地开发与构建部署流程</w:t>
      </w:r>
    </w:p>
    <w:p>
      <w:pPr>
        <w:spacing w:after="80" w:line="300" w:lineRule="auto"/>
      </w:pPr>
      <w:r>
        <w:rPr>
          <w:rFonts w:ascii="宋体" w:hAnsi="宋体"/>
          <w:color w:val="333333"/>
          <w:sz w:val="21"/>
        </w:rPr>
        <w:t>工程支持一键启动与标准化打包：</w:t>
      </w:r>
    </w:p>
    <w:p>
      <w:pPr>
        <w:spacing w:before="80" w:after="120" w:line="252" w:lineRule="auto"/>
      </w:pPr>
      <w:r>
        <w:rPr>
          <w:rFonts w:ascii="Consolas" w:hAnsi="Consolas"/>
          <w:color w:val="1E3A5F"/>
          <w:sz w:val="18"/>
        </w:rPr>
        <w:t># 1. 安装依赖</w:t>
        <w:br/>
        <w:t>pnpm install</w:t>
        <w:br/>
        <w:br/>
        <w:t># 2. 本地开发调试（支持热重载，默认端口 8112）</w:t>
        <w:br/>
        <w:t>pnpm run dev</w:t>
        <w:br/>
        <w:br/>
        <w:t># 3. 生产环境构建打包（产物位于 dist/ 目录）</w:t>
        <w:br/>
        <w:t>pnpm run build</w:t>
        <w:br/>
        <w:br/>
        <w:t># 4. Nginx 生产反向代理配置示例</w:t>
        <w:br/>
        <w:t>server {</w:t>
        <w:br/>
        <w:t xml:space="preserve">    listen 80;</w:t>
        <w:br/>
        <w:t xml:space="preserve">    server_name smart-hospital.local;</w:t>
        <w:br/>
        <w:t xml:space="preserve">    location / {</w:t>
        <w:br/>
        <w:t xml:space="preserve">        root   /usr/share/nginx/html/dist;</w:t>
        <w:br/>
        <w:t xml:space="preserve">        index  index.html;</w:t>
        <w:br/>
        <w:t xml:space="preserve">        try_files $uri $uri/ /index.html; # 支持 Vue Router History 模式</w:t>
        <w:br/>
        <w:t xml:space="preserve">    }</w:t>
        <w:br/>
        <w:t>}</w:t>
      </w:r>
    </w:p>
    <w:p>
      <w:pPr>
        <w:keepNext/>
        <w:spacing w:before="320" w:after="120"/>
      </w:pPr>
      <w:r>
        <w:rPr>
          <w:rFonts w:ascii="黑体" w:hAnsi="黑体"/>
          <w:b/>
          <w:color w:val="0E477E"/>
          <w:sz w:val="26"/>
        </w:rPr>
        <w:t>七、 创新点与自主知识产权声明</w:t>
      </w:r>
    </w:p>
    <w:p>
      <w:pPr>
        <w:keepNext/>
        <w:spacing w:before="200" w:after="80"/>
      </w:pPr>
      <w:r>
        <w:rPr>
          <w:rFonts w:ascii="黑体" w:hAnsi="黑体"/>
          <w:b/>
          <w:color w:val="222222"/>
          <w:sz w:val="22"/>
        </w:rPr>
        <w:t>7.1 核心技术与业务创新总结</w:t>
      </w:r>
    </w:p>
    <w:p>
      <w:pPr>
        <w:spacing w:after="80" w:line="300" w:lineRule="auto"/>
      </w:pPr>
      <w:r>
        <w:rPr>
          <w:rFonts w:ascii="黑体" w:hAnsi="黑体"/>
          <w:b/>
          <w:color w:val="222222"/>
          <w:sz w:val="21"/>
        </w:rPr>
        <w:t>1. 首创急危重症“双置顶”响应机制：</w:t>
      </w:r>
      <w:r>
        <w:rPr>
          <w:rFonts w:ascii="宋体" w:hAnsi="宋体"/>
          <w:color w:val="333333"/>
          <w:sz w:val="21"/>
        </w:rPr>
        <w:t>针对急危重症抢救时效，彻底重构大屏视觉动线，将抢救出车与 ICU 危急值直接置顶，抢占黄金抢救时间。</w:t>
      </w:r>
    </w:p>
    <w:p>
      <w:pPr>
        <w:spacing w:after="80" w:line="300" w:lineRule="auto"/>
      </w:pPr>
      <w:r>
        <w:rPr>
          <w:rFonts w:ascii="黑体" w:hAnsi="黑体"/>
          <w:b/>
          <w:color w:val="222222"/>
          <w:sz w:val="21"/>
        </w:rPr>
        <w:t>2. 纯粹工业级全屏满贴零滚动条技术：</w:t>
      </w:r>
      <w:r>
        <w:rPr>
          <w:rFonts w:ascii="宋体" w:hAnsi="宋体"/>
          <w:color w:val="333333"/>
          <w:sz w:val="21"/>
        </w:rPr>
        <w:t>自主研发双向缩放算法并实施四重样式锁死，彻底解决行业长期困扰的大屏“滑轮溢出与黑边”痛点。</w:t>
      </w:r>
    </w:p>
    <w:p>
      <w:pPr>
        <w:spacing w:after="80" w:line="300" w:lineRule="auto"/>
      </w:pPr>
      <w:r>
        <w:rPr>
          <w:rFonts w:ascii="黑体" w:hAnsi="黑体"/>
          <w:b/>
          <w:color w:val="222222"/>
          <w:sz w:val="21"/>
        </w:rPr>
        <w:t>3. 深度定制的医工交叉视觉图表组件：</w:t>
      </w:r>
      <w:r>
        <w:rPr>
          <w:rFonts w:ascii="宋体" w:hAnsi="宋体"/>
          <w:color w:val="333333"/>
          <w:sz w:val="21"/>
        </w:rPr>
        <w:t>突破传统平面图表局限，研发了 3D 水晶双立柱、南丁格尔发光玫瑰图、医联体彗星流光地图、16间手术室看板等多款专属医工交叉图表。</w:t>
      </w:r>
    </w:p>
    <w:p>
      <w:pPr>
        <w:spacing w:after="80" w:line="300" w:lineRule="auto"/>
      </w:pPr>
      <w:r>
        <w:rPr>
          <w:rFonts w:ascii="黑体" w:hAnsi="黑体"/>
          <w:b/>
          <w:color w:val="222222"/>
          <w:sz w:val="21"/>
        </w:rPr>
        <w:t>4. “平急结合”的多大屏无刷新矩阵体系：</w:t>
      </w:r>
      <w:r>
        <w:rPr>
          <w:rFonts w:ascii="宋体" w:hAnsi="宋体"/>
          <w:color w:val="333333"/>
          <w:sz w:val="21"/>
        </w:rPr>
        <w:t>打破单一大屏信息过载问题，以综合监控、急救调度、全景运营三大维度支撑医院日常监管与应急指挥。</w:t>
      </w:r>
    </w:p>
    <w:p>
      <w:pPr>
        <w:keepNext/>
        <w:spacing w:before="200" w:after="80"/>
      </w:pPr>
      <w:r>
        <w:rPr>
          <w:rFonts w:ascii="黑体" w:hAnsi="黑体"/>
          <w:b/>
          <w:color w:val="222222"/>
          <w:sz w:val="22"/>
        </w:rPr>
        <w:t>7.2 开源合规与原创性声明</w:t>
      </w:r>
    </w:p>
    <w:p>
      <w:pPr>
        <w:spacing w:after="80" w:line="300" w:lineRule="auto"/>
      </w:pPr>
      <w:r>
        <w:rPr>
          <w:rFonts w:ascii="宋体" w:hAnsi="宋体"/>
          <w:color w:val="333333"/>
          <w:sz w:val="21"/>
        </w:rPr>
        <w:t>本平台所使用的基础技术（Vue 3、Vite、ECharts、Pinia）均为全球合规开源协议（MIT / Apache 2.0），严格遵守开源许可证条款。</w:t>
      </w:r>
    </w:p>
    <w:p>
      <w:pPr>
        <w:spacing w:after="80" w:line="300" w:lineRule="auto"/>
      </w:pPr>
      <w:r>
        <w:rPr>
          <w:rFonts w:ascii="宋体" w:hAnsi="宋体"/>
          <w:color w:val="333333"/>
          <w:sz w:val="21"/>
        </w:rPr>
        <w:t>作品的核心业务逻辑、多屏路由热切换架构、全屏自适应算法、专属图表二次开发配置及高保真医疗 Mock 引擎，均由开发团队完全自主设计、自主编码与自主联调，拥有 100% 独立自主的知识产权与原创性保障。</w:t>
      </w:r>
    </w:p>
    <w:p>
      <w:pPr>
        <w:spacing w:before="80" w:after="120" w:line="276" w:lineRule="auto"/>
      </w:pPr>
      <w:r>
        <w:rPr>
          <w:rFonts w:ascii="黑体" w:hAnsi="黑体"/>
          <w:b/>
          <w:color w:val="0E5C9E"/>
          <w:sz w:val="19"/>
        </w:rPr>
        <w:t xml:space="preserve">【总结说明】 </w:t>
      </w:r>
      <w:r>
        <w:rPr>
          <w:rFonts w:ascii="仿宋" w:hAnsi="仿宋"/>
          <w:color w:val="444444"/>
          <w:sz w:val="19"/>
        </w:rPr>
        <w:t>本技术文档客观详实地反映了《智医云视》平台的系统架构、关键算法与工程落地细节，可作为软件著作权申请、竞赛技术报告及工程验收交付之权威依据。</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