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b/>
          <w:color w:val="2563EB"/>
          <w:sz w:val="18"/>
        </w:rPr>
        <w:t>OPERATIONS DECISION LAYER</w:t>
      </w:r>
    </w:p>
    <w:p>
      <w:pPr>
        <w:spacing w:before="40" w:after="40"/>
      </w:pPr>
      <w:r>
        <w:rPr>
          <w:rFonts w:ascii="Malgun Gothic" w:hAnsi="Malgun Gothic"/>
          <w:b/>
          <w:color w:val="0F172A"/>
          <w:sz w:val="40"/>
        </w:rPr>
        <w:t>CERA : Container Exception Recovery Agent</w:t>
      </w:r>
    </w:p>
    <w:p>
      <w:pPr>
        <w:spacing w:after="240"/>
      </w:pPr>
      <w:r>
        <w:rPr>
          <w:rFonts w:ascii="Malgun Gothic" w:hAnsi="Malgun Gothic"/>
          <w:color w:val="475569"/>
          <w:sz w:val="24"/>
        </w:rPr>
        <w:t>수입 컨테이너 운영 예외 복구 지능화 및 총비용 최소화 의사결정 플랫폼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before="80" w:after="40"/>
            </w:pPr>
            <w:r>
              <w:rPr>
                <w:rFonts w:ascii="Malgun Gothic" w:hAnsi="Malgun Gothic"/>
                <w:b/>
                <w:color w:val="64748B"/>
                <w:sz w:val="17"/>
              </w:rPr>
              <w:t>방치 시 D&amp;D 노출액</w:t>
            </w:r>
          </w:p>
        </w:tc>
        <w:tc>
          <w:tcPr>
            <w:tcW w:type="dxa" w:w="3360"/>
          </w:tcPr>
          <w:p>
            <w:pPr>
              <w:spacing w:before="80" w:after="40"/>
            </w:pPr>
            <w:r>
              <w:rPr>
                <w:rFonts w:ascii="Malgun Gothic" w:hAnsi="Malgun Gothic"/>
                <w:b/>
                <w:color w:val="64748B"/>
                <w:sz w:val="17"/>
              </w:rPr>
              <w:t>CERA 복구 계획 (Plan v1)</w:t>
            </w:r>
          </w:p>
        </w:tc>
        <w:tc>
          <w:tcPr>
            <w:tcW w:type="dxa" w:w="3360"/>
          </w:tcPr>
          <w:p>
            <w:pPr>
              <w:spacing w:before="80" w:after="40"/>
            </w:pPr>
            <w:r>
              <w:rPr>
                <w:rFonts w:ascii="Malgun Gothic" w:hAnsi="Malgun Gothic"/>
                <w:b/>
                <w:color w:val="64748B"/>
                <w:sz w:val="17"/>
              </w:rPr>
              <w:t>순수 손실 방어액 (Saving)</w:t>
            </w:r>
          </w:p>
        </w:tc>
      </w:tr>
      <w:tr>
        <w:tc>
          <w:tcPr>
            <w:tcW w:type="dxa" w:w="3360"/>
          </w:tcPr>
          <w:p>
            <w:pPr>
              <w:spacing w:before="40" w:after="120"/>
            </w:pPr>
            <w:r>
              <w:rPr>
                <w:rFonts w:ascii="Malgun Gothic" w:hAnsi="Malgun Gothic"/>
                <w:b/>
                <w:color w:val="DC2626"/>
                <w:sz w:val="32"/>
              </w:rPr>
              <w:t>4,650,000원</w:t>
            </w:r>
          </w:p>
        </w:tc>
        <w:tc>
          <w:tcPr>
            <w:tcW w:type="dxa" w:w="3360"/>
          </w:tcPr>
          <w:p>
            <w:pPr>
              <w:spacing w:before="40" w:after="120"/>
            </w:pPr>
            <w:r>
              <w:rPr>
                <w:rFonts w:ascii="Malgun Gothic" w:hAnsi="Malgun Gothic"/>
                <w:b/>
                <w:color w:val="0F172A"/>
                <w:sz w:val="32"/>
              </w:rPr>
              <w:t>3,835,000원</w:t>
            </w:r>
          </w:p>
        </w:tc>
        <w:tc>
          <w:tcPr>
            <w:tcW w:type="dxa" w:w="3360"/>
          </w:tcPr>
          <w:p>
            <w:pPr>
              <w:spacing w:before="40" w:after="120"/>
            </w:pPr>
            <w:r>
              <w:rPr>
                <w:rFonts w:ascii="Malgun Gothic" w:hAnsi="Malgun Gothic"/>
                <w:b/>
                <w:color w:val="059669"/>
                <w:sz w:val="32"/>
              </w:rPr>
              <w:t>+815,000원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Malgun Gothic" w:hAnsi="Malgun Gothic"/>
          <w:b/>
          <w:color w:val="1E3A8A"/>
          <w:sz w:val="24"/>
        </w:rPr>
        <w:t>■ 기존 방식 vs CERA 혁신 패러다임 비교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기존 단순 현황 조회 (As-Is)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CERA 의사결정 플랫폼 (To-Be)</w:t>
            </w:r>
          </w:p>
        </w:tc>
      </w:tr>
      <w:tr>
        <w:tc>
          <w:tcPr>
            <w:tcW w:type="dxa" w:w="5040"/>
          </w:tcPr>
          <w:p>
            <w:r>
              <w:t>• 단순 위치 추적: '어디에 있는가?'만 보여줌</w:t>
            </w:r>
          </w:p>
        </w:tc>
        <w:tc>
          <w:tcPr>
            <w:tcW w:type="dxa" w:w="5040"/>
          </w:tcPr>
          <w:p>
            <w:r>
              <w:t>• 행동 의사결정: '무엇을 해야 손실이 최소인가?'</w:t>
            </w:r>
          </w:p>
        </w:tc>
      </w:tr>
      <w:tr>
        <w:tc>
          <w:tcPr>
            <w:tcW w:type="dxa" w:w="5040"/>
          </w:tcPr>
          <w:p>
            <w:r>
              <w:t>• 공공 API 지연(3~6h)으로 사후 수습 반복</w:t>
            </w:r>
          </w:p>
        </w:tc>
        <w:tc>
          <w:tcPr>
            <w:tcW w:type="dxa" w:w="5040"/>
          </w:tcPr>
          <w:p>
            <w:r>
              <w:t>• 신뢰도 기반 조율: 원천 사실과 상태의 엄격한 분리</w:t>
            </w:r>
          </w:p>
        </w:tc>
      </w:tr>
      <w:tr>
        <w:tc>
          <w:tcPr>
            <w:tcW w:type="dxa" w:w="5040"/>
          </w:tcPr>
          <w:p>
            <w:r>
              <w:t>• 직관에 의존한 건별 땜질식 배차</w:t>
            </w:r>
          </w:p>
        </w:tc>
        <w:tc>
          <w:tcPr>
            <w:tcW w:type="dxa" w:w="5040"/>
          </w:tcPr>
          <w:p>
            <w:r>
              <w:t>• 수학적 최적화: 수십 대의 제약을 연립한 최적해 산출</w:t>
            </w:r>
          </w:p>
        </w:tc>
      </w:tr>
      <w:tr>
        <w:tc>
          <w:tcPr>
            <w:tcW w:type="dxa" w:w="5040"/>
          </w:tcPr>
          <w:p>
            <w:r>
              <w:t>• 수기 전화·메일 취합으로 3~4시간 소요</w:t>
            </w:r>
          </w:p>
        </w:tc>
        <w:tc>
          <w:tcPr>
            <w:tcW w:type="dxa" w:w="5040"/>
          </w:tcPr>
          <w:p>
            <w:r>
              <w:t>• 원클릭 초안 → 승인 → 회신 파싱 및 재최적화 (10분)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Malgun Gothic" w:hAnsi="Malgun Gothic"/>
          <w:b/>
          <w:color w:val="1E3A8A"/>
          <w:sz w:val="24"/>
        </w:rPr>
        <w:t>■ 시스템 아키텍처 &amp; 신뢰성 설계 (결정론 vs AI 책임 경계)</w:t>
      </w:r>
    </w:p>
    <w:p>
      <w:pPr>
        <w:spacing w:before="40" w:after="60"/>
      </w:pPr>
      <w:r>
        <w:rPr>
          <w:b/>
        </w:rPr>
        <w:t>1. 데이터 조율 엔진 (Reconciliation Core)</w:t>
        <w:br/>
      </w:r>
      <w:r>
        <w:rPr>
          <w:color w:val="475569"/>
        </w:rPr>
        <w:t>공공 API, 현장 보고, 메일 등 출처별 신뢰도 가중치를 부여해 단일 운영 정본(Canonical State) 유지.</w:t>
      </w:r>
    </w:p>
    <w:p>
      <w:pPr>
        <w:spacing w:before="40" w:after="60"/>
      </w:pPr>
      <w:r>
        <w:rPr>
          <w:b/>
        </w:rPr>
        <w:t>2. 100% 결정론 비용 엔진 (Tariff &amp; Cost Engine)</w:t>
        <w:br/>
      </w:r>
      <w:r>
        <w:rPr>
          <w:color w:val="475569"/>
        </w:rPr>
        <w:t>선사별 Free Time 및 D&amp;D 요율 계산은 LLM을 배제하고 순수 수식과 파이썬 코드로 1원 단위 계산.</w:t>
      </w:r>
    </w:p>
    <w:p>
      <w:pPr>
        <w:spacing w:before="40" w:after="60"/>
      </w:pPr>
      <w:r>
        <w:rPr>
          <w:b/>
        </w:rPr>
        <w:t>3. 다중 복구 최적화 솔버 (MIP / CP-SAT Solver)</w:t>
        <w:br/>
      </w:r>
      <w:r>
        <w:rPr>
          <w:color w:val="475569"/>
        </w:rPr>
        <w:t>창고 수용 한계, 게이트 마감, 시간대별 트럭 제약 속에서 글로벌 비용 최소 배정해를 1초 내 도출.</w:t>
      </w:r>
    </w:p>
    <w:p>
      <w:pPr>
        <w:spacing w:before="40" w:after="60"/>
      </w:pPr>
      <w:r>
        <w:rPr>
          <w:b/>
        </w:rPr>
        <w:t>4. 인간 승인 게이트 (Human-in-the-Loop Gate)</w:t>
        <w:br/>
      </w:r>
      <w:r>
        <w:rPr>
          <w:color w:val="475569"/>
        </w:rPr>
        <w:t>대외 메일 발송 및 복구 계획 확정은 운영자의 명시적 승인 없이 절대로 실행되지 않는 안전장치 탑재.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