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71" w:rsidRDefault="00490F98">
      <w:r>
        <w:t>特斯拉股价暴涨</w:t>
      </w:r>
      <w:r>
        <w:rPr>
          <w:rFonts w:hint="eastAsia"/>
        </w:rPr>
        <w:t>，</w:t>
      </w:r>
      <w:proofErr w:type="gramStart"/>
      <w:r>
        <w:t>腾讯提前</w:t>
      </w:r>
      <w:proofErr w:type="gramEnd"/>
      <w:r>
        <w:t>下车了么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:rsidR="006E5971" w:rsidRDefault="006E5971">
      <w:pPr>
        <w:rPr>
          <w:rFonts w:hint="eastAsia"/>
        </w:rPr>
      </w:pPr>
    </w:p>
    <w:p w:rsidR="008A1363" w:rsidRDefault="0023076E">
      <w:pPr>
        <w:rPr>
          <w:rFonts w:ascii="Arial" w:hAnsi="Arial" w:cs="Arial"/>
          <w:color w:val="404040"/>
          <w:szCs w:val="21"/>
          <w:shd w:val="clear" w:color="auto" w:fill="FFFFFF"/>
        </w:rPr>
      </w:pPr>
      <w:r>
        <w:rPr>
          <w:rFonts w:hint="eastAsia"/>
        </w:rPr>
        <w:t>2</w:t>
      </w:r>
      <w:r>
        <w:t>020</w:t>
      </w:r>
      <w:r>
        <w:t>年</w:t>
      </w:r>
      <w:r>
        <w:rPr>
          <w:rFonts w:hint="eastAsia"/>
        </w:rPr>
        <w:t>2</w:t>
      </w:r>
      <w:r>
        <w:rPr>
          <w:rFonts w:hint="eastAsia"/>
        </w:rPr>
        <w:t>月还没过完，特斯拉股价</w:t>
      </w:r>
      <w:r w:rsidR="00F86735">
        <w:rPr>
          <w:rFonts w:hint="eastAsia"/>
        </w:rPr>
        <w:t>上探到</w:t>
      </w:r>
      <w:r>
        <w:rPr>
          <w:rFonts w:hint="eastAsia"/>
        </w:rPr>
        <w:t>9</w:t>
      </w:r>
      <w:r>
        <w:t>00</w:t>
      </w:r>
      <w:r>
        <w:t>美金</w:t>
      </w:r>
      <w:r>
        <w:rPr>
          <w:rFonts w:hint="eastAsia"/>
        </w:rPr>
        <w:t>，</w:t>
      </w:r>
      <w:r>
        <w:t>今年累计</w:t>
      </w:r>
      <w:r>
        <w:rPr>
          <w:rFonts w:hint="eastAsia"/>
        </w:rPr>
        <w:t>上涨</w:t>
      </w:r>
      <w:r>
        <w:rPr>
          <w:rFonts w:hint="eastAsia"/>
        </w:rPr>
        <w:t>1</w:t>
      </w:r>
      <w:r>
        <w:t xml:space="preserve">15.38 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若是按照</w:t>
      </w:r>
      <w:r>
        <w:rPr>
          <w:rFonts w:hint="eastAsia"/>
        </w:rPr>
        <w:t>2</w:t>
      </w:r>
      <w:r>
        <w:t>019</w:t>
      </w:r>
      <w:r>
        <w:t>年</w:t>
      </w:r>
      <w:r>
        <w:rPr>
          <w:rFonts w:hint="eastAsia"/>
        </w:rPr>
        <w:t>6</w:t>
      </w:r>
      <w:r w:rsidR="006E5971">
        <w:rPr>
          <w:rFonts w:hint="eastAsia"/>
        </w:rPr>
        <w:t>月时</w:t>
      </w:r>
      <w:r>
        <w:rPr>
          <w:rFonts w:hint="eastAsia"/>
        </w:rPr>
        <w:t>最低价</w:t>
      </w:r>
      <w:r>
        <w:rPr>
          <w:rFonts w:hint="eastAsia"/>
        </w:rPr>
        <w:t>1</w:t>
      </w:r>
      <w:r>
        <w:t>76</w:t>
      </w:r>
      <w:r>
        <w:t>美金计算</w:t>
      </w:r>
      <w:r>
        <w:rPr>
          <w:rFonts w:hint="eastAsia"/>
        </w:rPr>
        <w:t>，</w:t>
      </w:r>
      <w:r>
        <w:t>上涨超过</w:t>
      </w:r>
      <w:r>
        <w:t>400</w:t>
      </w:r>
      <w:r>
        <w:rPr>
          <w:rFonts w:hint="eastAsia"/>
        </w:rPr>
        <w:t>%</w:t>
      </w:r>
      <w:r>
        <w:rPr>
          <w:rFonts w:hint="eastAsia"/>
        </w:rPr>
        <w:t>。</w:t>
      </w:r>
      <w:r>
        <w:t>这其中最大赢家</w:t>
      </w:r>
      <w:r w:rsidR="006E5971">
        <w:rPr>
          <w:rFonts w:hint="eastAsia"/>
        </w:rPr>
        <w:t>无疑</w:t>
      </w:r>
      <w:r w:rsidR="006E5971">
        <w:t>是</w:t>
      </w:r>
      <w:r>
        <w:t>钢铁侠</w:t>
      </w:r>
      <w:r>
        <w:t>Elon Mus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t>凭借着手中</w:t>
      </w:r>
      <w:r w:rsidR="00472BBD">
        <w:rPr>
          <w:rFonts w:ascii="Times New Roman" w:hAnsi="Times New Roman" w:cs="Times New Roman"/>
          <w:color w:val="404040"/>
          <w:shd w:val="clear" w:color="auto" w:fill="FFFFFF"/>
        </w:rPr>
        <w:t>38,658,670 </w:t>
      </w:r>
      <w:r w:rsidR="00472BBD">
        <w:rPr>
          <w:rFonts w:ascii="Times New Roman" w:hAnsi="Times New Roman" w:cs="Times New Roman"/>
          <w:color w:val="404040"/>
          <w:shd w:val="clear" w:color="auto" w:fill="FFFFFF"/>
        </w:rPr>
        <w:t>股特斯拉股票</w:t>
      </w:r>
      <w:r w:rsidR="00472BBD">
        <w:rPr>
          <w:rFonts w:ascii="Times New Roman" w:hAnsi="Times New Roman" w:cs="Times New Roman" w:hint="eastAsia"/>
          <w:color w:val="404040"/>
          <w:shd w:val="clear" w:color="auto" w:fill="FFFFFF"/>
        </w:rPr>
        <w:t>，占到特斯拉整体流通股的</w:t>
      </w:r>
      <w:r w:rsidR="00472BBD">
        <w:rPr>
          <w:rFonts w:ascii="Times New Roman" w:hAnsi="Times New Roman" w:cs="Times New Roman" w:hint="eastAsia"/>
          <w:color w:val="404040"/>
          <w:shd w:val="clear" w:color="auto" w:fill="FFFFFF"/>
        </w:rPr>
        <w:t>2</w:t>
      </w:r>
      <w:r w:rsidR="00472BBD">
        <w:rPr>
          <w:rFonts w:ascii="Times New Roman" w:hAnsi="Times New Roman" w:cs="Times New Roman"/>
          <w:color w:val="404040"/>
          <w:shd w:val="clear" w:color="auto" w:fill="FFFFFF"/>
        </w:rPr>
        <w:t>0.8</w:t>
      </w:r>
      <w:r w:rsidR="00472BBD">
        <w:rPr>
          <w:rFonts w:ascii="Times New Roman" w:hAnsi="Times New Roman" w:cs="Times New Roman" w:hint="eastAsia"/>
          <w:color w:val="404040"/>
          <w:shd w:val="clear" w:color="auto" w:fill="FFFFFF"/>
        </w:rPr>
        <w:t>%</w:t>
      </w:r>
      <w:r w:rsidR="00472BBD">
        <w:rPr>
          <w:rFonts w:ascii="Times New Roman" w:hAnsi="Times New Roman" w:cs="Times New Roman" w:hint="eastAsia"/>
          <w:color w:val="404040"/>
          <w:shd w:val="clear" w:color="auto" w:fill="FFFFFF"/>
        </w:rPr>
        <w:t>，</w:t>
      </w:r>
      <w:r w:rsidR="00472BBD">
        <w:rPr>
          <w:rFonts w:ascii="Times New Roman" w:hAnsi="Times New Roman" w:cs="Times New Roman"/>
          <w:color w:val="404040"/>
          <w:shd w:val="clear" w:color="auto" w:fill="FFFFFF"/>
        </w:rPr>
        <w:t>价值超过</w:t>
      </w:r>
      <w:r w:rsidR="00472BBD">
        <w:rPr>
          <w:rFonts w:ascii="Times New Roman" w:hAnsi="Times New Roman" w:cs="Times New Roman" w:hint="eastAsia"/>
          <w:color w:val="404040"/>
          <w:shd w:val="clear" w:color="auto" w:fill="FFFFFF"/>
        </w:rPr>
        <w:t xml:space="preserve"> </w:t>
      </w:r>
      <w:r w:rsidR="00472BBD">
        <w:rPr>
          <w:rFonts w:ascii="Arial" w:hAnsi="Arial" w:cs="Arial"/>
          <w:color w:val="404040"/>
          <w:szCs w:val="21"/>
          <w:shd w:val="clear" w:color="auto" w:fill="FFFFFF"/>
        </w:rPr>
        <w:t>340</w:t>
      </w:r>
      <w:r w:rsidR="00472BBD">
        <w:rPr>
          <w:rFonts w:ascii="Arial" w:hAnsi="Arial" w:cs="Arial"/>
          <w:color w:val="404040"/>
          <w:szCs w:val="21"/>
          <w:shd w:val="clear" w:color="auto" w:fill="FFFFFF"/>
        </w:rPr>
        <w:t>亿美金</w:t>
      </w:r>
      <w:r w:rsidR="008A1363">
        <w:rPr>
          <w:rFonts w:ascii="Arial" w:hAnsi="Arial" w:cs="Arial" w:hint="eastAsia"/>
          <w:color w:val="404040"/>
          <w:szCs w:val="21"/>
          <w:shd w:val="clear" w:color="auto" w:fill="FFFFFF"/>
        </w:rPr>
        <w:t>。</w:t>
      </w:r>
      <w:r w:rsidR="008A1363">
        <w:rPr>
          <w:rFonts w:ascii="Arial" w:hAnsi="Arial" w:cs="Arial"/>
          <w:color w:val="404040"/>
          <w:szCs w:val="21"/>
          <w:shd w:val="clear" w:color="auto" w:fill="FFFFFF"/>
        </w:rPr>
        <w:t>但是今天我们的主角并不是钢铁侠</w:t>
      </w:r>
      <w:r w:rsidR="008A1363">
        <w:rPr>
          <w:rFonts w:ascii="Arial" w:hAnsi="Arial" w:cs="Arial" w:hint="eastAsia"/>
          <w:color w:val="404040"/>
          <w:szCs w:val="21"/>
          <w:shd w:val="clear" w:color="auto" w:fill="FFFFFF"/>
        </w:rPr>
        <w:t>而是社交巨头腾讯</w:t>
      </w:r>
      <w:r w:rsidR="006E5971">
        <w:rPr>
          <w:rFonts w:ascii="Arial" w:hAnsi="Arial" w:cs="Arial" w:hint="eastAsia"/>
          <w:color w:val="404040"/>
          <w:szCs w:val="21"/>
          <w:shd w:val="clear" w:color="auto" w:fill="FFFFFF"/>
        </w:rPr>
        <w:t>。</w:t>
      </w:r>
    </w:p>
    <w:p w:rsidR="00490F98" w:rsidRDefault="00490F98">
      <w:pPr>
        <w:rPr>
          <w:rFonts w:ascii="Arial" w:hAnsi="Arial" w:cs="Arial"/>
          <w:color w:val="404040"/>
          <w:szCs w:val="21"/>
          <w:shd w:val="clear" w:color="auto" w:fill="FFFFFF"/>
        </w:rPr>
      </w:pPr>
      <w:r>
        <w:rPr>
          <w:rFonts w:ascii="Arial" w:hAnsi="Arial" w:cs="Arial"/>
          <w:color w:val="404040"/>
          <w:szCs w:val="21"/>
          <w:shd w:val="clear" w:color="auto" w:fill="FFFFFF"/>
        </w:rPr>
        <w:t>按照公开的信息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04040"/>
          <w:szCs w:val="21"/>
          <w:shd w:val="clear" w:color="auto" w:fill="FFFFFF"/>
        </w:rPr>
        <w:t>腾讯并不</w:t>
      </w:r>
      <w:proofErr w:type="gramEnd"/>
      <w:r>
        <w:rPr>
          <w:rFonts w:ascii="Arial" w:hAnsi="Arial" w:cs="Arial"/>
          <w:color w:val="404040"/>
          <w:szCs w:val="21"/>
          <w:shd w:val="clear" w:color="auto" w:fill="FFFFFF"/>
        </w:rPr>
        <w:t>在特斯拉公布的前十大股东名单中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，</w:t>
      </w:r>
      <w:r>
        <w:rPr>
          <w:rFonts w:ascii="Arial" w:hAnsi="Arial" w:cs="Arial"/>
          <w:color w:val="404040"/>
          <w:szCs w:val="21"/>
          <w:shd w:val="clear" w:color="auto" w:fill="FFFFFF"/>
        </w:rPr>
        <w:t>但是为什么我们还要</w:t>
      </w:r>
      <w:proofErr w:type="gramStart"/>
      <w:r>
        <w:rPr>
          <w:rFonts w:ascii="Arial" w:hAnsi="Arial" w:cs="Arial"/>
          <w:color w:val="404040"/>
          <w:szCs w:val="21"/>
          <w:shd w:val="clear" w:color="auto" w:fill="FFFFFF"/>
        </w:rPr>
        <w:t>讨论腾讯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在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FFFFF"/>
        </w:rPr>
        <w:t>特斯拉的持股吗，看到很多网站上说</w:t>
      </w:r>
      <w:proofErr w:type="gramStart"/>
      <w:r>
        <w:rPr>
          <w:rFonts w:ascii="Arial" w:hAnsi="Arial" w:cs="Arial" w:hint="eastAsia"/>
          <w:color w:val="404040"/>
          <w:szCs w:val="21"/>
          <w:shd w:val="clear" w:color="auto" w:fill="FFFFFF"/>
        </w:rPr>
        <w:t>腾讯已经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FFFFF"/>
        </w:rPr>
        <w:t>清空特斯拉股票，但是本着看热闹也得看门道的心态，研究了</w:t>
      </w:r>
      <w:proofErr w:type="gramStart"/>
      <w:r>
        <w:rPr>
          <w:rFonts w:ascii="Arial" w:hAnsi="Arial" w:cs="Arial" w:hint="eastAsia"/>
          <w:color w:val="404040"/>
          <w:szCs w:val="21"/>
          <w:shd w:val="clear" w:color="auto" w:fill="FFFFFF"/>
        </w:rPr>
        <w:t>一下腾讯投资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FFFFF"/>
        </w:rPr>
        <w:t>特斯拉的历史，希望能找出不一样的结果。</w:t>
      </w:r>
    </w:p>
    <w:p w:rsidR="00490F98" w:rsidRDefault="00490F98">
      <w:pPr>
        <w:rPr>
          <w:rFonts w:ascii="Arial" w:hAnsi="Arial" w:cs="Arial" w:hint="eastAsia"/>
          <w:color w:val="404040"/>
          <w:szCs w:val="21"/>
          <w:shd w:val="clear" w:color="auto" w:fill="FFFFFF"/>
        </w:rPr>
      </w:pPr>
    </w:p>
    <w:p w:rsidR="00490F98" w:rsidRDefault="00490F98" w:rsidP="00490F98">
      <w:pPr>
        <w:widowControl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根据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Yahoo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finance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019</w:t>
      </w:r>
      <w:r>
        <w:rPr>
          <w:rFonts w:ascii="Times New Roman" w:hAnsi="Times New Roman" w:cs="Times New Roman"/>
          <w:color w:val="000000"/>
          <w:sz w:val="20"/>
          <w:szCs w:val="20"/>
        </w:rPr>
        <w:t>年</w:t>
      </w:r>
      <w:r>
        <w:rPr>
          <w:rFonts w:ascii="Times New Roman" w:hAnsi="Times New Roman" w:cs="Times New Roman"/>
          <w:color w:val="000000"/>
          <w:sz w:val="20"/>
          <w:szCs w:val="20"/>
        </w:rPr>
        <w:t>12</w:t>
      </w:r>
      <w:r>
        <w:rPr>
          <w:rFonts w:ascii="Times New Roman" w:hAnsi="Times New Roman" w:cs="Times New Roman"/>
          <w:color w:val="000000"/>
          <w:sz w:val="20"/>
          <w:szCs w:val="20"/>
        </w:rPr>
        <w:t>月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日数据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，特斯拉排名前十的机构股东名单：</w:t>
      </w:r>
    </w:p>
    <w:tbl>
      <w:tblPr>
        <w:tblW w:w="6240" w:type="dxa"/>
        <w:tblInd w:w="-5" w:type="dxa"/>
        <w:tblLook w:val="04A0" w:firstRow="1" w:lastRow="0" w:firstColumn="1" w:lastColumn="0" w:noHBand="0" w:noVBand="1"/>
      </w:tblPr>
      <w:tblGrid>
        <w:gridCol w:w="2500"/>
        <w:gridCol w:w="1017"/>
        <w:gridCol w:w="1120"/>
        <w:gridCol w:w="670"/>
        <w:gridCol w:w="1240"/>
      </w:tblGrid>
      <w:tr w:rsidR="00490F98" w:rsidRPr="00921FA8" w:rsidTr="009E720C">
        <w:trPr>
          <w:trHeight w:val="372"/>
        </w:trPr>
        <w:tc>
          <w:tcPr>
            <w:tcW w:w="2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Holder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Shares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Date Reported</w:t>
            </w:r>
          </w:p>
        </w:tc>
        <w:tc>
          <w:tcPr>
            <w:tcW w:w="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% Out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Value</w:t>
            </w:r>
          </w:p>
        </w:tc>
      </w:tr>
      <w:tr w:rsidR="00490F98" w:rsidRPr="00921FA8" w:rsidTr="009E720C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Baillie Gifford and Company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13,826,979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7.62%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5,784,240,125</w:t>
            </w:r>
          </w:p>
        </w:tc>
      </w:tr>
      <w:tr w:rsidR="00490F98" w:rsidRPr="00921FA8" w:rsidTr="009E720C">
        <w:trPr>
          <w:trHeight w:val="372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Capital World Investors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10,694,412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5.90%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4,473,793,371</w:t>
            </w:r>
          </w:p>
        </w:tc>
      </w:tr>
      <w:tr w:rsidR="00490F98" w:rsidRPr="00921FA8" w:rsidTr="009E720C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Vanguard Group, Inc. (The)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8,405,321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4.64%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3,516,197,933</w:t>
            </w:r>
          </w:p>
        </w:tc>
      </w:tr>
      <w:tr w:rsidR="00490F98" w:rsidRPr="00921FA8" w:rsidTr="009E720C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Blackrock Inc.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6,705,855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3.70%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2,805,260,322</w:t>
            </w:r>
          </w:p>
        </w:tc>
      </w:tr>
      <w:tr w:rsidR="00490F98" w:rsidRPr="00921FA8" w:rsidTr="009E720C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FMR, LLC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5,272,261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2.91%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2,205,544,944</w:t>
            </w:r>
          </w:p>
        </w:tc>
      </w:tr>
      <w:tr w:rsidR="00490F98" w:rsidRPr="00921FA8" w:rsidTr="009E720C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Renaissance Technologies, LLC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3,938,142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2.17%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1,647,442,942</w:t>
            </w:r>
          </w:p>
        </w:tc>
      </w:tr>
      <w:tr w:rsidR="00490F98" w:rsidRPr="00921FA8" w:rsidTr="009E720C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Jennison Associates LLC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3,911,886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2.16%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1,636,459,270</w:t>
            </w:r>
          </w:p>
        </w:tc>
      </w:tr>
      <w:tr w:rsidR="00490F98" w:rsidRPr="00921FA8" w:rsidTr="009E720C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State Street Corporation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2,995,206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1.65%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1,252,984,525</w:t>
            </w:r>
          </w:p>
        </w:tc>
      </w:tr>
      <w:tr w:rsidR="00490F98" w:rsidRPr="00921FA8" w:rsidTr="009E720C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JP Morgan Chase &amp; Company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2,537,599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1.40%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1,061,553,789</w:t>
            </w:r>
          </w:p>
        </w:tc>
      </w:tr>
      <w:tr w:rsidR="00490F98" w:rsidRPr="00921FA8" w:rsidTr="009E720C">
        <w:trPr>
          <w:trHeight w:val="288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Price (</w:t>
            </w:r>
            <w:proofErr w:type="spellStart"/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T.Rowe</w:t>
            </w:r>
            <w:proofErr w:type="spellEnd"/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) Associates </w:t>
            </w:r>
            <w:proofErr w:type="spellStart"/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Inc</w:t>
            </w:r>
            <w:proofErr w:type="spellEnd"/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1,715,603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0.95%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490F98" w:rsidRPr="00921FA8" w:rsidRDefault="00490F98" w:rsidP="009E720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717,688,202</w:t>
            </w:r>
          </w:p>
        </w:tc>
      </w:tr>
    </w:tbl>
    <w:p w:rsidR="00490F98" w:rsidRDefault="00490F98">
      <w:pPr>
        <w:rPr>
          <w:rFonts w:ascii="Arial" w:hAnsi="Arial" w:cs="Arial" w:hint="eastAsia"/>
          <w:color w:val="404040"/>
          <w:szCs w:val="21"/>
          <w:shd w:val="clear" w:color="auto" w:fill="FFFFFF"/>
        </w:rPr>
      </w:pPr>
    </w:p>
    <w:p w:rsidR="008A1363" w:rsidRDefault="00717174">
      <w:pPr>
        <w:rPr>
          <w:rStyle w:val="a3"/>
          <w:noProof/>
        </w:rPr>
      </w:pPr>
      <w:hyperlink r:id="rId4" w:history="1">
        <w:r w:rsidR="00F86735" w:rsidRPr="00A70E15">
          <w:rPr>
            <w:rStyle w:val="a3"/>
            <w:noProof/>
          </w:rPr>
          <w:drawing>
            <wp:inline distT="0" distB="0" distL="0" distR="0" wp14:anchorId="27128425" wp14:editId="0C64414F">
              <wp:extent cx="5117566" cy="3623454"/>
              <wp:effectExtent l="0" t="0" r="6985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6137" cy="36436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E5971" w:rsidRDefault="006E5971" w:rsidP="006E5971">
      <w:hyperlink r:id="rId6" w:history="1">
        <w:r>
          <w:rPr>
            <w:rStyle w:val="a3"/>
          </w:rPr>
          <w:t>https://www.macrotrends.net/stocks/charts/TSLA/tesla/stock-price-history</w:t>
        </w:r>
      </w:hyperlink>
    </w:p>
    <w:p w:rsidR="00F86735" w:rsidRDefault="00F86735">
      <w:pPr>
        <w:rPr>
          <w:rFonts w:ascii="Arial" w:hAnsi="Arial" w:cs="Arial" w:hint="eastAsia"/>
          <w:color w:val="404040"/>
          <w:szCs w:val="21"/>
          <w:shd w:val="clear" w:color="auto" w:fill="FFFFFF"/>
        </w:rPr>
      </w:pPr>
    </w:p>
    <w:p w:rsidR="00F86735" w:rsidRDefault="0013262E" w:rsidP="008A1363">
      <w:pPr>
        <w:rPr>
          <w:rFonts w:ascii="Arial" w:hAnsi="Arial" w:cs="Arial"/>
          <w:color w:val="404040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404040"/>
          <w:szCs w:val="21"/>
          <w:shd w:val="clear" w:color="auto" w:fill="FFFFFF"/>
        </w:rPr>
        <w:t>腾讯</w:t>
      </w:r>
      <w:r w:rsidR="006E5971">
        <w:rPr>
          <w:rFonts w:ascii="Arial" w:hAnsi="Arial" w:cs="Arial" w:hint="eastAsia"/>
          <w:color w:val="404040"/>
          <w:szCs w:val="21"/>
          <w:shd w:val="clear" w:color="auto" w:fill="FFFFFF"/>
        </w:rPr>
        <w:t>投资</w:t>
      </w:r>
      <w:proofErr w:type="gramEnd"/>
      <w:r>
        <w:rPr>
          <w:rFonts w:ascii="Arial" w:hAnsi="Arial" w:cs="Arial" w:hint="eastAsia"/>
          <w:color w:val="404040"/>
          <w:szCs w:val="21"/>
          <w:shd w:val="clear" w:color="auto" w:fill="FFFFFF"/>
        </w:rPr>
        <w:t>特斯拉始于</w:t>
      </w:r>
      <w:r w:rsidR="008A1363" w:rsidRPr="008A1363">
        <w:rPr>
          <w:rFonts w:ascii="Arial" w:hAnsi="Arial" w:cs="Arial" w:hint="eastAsia"/>
          <w:color w:val="404040"/>
          <w:szCs w:val="21"/>
          <w:shd w:val="clear" w:color="auto" w:fill="FFFFFF"/>
        </w:rPr>
        <w:t>2017</w:t>
      </w:r>
      <w:r w:rsidR="008A1363" w:rsidRPr="008A1363">
        <w:rPr>
          <w:rFonts w:ascii="Arial" w:hAnsi="Arial" w:cs="Arial" w:hint="eastAsia"/>
          <w:color w:val="404040"/>
          <w:szCs w:val="21"/>
          <w:shd w:val="clear" w:color="auto" w:fill="FFFFFF"/>
        </w:rPr>
        <w:t>年</w:t>
      </w:r>
      <w:r w:rsidR="008A1363" w:rsidRPr="008A1363">
        <w:rPr>
          <w:rFonts w:ascii="Arial" w:hAnsi="Arial" w:cs="Arial" w:hint="eastAsia"/>
          <w:color w:val="404040"/>
          <w:szCs w:val="21"/>
          <w:shd w:val="clear" w:color="auto" w:fill="FFFFFF"/>
        </w:rPr>
        <w:t>3</w:t>
      </w:r>
      <w:r w:rsidR="008A1363" w:rsidRPr="008A1363">
        <w:rPr>
          <w:rFonts w:ascii="Arial" w:hAnsi="Arial" w:cs="Arial" w:hint="eastAsia"/>
          <w:color w:val="404040"/>
          <w:szCs w:val="21"/>
          <w:shd w:val="clear" w:color="auto" w:fill="FFFFFF"/>
        </w:rPr>
        <w:t>月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，根据</w:t>
      </w:r>
      <w:proofErr w:type="gramStart"/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据</w:t>
      </w:r>
      <w:proofErr w:type="gramEnd"/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特斯拉提交给美国证券交易委员会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(SEC)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的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Schedule 13G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文件显示，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2</w:t>
      </w:r>
      <w:r>
        <w:rPr>
          <w:rFonts w:ascii="Arial" w:hAnsi="Arial" w:cs="Arial"/>
          <w:color w:val="404040"/>
          <w:szCs w:val="21"/>
          <w:shd w:val="clear" w:color="auto" w:fill="FFFFFF"/>
        </w:rPr>
        <w:t>017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年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3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月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17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日，</w:t>
      </w:r>
      <w:proofErr w:type="gramStart"/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腾讯通过</w:t>
      </w:r>
      <w:proofErr w:type="gramEnd"/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旗下黄河投资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(Huang River Investment Limited)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以</w:t>
      </w:r>
      <w:r w:rsidRPr="008A1363">
        <w:rPr>
          <w:rFonts w:ascii="Arial" w:hAnsi="Arial" w:cs="Arial" w:hint="eastAsia"/>
          <w:color w:val="404040"/>
          <w:szCs w:val="21"/>
          <w:shd w:val="clear" w:color="auto" w:fill="FFFFFF"/>
        </w:rPr>
        <w:t>1,777,842,836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美元（包括佣金）以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定向增发和公开市场收购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方式获得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特斯拉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816.75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万</w:t>
      </w:r>
      <w:r w:rsidR="00F032E3">
        <w:rPr>
          <w:rFonts w:ascii="Arial" w:hAnsi="Arial" w:cs="Arial" w:hint="eastAsia"/>
          <w:color w:val="404040"/>
          <w:szCs w:val="21"/>
          <w:shd w:val="clear" w:color="auto" w:fill="FFFFFF"/>
        </w:rPr>
        <w:t>(</w:t>
      </w:r>
      <w:r w:rsidR="00F032E3" w:rsidRPr="00F032E3">
        <w:rPr>
          <w:rFonts w:ascii="Arial" w:hAnsi="Arial" w:cs="Arial"/>
          <w:color w:val="404040"/>
          <w:szCs w:val="21"/>
          <w:shd w:val="clear" w:color="auto" w:fill="FFFFFF"/>
        </w:rPr>
        <w:t>8,167,544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)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股股票，占股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5%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，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约合每股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217.67</w:t>
      </w:r>
      <w:r w:rsidR="00F86735">
        <w:rPr>
          <w:rFonts w:ascii="Arial" w:hAnsi="Arial" w:cs="Arial" w:hint="eastAsia"/>
          <w:color w:val="404040"/>
          <w:szCs w:val="21"/>
          <w:shd w:val="clear" w:color="auto" w:fill="FFFFFF"/>
        </w:rPr>
        <w:t>美元，</w:t>
      </w:r>
      <w:r w:rsidR="006E5971">
        <w:rPr>
          <w:rFonts w:ascii="Arial" w:hAnsi="Arial" w:cs="Arial" w:hint="eastAsia"/>
          <w:color w:val="404040"/>
          <w:szCs w:val="21"/>
          <w:shd w:val="clear" w:color="auto" w:fill="FFFFFF"/>
        </w:rPr>
        <w:t>而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特斯拉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当日</w:t>
      </w:r>
      <w:r w:rsidR="006E5971">
        <w:rPr>
          <w:rFonts w:ascii="Arial" w:hAnsi="Arial" w:cs="Arial" w:hint="eastAsia"/>
          <w:color w:val="404040"/>
          <w:szCs w:val="21"/>
          <w:shd w:val="clear" w:color="auto" w:fill="FFFFFF"/>
        </w:rPr>
        <w:t>股价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261.20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美元，折价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16.67%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。</w:t>
      </w:r>
    </w:p>
    <w:p w:rsidR="001711CA" w:rsidRDefault="001711CA" w:rsidP="00F032E3">
      <w:pPr>
        <w:rPr>
          <w:rFonts w:ascii="Arial" w:hAnsi="Arial" w:cs="Arial"/>
          <w:color w:val="404040"/>
          <w:szCs w:val="21"/>
          <w:shd w:val="clear" w:color="auto" w:fill="FFFFFF"/>
        </w:rPr>
      </w:pPr>
    </w:p>
    <w:p w:rsidR="00110CA5" w:rsidRPr="00FE00FA" w:rsidRDefault="00F86735" w:rsidP="00110CA5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Arial" w:hAnsi="Arial" w:cs="Arial"/>
          <w:color w:val="404040"/>
          <w:szCs w:val="21"/>
          <w:shd w:val="clear" w:color="auto" w:fill="FFFFFF"/>
        </w:rPr>
        <w:t>根据</w:t>
      </w:r>
      <w:r>
        <w:rPr>
          <w:rFonts w:ascii="Arial" w:hAnsi="Arial" w:cs="Arial"/>
          <w:color w:val="404040"/>
          <w:szCs w:val="21"/>
          <w:shd w:val="clear" w:color="auto" w:fill="FFFFFF"/>
        </w:rPr>
        <w:t>SEC</w:t>
      </w:r>
      <w:r>
        <w:rPr>
          <w:rFonts w:ascii="Arial" w:hAnsi="Arial" w:cs="Arial"/>
          <w:color w:val="404040"/>
          <w:szCs w:val="21"/>
          <w:shd w:val="clear" w:color="auto" w:fill="FFFFFF"/>
        </w:rPr>
        <w:t>要求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，</w:t>
      </w:r>
      <w:r w:rsidR="00FE00FA">
        <w:rPr>
          <w:rFonts w:ascii="Arial" w:hAnsi="Arial" w:cs="Arial" w:hint="eastAsia"/>
          <w:color w:val="404040"/>
          <w:szCs w:val="21"/>
          <w:shd w:val="clear" w:color="auto" w:fill="FFFFFF"/>
        </w:rPr>
        <w:t>投资者</w:t>
      </w:r>
      <w:r w:rsidR="001711CA">
        <w:rPr>
          <w:rFonts w:ascii="Arial" w:hAnsi="Arial" w:cs="Arial" w:hint="eastAsia"/>
          <w:color w:val="404040"/>
          <w:szCs w:val="21"/>
          <w:shd w:val="clear" w:color="auto" w:fill="FFFFFF"/>
        </w:rPr>
        <w:t>持有上市公司股票比例在</w:t>
      </w:r>
      <w:r w:rsidR="00FE00FA">
        <w:rPr>
          <w:rFonts w:ascii="Arial" w:hAnsi="Arial" w:cs="Arial" w:hint="eastAsia"/>
          <w:color w:val="404040"/>
          <w:szCs w:val="21"/>
          <w:shd w:val="clear" w:color="auto" w:fill="FFFFFF"/>
        </w:rPr>
        <w:t>首次突破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5%</w:t>
      </w:r>
      <w:r w:rsidR="00FE00FA">
        <w:rPr>
          <w:rFonts w:ascii="Arial" w:hAnsi="Arial" w:cs="Arial" w:hint="eastAsia"/>
          <w:color w:val="404040"/>
          <w:szCs w:val="21"/>
          <w:shd w:val="clear" w:color="auto" w:fill="FFFFFF"/>
        </w:rPr>
        <w:t>时，</w:t>
      </w:r>
      <w:r w:rsidR="00082496">
        <w:rPr>
          <w:rFonts w:ascii="Arial" w:hAnsi="Arial" w:cs="Arial" w:hint="eastAsia"/>
          <w:color w:val="404040"/>
          <w:szCs w:val="21"/>
          <w:shd w:val="clear" w:color="auto" w:fill="FFFFFF"/>
        </w:rPr>
        <w:t>要在交易发生后的</w:t>
      </w:r>
      <w:r w:rsidR="008B4CB8">
        <w:rPr>
          <w:rFonts w:ascii="Arial" w:hAnsi="Arial" w:cs="Arial" w:hint="eastAsia"/>
          <w:color w:val="404040"/>
          <w:szCs w:val="21"/>
          <w:shd w:val="clear" w:color="auto" w:fill="FFFFFF"/>
        </w:rPr>
        <w:t>1</w:t>
      </w:r>
      <w:r w:rsidR="008B4CB8">
        <w:rPr>
          <w:rFonts w:ascii="Arial" w:hAnsi="Arial" w:cs="Arial"/>
          <w:color w:val="404040"/>
          <w:szCs w:val="21"/>
          <w:shd w:val="clear" w:color="auto" w:fill="FFFFFF"/>
        </w:rPr>
        <w:t>0</w:t>
      </w:r>
      <w:r w:rsidR="008B4CB8">
        <w:rPr>
          <w:rFonts w:ascii="Arial" w:hAnsi="Arial" w:cs="Arial"/>
          <w:color w:val="404040"/>
          <w:szCs w:val="21"/>
          <w:shd w:val="clear" w:color="auto" w:fill="FFFFFF"/>
        </w:rPr>
        <w:t>天内向</w:t>
      </w:r>
      <w:r w:rsidR="008B4CB8">
        <w:rPr>
          <w:rFonts w:ascii="Arial" w:hAnsi="Arial" w:cs="Arial"/>
          <w:color w:val="404040"/>
          <w:szCs w:val="21"/>
          <w:shd w:val="clear" w:color="auto" w:fill="FFFFFF"/>
        </w:rPr>
        <w:t>SEC</w:t>
      </w:r>
      <w:r w:rsidR="005A2E96">
        <w:rPr>
          <w:rFonts w:ascii="Arial" w:hAnsi="Arial" w:cs="Arial" w:hint="eastAsia"/>
          <w:color w:val="404040"/>
          <w:szCs w:val="21"/>
          <w:shd w:val="clear" w:color="auto" w:fill="FFFFFF"/>
        </w:rPr>
        <w:t>进行股权披露，并提交</w:t>
      </w:r>
      <w:r w:rsidR="008B4CB8">
        <w:rPr>
          <w:rFonts w:ascii="Arial" w:hAnsi="Arial" w:cs="Arial"/>
          <w:color w:val="404040"/>
          <w:szCs w:val="21"/>
          <w:shd w:val="clear" w:color="auto" w:fill="FFFFFF"/>
        </w:rPr>
        <w:t>声明</w:t>
      </w:r>
      <w:r w:rsidR="008B4CB8">
        <w:rPr>
          <w:rFonts w:ascii="Arial" w:hAnsi="Arial" w:cs="Arial" w:hint="eastAsia"/>
          <w:color w:val="404040"/>
          <w:szCs w:val="21"/>
          <w:shd w:val="clear" w:color="auto" w:fill="FFFFFF"/>
        </w:rPr>
        <w:t>Schedule</w:t>
      </w:r>
      <w:r w:rsidR="008B4CB8">
        <w:rPr>
          <w:rFonts w:ascii="Arial" w:hAnsi="Arial" w:cs="Arial"/>
          <w:color w:val="404040"/>
          <w:szCs w:val="21"/>
          <w:shd w:val="clear" w:color="auto" w:fill="FFFFFF"/>
        </w:rPr>
        <w:t>13D</w:t>
      </w:r>
      <w:r w:rsidR="008B4CB8">
        <w:rPr>
          <w:rFonts w:ascii="Arial" w:hAnsi="Arial" w:cs="Arial" w:hint="eastAsia"/>
          <w:color w:val="404040"/>
          <w:szCs w:val="21"/>
          <w:shd w:val="clear" w:color="auto" w:fill="FFFFFF"/>
        </w:rPr>
        <w:t>（详细版）或者</w:t>
      </w:r>
      <w:r w:rsidR="008B4CB8">
        <w:rPr>
          <w:rFonts w:ascii="Arial" w:hAnsi="Arial" w:cs="Arial" w:hint="eastAsia"/>
          <w:color w:val="404040"/>
          <w:szCs w:val="21"/>
          <w:shd w:val="clear" w:color="auto" w:fill="FFFFFF"/>
        </w:rPr>
        <w:t>Schedule</w:t>
      </w:r>
      <w:r w:rsidR="008B4CB8">
        <w:rPr>
          <w:rFonts w:ascii="Arial" w:hAnsi="Arial" w:cs="Arial"/>
          <w:color w:val="404040"/>
          <w:szCs w:val="21"/>
          <w:shd w:val="clear" w:color="auto" w:fill="FFFFFF"/>
        </w:rPr>
        <w:t>13G</w:t>
      </w:r>
      <w:r w:rsidR="008B4CB8">
        <w:rPr>
          <w:rFonts w:ascii="Arial" w:hAnsi="Arial" w:cs="Arial" w:hint="eastAsia"/>
          <w:color w:val="404040"/>
          <w:szCs w:val="21"/>
          <w:shd w:val="clear" w:color="auto" w:fill="FFFFFF"/>
        </w:rPr>
        <w:t>（简化版），</w:t>
      </w:r>
      <w:r w:rsidR="008B4CB8">
        <w:rPr>
          <w:rFonts w:ascii="Arial" w:hAnsi="Arial" w:cs="Arial" w:hint="eastAsia"/>
          <w:color w:val="404040"/>
          <w:szCs w:val="21"/>
          <w:shd w:val="clear" w:color="auto" w:fill="FFFFFF"/>
        </w:rPr>
        <w:t>Schedule</w:t>
      </w:r>
      <w:r w:rsidR="008B4CB8">
        <w:rPr>
          <w:rFonts w:ascii="Arial" w:hAnsi="Arial" w:cs="Arial"/>
          <w:color w:val="404040"/>
          <w:szCs w:val="21"/>
          <w:shd w:val="clear" w:color="auto" w:fill="FFFFFF"/>
        </w:rPr>
        <w:t>13G</w:t>
      </w:r>
      <w:r w:rsidR="008B4CB8">
        <w:rPr>
          <w:rFonts w:ascii="Arial" w:hAnsi="Arial" w:cs="Arial" w:hint="eastAsia"/>
          <w:color w:val="404040"/>
          <w:szCs w:val="21"/>
          <w:shd w:val="clear" w:color="auto" w:fill="FFFFFF"/>
        </w:rPr>
        <w:t>/</w:t>
      </w:r>
      <w:r w:rsidR="008B4CB8">
        <w:rPr>
          <w:rFonts w:ascii="Arial" w:hAnsi="Arial" w:cs="Arial"/>
          <w:color w:val="404040"/>
          <w:szCs w:val="21"/>
          <w:shd w:val="clear" w:color="auto" w:fill="FFFFFF"/>
        </w:rPr>
        <w:t>A (</w:t>
      </w:r>
      <w:r w:rsidR="008B4CB8">
        <w:rPr>
          <w:rFonts w:ascii="Arial" w:hAnsi="Arial" w:cs="Arial"/>
          <w:color w:val="404040"/>
          <w:szCs w:val="21"/>
          <w:shd w:val="clear" w:color="auto" w:fill="FFFFFF"/>
        </w:rPr>
        <w:t>补充声明</w:t>
      </w:r>
      <w:r w:rsidR="008B4CB8">
        <w:rPr>
          <w:rFonts w:ascii="Arial" w:hAnsi="Arial" w:cs="Arial" w:hint="eastAsia"/>
          <w:color w:val="404040"/>
          <w:szCs w:val="21"/>
          <w:shd w:val="clear" w:color="auto" w:fill="FFFFFF"/>
        </w:rPr>
        <w:t>)</w:t>
      </w:r>
      <w:r w:rsidR="005A2E96">
        <w:rPr>
          <w:rFonts w:ascii="Arial" w:hAnsi="Arial" w:cs="Arial" w:hint="eastAsia"/>
          <w:color w:val="404040"/>
          <w:szCs w:val="21"/>
          <w:shd w:val="clear" w:color="auto" w:fill="FFFFFF"/>
        </w:rPr>
        <w:t>。一般</w:t>
      </w:r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有实力的专业</w:t>
      </w:r>
      <w:r w:rsidR="005A2E96">
        <w:rPr>
          <w:rFonts w:ascii="Arial" w:hAnsi="Arial" w:cs="Arial" w:hint="eastAsia"/>
          <w:color w:val="404040"/>
          <w:szCs w:val="21"/>
          <w:shd w:val="clear" w:color="auto" w:fill="FFFFFF"/>
        </w:rPr>
        <w:t>投资者为了避免信息披露往往会将持股控制在</w:t>
      </w:r>
      <w:r w:rsidR="005A2E96">
        <w:rPr>
          <w:rFonts w:ascii="Arial" w:hAnsi="Arial" w:cs="Arial" w:hint="eastAsia"/>
          <w:color w:val="404040"/>
          <w:szCs w:val="21"/>
          <w:shd w:val="clear" w:color="auto" w:fill="FFFFFF"/>
        </w:rPr>
        <w:t>5%</w:t>
      </w:r>
      <w:r w:rsidR="005A2E96">
        <w:rPr>
          <w:rFonts w:ascii="Arial" w:hAnsi="Arial" w:cs="Arial" w:hint="eastAsia"/>
          <w:color w:val="404040"/>
          <w:szCs w:val="21"/>
          <w:shd w:val="clear" w:color="auto" w:fill="FFFFFF"/>
        </w:rPr>
        <w:t>以下</w:t>
      </w:r>
      <w:r w:rsidR="00082496">
        <w:rPr>
          <w:rFonts w:ascii="Arial" w:hAnsi="Arial" w:cs="Arial" w:hint="eastAsia"/>
          <w:color w:val="404040"/>
          <w:szCs w:val="21"/>
          <w:shd w:val="clear" w:color="auto" w:fill="FFFFFF"/>
        </w:rPr>
        <w:t>，</w:t>
      </w:r>
      <w:r w:rsidR="001711CA">
        <w:rPr>
          <w:rFonts w:ascii="Arial" w:hAnsi="Arial" w:cs="Arial" w:hint="eastAsia"/>
          <w:color w:val="404040"/>
          <w:szCs w:val="21"/>
          <w:shd w:val="clear" w:color="auto" w:fill="FFFFFF"/>
        </w:rPr>
        <w:t>例如传奇投资人段永平</w:t>
      </w:r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，作为小霸王，步步高，</w:t>
      </w:r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OPPO</w:t>
      </w:r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，</w:t>
      </w:r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VIVO</w:t>
      </w:r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，网易背后的男人，在美股布局多年</w:t>
      </w:r>
      <w:r w:rsidR="00082496">
        <w:rPr>
          <w:rFonts w:ascii="Arial" w:hAnsi="Arial" w:cs="Arial" w:hint="eastAsia"/>
          <w:color w:val="404040"/>
          <w:szCs w:val="21"/>
          <w:shd w:val="clear" w:color="auto" w:fill="FFFFFF"/>
        </w:rPr>
        <w:t>，至今他的持仓</w:t>
      </w:r>
      <w:r w:rsidR="001711CA">
        <w:rPr>
          <w:rFonts w:ascii="Arial" w:hAnsi="Arial" w:cs="Arial" w:hint="eastAsia"/>
          <w:color w:val="404040"/>
          <w:szCs w:val="21"/>
          <w:shd w:val="clear" w:color="auto" w:fill="FFFFFF"/>
        </w:rPr>
        <w:t>情况</w:t>
      </w:r>
      <w:r w:rsidR="00082496">
        <w:rPr>
          <w:rFonts w:ascii="Arial" w:hAnsi="Arial" w:cs="Arial" w:hint="eastAsia"/>
          <w:color w:val="404040"/>
          <w:szCs w:val="21"/>
          <w:shd w:val="clear" w:color="auto" w:fill="FFFFFF"/>
        </w:rPr>
        <w:t>还是个迷</w:t>
      </w:r>
      <w:r w:rsidR="001711CA">
        <w:rPr>
          <w:rFonts w:ascii="Arial" w:hAnsi="Arial" w:cs="Arial" w:hint="eastAsia"/>
          <w:color w:val="404040"/>
          <w:szCs w:val="21"/>
          <w:shd w:val="clear" w:color="auto" w:fill="FFFFFF"/>
        </w:rPr>
        <w:t>，</w:t>
      </w:r>
      <w:r w:rsidR="001711CA">
        <w:rPr>
          <w:rFonts w:ascii="Arial" w:hAnsi="Arial" w:cs="Arial"/>
          <w:color w:val="404040"/>
          <w:szCs w:val="21"/>
          <w:shd w:val="clear" w:color="auto" w:fill="FFFFFF"/>
        </w:rPr>
        <w:t xml:space="preserve"> </w:t>
      </w:r>
      <w:proofErr w:type="gramStart"/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腾讯</w:t>
      </w:r>
      <w:r w:rsidR="001711CA">
        <w:rPr>
          <w:rFonts w:ascii="Arial" w:hAnsi="Arial" w:cs="Arial" w:hint="eastAsia"/>
          <w:color w:val="404040"/>
          <w:szCs w:val="21"/>
          <w:shd w:val="clear" w:color="auto" w:fill="FFFFFF"/>
        </w:rPr>
        <w:t>当时</w:t>
      </w:r>
      <w:proofErr w:type="gramEnd"/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对特斯拉的投资刚好触及</w:t>
      </w:r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5%</w:t>
      </w:r>
      <w:r w:rsidR="0069320B">
        <w:rPr>
          <w:rFonts w:ascii="Arial" w:hAnsi="Arial" w:cs="Arial" w:hint="eastAsia"/>
          <w:color w:val="404040"/>
          <w:szCs w:val="21"/>
          <w:shd w:val="clear" w:color="auto" w:fill="FFFFFF"/>
        </w:rPr>
        <w:t>的披露线。</w:t>
      </w:r>
      <w:r w:rsidR="001711CA">
        <w:rPr>
          <w:rFonts w:ascii="Arial" w:hAnsi="Arial" w:cs="Arial"/>
          <w:color w:val="404040"/>
          <w:szCs w:val="21"/>
          <w:shd w:val="clear" w:color="auto" w:fill="FFFFFF"/>
        </w:rPr>
        <w:t>时隔一年之后</w:t>
      </w:r>
      <w:r w:rsidR="001711CA">
        <w:rPr>
          <w:rFonts w:ascii="Arial" w:hAnsi="Arial" w:cs="Arial" w:hint="eastAsia"/>
          <w:color w:val="404040"/>
          <w:szCs w:val="21"/>
          <w:shd w:val="clear" w:color="auto" w:fill="FFFFFF"/>
        </w:rPr>
        <w:t>，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2018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年</w:t>
      </w:r>
      <w:r w:rsidR="00F032E3">
        <w:rPr>
          <w:rFonts w:ascii="Arial" w:hAnsi="Arial" w:cs="Arial" w:hint="eastAsia"/>
          <w:color w:val="404040"/>
          <w:szCs w:val="21"/>
          <w:shd w:val="clear" w:color="auto" w:fill="FFFFFF"/>
        </w:rPr>
        <w:t>2</w:t>
      </w:r>
      <w:r w:rsidR="00F032E3">
        <w:rPr>
          <w:rFonts w:ascii="Arial" w:hAnsi="Arial" w:cs="Arial" w:hint="eastAsia"/>
          <w:color w:val="404040"/>
          <w:szCs w:val="21"/>
          <w:shd w:val="clear" w:color="auto" w:fill="FFFFFF"/>
        </w:rPr>
        <w:t>月</w:t>
      </w:r>
      <w:r w:rsidR="00F032E3">
        <w:rPr>
          <w:rFonts w:ascii="Arial" w:hAnsi="Arial" w:cs="Arial" w:hint="eastAsia"/>
          <w:color w:val="404040"/>
          <w:szCs w:val="21"/>
          <w:shd w:val="clear" w:color="auto" w:fill="FFFFFF"/>
        </w:rPr>
        <w:t>1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2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日</w:t>
      </w:r>
      <w:r w:rsidR="001711CA">
        <w:rPr>
          <w:rFonts w:ascii="Arial" w:hAnsi="Arial" w:cs="Arial" w:hint="eastAsia"/>
          <w:color w:val="404040"/>
          <w:szCs w:val="21"/>
          <w:shd w:val="clear" w:color="auto" w:fill="FFFFFF"/>
        </w:rPr>
        <w:t>，</w:t>
      </w:r>
      <w:proofErr w:type="gramStart"/>
      <w:r w:rsidR="00F032E3">
        <w:rPr>
          <w:rFonts w:ascii="Arial" w:hAnsi="Arial" w:cs="Arial"/>
          <w:color w:val="404040"/>
          <w:szCs w:val="21"/>
          <w:shd w:val="clear" w:color="auto" w:fill="FFFFFF"/>
        </w:rPr>
        <w:t>腾讯又</w:t>
      </w:r>
      <w:proofErr w:type="gramEnd"/>
      <w:r w:rsidR="00F032E3">
        <w:rPr>
          <w:rFonts w:ascii="Arial" w:hAnsi="Arial" w:cs="Arial"/>
          <w:color w:val="404040"/>
          <w:szCs w:val="21"/>
          <w:shd w:val="clear" w:color="auto" w:fill="FFFFFF"/>
        </w:rPr>
        <w:t>向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SEC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提交了第二份</w:t>
      </w:r>
      <w:r w:rsidR="00F032E3">
        <w:rPr>
          <w:rFonts w:ascii="Arial" w:hAnsi="Arial" w:cs="Arial" w:hint="eastAsia"/>
          <w:color w:val="404040"/>
          <w:szCs w:val="21"/>
          <w:shd w:val="clear" w:color="auto" w:fill="FFFFFF"/>
        </w:rPr>
        <w:t>Schedule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13G</w:t>
      </w:r>
      <w:r w:rsidR="00F032E3">
        <w:rPr>
          <w:rFonts w:ascii="Arial" w:hAnsi="Arial" w:cs="Arial" w:hint="eastAsia"/>
          <w:color w:val="404040"/>
          <w:szCs w:val="21"/>
          <w:shd w:val="clear" w:color="auto" w:fill="FFFFFF"/>
        </w:rPr>
        <w:t>/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A</w:t>
      </w:r>
      <w:r w:rsidR="00F032E3">
        <w:rPr>
          <w:rFonts w:ascii="Arial" w:hAnsi="Arial" w:cs="Arial" w:hint="eastAsia"/>
          <w:color w:val="404040"/>
          <w:szCs w:val="21"/>
          <w:shd w:val="clear" w:color="auto" w:fill="FFFFFF"/>
        </w:rPr>
        <w:t>显示旗下的</w:t>
      </w:r>
      <w:r w:rsidR="00F032E3"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黄河投资</w:t>
      </w:r>
      <w:r w:rsidR="00F032E3"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(Huang River Investment Limited)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增持了特斯拉股票至</w:t>
      </w:r>
      <w:r w:rsidR="00F032E3" w:rsidRPr="00F032E3">
        <w:rPr>
          <w:rFonts w:ascii="Arial" w:hAnsi="Arial" w:cs="Arial"/>
          <w:color w:val="404040"/>
          <w:szCs w:val="21"/>
          <w:shd w:val="clear" w:color="auto" w:fill="FFFFFF"/>
        </w:rPr>
        <w:t>8,337,594</w:t>
      </w:r>
      <w:r w:rsidR="00F032E3">
        <w:rPr>
          <w:rFonts w:ascii="Arial" w:hAnsi="Arial" w:cs="Arial"/>
          <w:color w:val="404040"/>
          <w:szCs w:val="21"/>
          <w:shd w:val="clear" w:color="auto" w:fill="FFFFFF"/>
        </w:rPr>
        <w:t>股</w:t>
      </w:r>
      <w:r w:rsidR="00F032E3">
        <w:rPr>
          <w:rFonts w:ascii="Arial" w:hAnsi="Arial" w:cs="Arial" w:hint="eastAsia"/>
          <w:color w:val="404040"/>
          <w:szCs w:val="21"/>
          <w:shd w:val="clear" w:color="auto" w:fill="FFFFFF"/>
        </w:rPr>
        <w:t>，同时旗下另一家投资实体</w:t>
      </w:r>
      <w:r w:rsidR="00F032E3">
        <w:rPr>
          <w:rFonts w:ascii="Times New Roman" w:hAnsi="Times New Roman" w:cs="Times New Roman"/>
          <w:color w:val="000000"/>
          <w:sz w:val="20"/>
          <w:szCs w:val="20"/>
        </w:rPr>
        <w:t>THL E Limited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也购进了</w:t>
      </w:r>
      <w:r w:rsidR="00F74DC9" w:rsidRPr="00F74DC9">
        <w:rPr>
          <w:rFonts w:ascii="Times New Roman" w:hAnsi="Times New Roman" w:cs="Times New Roman"/>
          <w:color w:val="000000"/>
          <w:sz w:val="20"/>
          <w:szCs w:val="20"/>
        </w:rPr>
        <w:t>9,500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股特斯拉股票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。两者合计显示</w:t>
      </w:r>
      <w:proofErr w:type="gramStart"/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腾讯共</w:t>
      </w:r>
      <w:proofErr w:type="gramEnd"/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持有特斯拉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8,347,094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股股票</w:t>
      </w:r>
      <w:r w:rsidR="001711CA">
        <w:rPr>
          <w:rFonts w:ascii="Times New Roman" w:hAnsi="Times New Roman" w:cs="Times New Roman" w:hint="eastAsia"/>
          <w:color w:val="000000"/>
          <w:sz w:val="20"/>
          <w:szCs w:val="20"/>
        </w:rPr>
        <w:t>，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比上一次披露时增加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F74DC9" w:rsidRPr="00F74DC9">
        <w:rPr>
          <w:rFonts w:ascii="宋体" w:eastAsia="宋体" w:hAnsi="宋体" w:cs="宋体" w:hint="eastAsia"/>
          <w:color w:val="000000"/>
          <w:kern w:val="0"/>
          <w:sz w:val="22"/>
        </w:rPr>
        <w:t>179,550</w:t>
      </w:r>
      <w:r w:rsidR="00F74DC9">
        <w:rPr>
          <w:rFonts w:ascii="宋体" w:eastAsia="宋体" w:hAnsi="宋体" w:cs="宋体" w:hint="eastAsia"/>
          <w:color w:val="000000"/>
          <w:kern w:val="0"/>
          <w:sz w:val="22"/>
        </w:rPr>
        <w:t>股，持仓量增加2</w:t>
      </w:r>
      <w:r w:rsidR="00F74DC9">
        <w:rPr>
          <w:rFonts w:ascii="宋体" w:eastAsia="宋体" w:hAnsi="宋体" w:cs="宋体"/>
          <w:color w:val="000000"/>
          <w:kern w:val="0"/>
          <w:sz w:val="22"/>
        </w:rPr>
        <w:t>.2</w:t>
      </w:r>
      <w:r w:rsidR="00F74DC9">
        <w:rPr>
          <w:rFonts w:ascii="宋体" w:eastAsia="宋体" w:hAnsi="宋体" w:cs="宋体" w:hint="eastAsia"/>
          <w:color w:val="000000"/>
          <w:kern w:val="0"/>
          <w:sz w:val="22"/>
        </w:rPr>
        <w:t>%。</w:t>
      </w:r>
      <w:r w:rsidR="00F74DC9">
        <w:rPr>
          <w:rFonts w:ascii="宋体" w:eastAsia="宋体" w:hAnsi="宋体" w:cs="宋体"/>
          <w:color w:val="000000"/>
          <w:kern w:val="0"/>
          <w:sz w:val="22"/>
        </w:rPr>
        <w:t>但是由于特斯拉在</w:t>
      </w:r>
      <w:r w:rsidR="00F74DC9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 w:rsidR="00F74DC9">
        <w:rPr>
          <w:rFonts w:ascii="宋体" w:eastAsia="宋体" w:hAnsi="宋体" w:cs="宋体"/>
          <w:color w:val="000000"/>
          <w:kern w:val="0"/>
          <w:sz w:val="22"/>
        </w:rPr>
        <w:t>017年和</w:t>
      </w:r>
      <w:r w:rsidR="00F74DC9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 w:rsidR="00F74DC9">
        <w:rPr>
          <w:rFonts w:ascii="宋体" w:eastAsia="宋体" w:hAnsi="宋体" w:cs="宋体"/>
          <w:color w:val="000000"/>
          <w:kern w:val="0"/>
          <w:sz w:val="22"/>
        </w:rPr>
        <w:t>018年进行了几轮市场融资及并购</w:t>
      </w:r>
      <w:r w:rsidR="00F74DC9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F74DC9">
        <w:rPr>
          <w:rFonts w:ascii="宋体" w:eastAsia="宋体" w:hAnsi="宋体" w:cs="宋体"/>
          <w:color w:val="000000"/>
          <w:kern w:val="0"/>
          <w:sz w:val="22"/>
        </w:rPr>
        <w:t>总流通股上升至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168,067,395 </w:t>
      </w:r>
      <w:r w:rsidR="00D64CBC">
        <w:rPr>
          <w:rFonts w:ascii="Times New Roman" w:hAnsi="Times New Roman" w:cs="Times New Roman"/>
          <w:color w:val="000000"/>
          <w:sz w:val="20"/>
          <w:szCs w:val="20"/>
        </w:rPr>
        <w:t>股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，提升了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3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.1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%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，</w:t>
      </w:r>
      <w:proofErr w:type="gramStart"/>
      <w:r w:rsidR="00F74DC9">
        <w:rPr>
          <w:rFonts w:ascii="Times New Roman" w:hAnsi="Times New Roman" w:cs="Times New Roman"/>
          <w:color w:val="000000"/>
          <w:sz w:val="20"/>
          <w:szCs w:val="20"/>
        </w:rPr>
        <w:t>因此腾讯的</w:t>
      </w:r>
      <w:proofErr w:type="gramEnd"/>
      <w:r w:rsidR="00F74DC9">
        <w:rPr>
          <w:rFonts w:ascii="Times New Roman" w:hAnsi="Times New Roman" w:cs="Times New Roman"/>
          <w:color w:val="000000"/>
          <w:sz w:val="20"/>
          <w:szCs w:val="20"/>
        </w:rPr>
        <w:t>持股比例</w:t>
      </w:r>
      <w:r w:rsidR="001711CA">
        <w:rPr>
          <w:rFonts w:ascii="Times New Roman" w:hAnsi="Times New Roman" w:cs="Times New Roman"/>
          <w:color w:val="000000"/>
          <w:sz w:val="20"/>
          <w:szCs w:val="20"/>
        </w:rPr>
        <w:t>被稀释</w:t>
      </w:r>
      <w:r w:rsidR="001711CA">
        <w:rPr>
          <w:rFonts w:ascii="Times New Roman" w:hAnsi="Times New Roman" w:cs="Times New Roman" w:hint="eastAsia"/>
          <w:color w:val="000000"/>
          <w:sz w:val="20"/>
          <w:szCs w:val="20"/>
        </w:rPr>
        <w:t>，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下降至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4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.97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%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，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低于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5%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的披露线。并且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在</w:t>
      </w:r>
      <w:r w:rsidR="00F74DC9">
        <w:rPr>
          <w:rFonts w:ascii="Times New Roman" w:hAnsi="Times New Roman" w:cs="Times New Roman" w:hint="eastAsia"/>
          <w:color w:val="000000"/>
          <w:sz w:val="20"/>
          <w:szCs w:val="20"/>
        </w:rPr>
        <w:t>2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018</w:t>
      </w:r>
      <w:r w:rsidR="00F74DC9">
        <w:rPr>
          <w:rFonts w:ascii="Times New Roman" w:hAnsi="Times New Roman" w:cs="Times New Roman"/>
          <w:color w:val="000000"/>
          <w:sz w:val="20"/>
          <w:szCs w:val="20"/>
        </w:rPr>
        <w:t>年</w:t>
      </w:r>
      <w:r w:rsidR="00D64CBC">
        <w:rPr>
          <w:rFonts w:ascii="Times New Roman" w:hAnsi="Times New Roman" w:cs="Times New Roman"/>
          <w:color w:val="000000"/>
          <w:sz w:val="20"/>
          <w:szCs w:val="20"/>
        </w:rPr>
        <w:t>以后</w:t>
      </w:r>
      <w:r w:rsidR="00D64CBC">
        <w:rPr>
          <w:rFonts w:ascii="Times New Roman" w:hAnsi="Times New Roman" w:cs="Times New Roman" w:hint="eastAsia"/>
          <w:color w:val="000000"/>
          <w:sz w:val="20"/>
          <w:szCs w:val="20"/>
        </w:rPr>
        <w:t>这一</w:t>
      </w:r>
      <w:r w:rsidR="00D64CBC">
        <w:rPr>
          <w:rFonts w:ascii="Times New Roman" w:hAnsi="Times New Roman" w:cs="Times New Roman"/>
          <w:color w:val="000000"/>
          <w:sz w:val="20"/>
          <w:szCs w:val="20"/>
        </w:rPr>
        <w:t>比例再也没突破过</w:t>
      </w:r>
      <w:r w:rsidR="00D64CBC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="00D64CBC">
        <w:rPr>
          <w:rFonts w:ascii="Times New Roman" w:hAnsi="Times New Roman" w:cs="Times New Roman" w:hint="eastAsia"/>
          <w:color w:val="000000"/>
          <w:sz w:val="20"/>
          <w:szCs w:val="20"/>
        </w:rPr>
        <w:t>%</w:t>
      </w:r>
      <w:r w:rsidR="00D64CBC">
        <w:rPr>
          <w:rFonts w:ascii="Times New Roman" w:hAnsi="Times New Roman" w:cs="Times New Roman" w:hint="eastAsia"/>
          <w:color w:val="000000"/>
          <w:sz w:val="20"/>
          <w:szCs w:val="20"/>
        </w:rPr>
        <w:t>。所以公开市场上</w:t>
      </w:r>
      <w:r w:rsidR="00FE00FA">
        <w:rPr>
          <w:rFonts w:ascii="Times New Roman" w:hAnsi="Times New Roman" w:cs="Times New Roman" w:hint="eastAsia"/>
          <w:color w:val="000000"/>
          <w:sz w:val="20"/>
          <w:szCs w:val="20"/>
        </w:rPr>
        <w:t>再</w:t>
      </w:r>
      <w:r w:rsidR="00D64CBC">
        <w:rPr>
          <w:rFonts w:ascii="Times New Roman" w:hAnsi="Times New Roman" w:cs="Times New Roman" w:hint="eastAsia"/>
          <w:color w:val="000000"/>
          <w:sz w:val="20"/>
          <w:szCs w:val="20"/>
        </w:rPr>
        <w:t>也无法</w:t>
      </w:r>
      <w:proofErr w:type="gramStart"/>
      <w:r w:rsidR="00D64CBC">
        <w:rPr>
          <w:rFonts w:ascii="Times New Roman" w:hAnsi="Times New Roman" w:cs="Times New Roman" w:hint="eastAsia"/>
          <w:color w:val="000000"/>
          <w:sz w:val="20"/>
          <w:szCs w:val="20"/>
        </w:rPr>
        <w:t>获取腾讯在</w:t>
      </w:r>
      <w:proofErr w:type="gramEnd"/>
      <w:r w:rsidR="00D64CBC">
        <w:rPr>
          <w:rFonts w:ascii="Times New Roman" w:hAnsi="Times New Roman" w:cs="Times New Roman" w:hint="eastAsia"/>
          <w:color w:val="000000"/>
          <w:sz w:val="20"/>
          <w:szCs w:val="20"/>
        </w:rPr>
        <w:t>特斯拉的持仓量数据。</w:t>
      </w:r>
      <w:r w:rsidR="00110CA5">
        <w:rPr>
          <w:rFonts w:ascii="Times New Roman" w:hAnsi="Times New Roman" w:cs="Times New Roman" w:hint="eastAsia"/>
          <w:color w:val="000000"/>
          <w:sz w:val="20"/>
          <w:szCs w:val="20"/>
        </w:rPr>
        <w:t>这</w:t>
      </w:r>
      <w:proofErr w:type="gramStart"/>
      <w:r w:rsidR="00110CA5">
        <w:rPr>
          <w:rFonts w:ascii="Times New Roman" w:hAnsi="Times New Roman" w:cs="Times New Roman" w:hint="eastAsia"/>
          <w:color w:val="000000"/>
          <w:sz w:val="20"/>
          <w:szCs w:val="20"/>
        </w:rPr>
        <w:t>也是</w:t>
      </w:r>
      <w:r w:rsidR="00110CA5">
        <w:rPr>
          <w:rFonts w:ascii="宋体" w:eastAsia="宋体" w:hAnsi="宋体" w:cs="宋体" w:hint="eastAsia"/>
          <w:color w:val="000000"/>
          <w:kern w:val="0"/>
          <w:sz w:val="22"/>
        </w:rPr>
        <w:t>腾讯在</w:t>
      </w:r>
      <w:proofErr w:type="gramEnd"/>
      <w:r w:rsidR="00110CA5">
        <w:rPr>
          <w:rFonts w:ascii="宋体" w:eastAsia="宋体" w:hAnsi="宋体" w:cs="宋体" w:hint="eastAsia"/>
          <w:color w:val="000000"/>
          <w:kern w:val="0"/>
          <w:sz w:val="22"/>
        </w:rPr>
        <w:t>特斯拉投资提交过</w:t>
      </w:r>
      <w:r w:rsidR="00110CA5">
        <w:rPr>
          <w:rFonts w:ascii="宋体" w:eastAsia="宋体" w:hAnsi="宋体" w:cs="宋体" w:hint="eastAsia"/>
          <w:color w:val="000000"/>
          <w:kern w:val="0"/>
          <w:sz w:val="22"/>
        </w:rPr>
        <w:t>两次</w:t>
      </w:r>
      <w:r w:rsidR="00110CA5">
        <w:rPr>
          <w:rFonts w:ascii="Arial" w:hAnsi="Arial" w:cs="Arial" w:hint="eastAsia"/>
          <w:color w:val="404040"/>
          <w:szCs w:val="21"/>
          <w:shd w:val="clear" w:color="auto" w:fill="FFFFFF"/>
        </w:rPr>
        <w:t>Schedule</w:t>
      </w:r>
      <w:r w:rsidR="00110CA5">
        <w:rPr>
          <w:rFonts w:ascii="Arial" w:hAnsi="Arial" w:cs="Arial"/>
          <w:color w:val="404040"/>
          <w:szCs w:val="21"/>
          <w:shd w:val="clear" w:color="auto" w:fill="FFFFFF"/>
        </w:rPr>
        <w:t>13G</w:t>
      </w:r>
      <w:r w:rsidR="00110CA5">
        <w:rPr>
          <w:rFonts w:ascii="Arial" w:hAnsi="Arial" w:cs="Arial" w:hint="eastAsia"/>
          <w:color w:val="404040"/>
          <w:szCs w:val="21"/>
          <w:shd w:val="clear" w:color="auto" w:fill="FFFFFF"/>
        </w:rPr>
        <w:t>/</w:t>
      </w:r>
      <w:r w:rsidR="00110CA5">
        <w:rPr>
          <w:rFonts w:ascii="Arial" w:hAnsi="Arial" w:cs="Arial"/>
          <w:color w:val="404040"/>
          <w:szCs w:val="21"/>
          <w:shd w:val="clear" w:color="auto" w:fill="FFFFFF"/>
        </w:rPr>
        <w:t>A</w:t>
      </w:r>
    </w:p>
    <w:p w:rsidR="00F74DC9" w:rsidRDefault="00F74DC9" w:rsidP="001711CA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711CA" w:rsidRPr="001711CA" w:rsidRDefault="001711CA" w:rsidP="001711CA">
      <w:pPr>
        <w:rPr>
          <w:rFonts w:ascii="Arial" w:hAnsi="Arial" w:cs="Arial" w:hint="eastAsia"/>
          <w:color w:val="404040"/>
          <w:szCs w:val="21"/>
          <w:shd w:val="clear" w:color="auto" w:fill="FFFFFF"/>
        </w:rPr>
      </w:pPr>
    </w:p>
    <w:p w:rsidR="00D64CBC" w:rsidRDefault="00D64CBC" w:rsidP="00F74DC9">
      <w:pPr>
        <w:widowControl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根据</w:t>
      </w:r>
      <w:r w:rsidR="00921FA8">
        <w:rPr>
          <w:rFonts w:ascii="Times New Roman" w:hAnsi="Times New Roman" w:cs="Times New Roman" w:hint="eastAsia"/>
          <w:color w:val="000000"/>
          <w:sz w:val="20"/>
          <w:szCs w:val="20"/>
        </w:rPr>
        <w:t>Yahoo</w:t>
      </w:r>
      <w:r w:rsidR="00921FA8">
        <w:rPr>
          <w:rFonts w:ascii="Times New Roman" w:hAnsi="Times New Roman" w:cs="Times New Roman"/>
          <w:color w:val="000000"/>
          <w:sz w:val="20"/>
          <w:szCs w:val="20"/>
        </w:rPr>
        <w:t xml:space="preserve"> finance</w:t>
      </w:r>
      <w:r w:rsidR="00921FA8">
        <w:rPr>
          <w:rFonts w:ascii="Times New Roman" w:hAnsi="Times New Roman" w:cs="Times New Roman" w:hint="eastAsia"/>
          <w:color w:val="000000"/>
          <w:sz w:val="20"/>
          <w:szCs w:val="20"/>
        </w:rPr>
        <w:t>2</w:t>
      </w:r>
      <w:r w:rsidR="00921FA8">
        <w:rPr>
          <w:rFonts w:ascii="Times New Roman" w:hAnsi="Times New Roman" w:cs="Times New Roman"/>
          <w:color w:val="000000"/>
          <w:sz w:val="20"/>
          <w:szCs w:val="20"/>
        </w:rPr>
        <w:t>019</w:t>
      </w:r>
      <w:r w:rsidR="00921FA8">
        <w:rPr>
          <w:rFonts w:ascii="Times New Roman" w:hAnsi="Times New Roman" w:cs="Times New Roman"/>
          <w:color w:val="000000"/>
          <w:sz w:val="20"/>
          <w:szCs w:val="20"/>
        </w:rPr>
        <w:t>年</w:t>
      </w:r>
      <w:r w:rsidR="00921FA8">
        <w:rPr>
          <w:rFonts w:ascii="Times New Roman" w:hAnsi="Times New Roman" w:cs="Times New Roman"/>
          <w:color w:val="000000"/>
          <w:sz w:val="20"/>
          <w:szCs w:val="20"/>
        </w:rPr>
        <w:t>12</w:t>
      </w:r>
      <w:r w:rsidR="00921FA8">
        <w:rPr>
          <w:rFonts w:ascii="Times New Roman" w:hAnsi="Times New Roman" w:cs="Times New Roman"/>
          <w:color w:val="000000"/>
          <w:sz w:val="20"/>
          <w:szCs w:val="20"/>
        </w:rPr>
        <w:t>月</w:t>
      </w:r>
      <w:r w:rsidR="00921FA8">
        <w:rPr>
          <w:rFonts w:ascii="Times New Roman" w:hAnsi="Times New Roman" w:cs="Times New Roman" w:hint="eastAsia"/>
          <w:color w:val="000000"/>
          <w:sz w:val="20"/>
          <w:szCs w:val="20"/>
        </w:rPr>
        <w:t>3</w:t>
      </w:r>
      <w:r w:rsidR="00921FA8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921FA8">
        <w:rPr>
          <w:rFonts w:ascii="Times New Roman" w:hAnsi="Times New Roman" w:cs="Times New Roman"/>
          <w:color w:val="000000"/>
          <w:sz w:val="20"/>
          <w:szCs w:val="20"/>
        </w:rPr>
        <w:t>日数据</w:t>
      </w:r>
      <w:r w:rsidR="00921FA8">
        <w:rPr>
          <w:rFonts w:ascii="Times New Roman" w:hAnsi="Times New Roman" w:cs="Times New Roman" w:hint="eastAsia"/>
          <w:color w:val="000000"/>
          <w:sz w:val="20"/>
          <w:szCs w:val="20"/>
        </w:rPr>
        <w:t>，特斯拉排名前十的机构股东名单：</w:t>
      </w:r>
    </w:p>
    <w:tbl>
      <w:tblPr>
        <w:tblW w:w="6240" w:type="dxa"/>
        <w:tblInd w:w="-5" w:type="dxa"/>
        <w:tblLook w:val="04A0" w:firstRow="1" w:lastRow="0" w:firstColumn="1" w:lastColumn="0" w:noHBand="0" w:noVBand="1"/>
      </w:tblPr>
      <w:tblGrid>
        <w:gridCol w:w="2500"/>
        <w:gridCol w:w="1017"/>
        <w:gridCol w:w="1120"/>
        <w:gridCol w:w="670"/>
        <w:gridCol w:w="1240"/>
      </w:tblGrid>
      <w:tr w:rsidR="00921FA8" w:rsidRPr="00921FA8" w:rsidTr="00921FA8">
        <w:trPr>
          <w:trHeight w:val="372"/>
        </w:trPr>
        <w:tc>
          <w:tcPr>
            <w:tcW w:w="2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Holder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Shares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Date Reported</w:t>
            </w:r>
          </w:p>
        </w:tc>
        <w:tc>
          <w:tcPr>
            <w:tcW w:w="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% Out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FF"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</w:pPr>
            <w:r w:rsidRPr="00921FA8">
              <w:rPr>
                <w:rFonts w:ascii="Arial" w:eastAsia="宋体" w:hAnsi="Arial" w:cs="Arial"/>
                <w:b/>
                <w:bCs/>
                <w:color w:val="5B636A"/>
                <w:kern w:val="0"/>
                <w:sz w:val="14"/>
                <w:szCs w:val="14"/>
              </w:rPr>
              <w:t>Value</w:t>
            </w:r>
          </w:p>
        </w:tc>
      </w:tr>
      <w:tr w:rsidR="00921FA8" w:rsidRPr="00921FA8" w:rsidTr="00921FA8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Baillie Gifford and Company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13,826,979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7.62%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5,784,240,125</w:t>
            </w:r>
          </w:p>
        </w:tc>
      </w:tr>
      <w:tr w:rsidR="00921FA8" w:rsidRPr="00921FA8" w:rsidTr="00921FA8">
        <w:trPr>
          <w:trHeight w:val="372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Capital World Investors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10,694,412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5.90%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4,473,793,371</w:t>
            </w:r>
          </w:p>
        </w:tc>
      </w:tr>
      <w:tr w:rsidR="00921FA8" w:rsidRPr="00921FA8" w:rsidTr="00921FA8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Vanguard Group, Inc. (The)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8,405,321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4.64%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3,516,197,933</w:t>
            </w:r>
          </w:p>
        </w:tc>
      </w:tr>
      <w:tr w:rsidR="00921FA8" w:rsidRPr="00921FA8" w:rsidTr="00921FA8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Blackrock Inc.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6,705,855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3.70%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2,805,260,322</w:t>
            </w:r>
          </w:p>
        </w:tc>
      </w:tr>
      <w:tr w:rsidR="00921FA8" w:rsidRPr="00921FA8" w:rsidTr="00921FA8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FMR, LLC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5,272,261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2.91%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2,205,544,944</w:t>
            </w:r>
          </w:p>
        </w:tc>
      </w:tr>
      <w:tr w:rsidR="00921FA8" w:rsidRPr="00921FA8" w:rsidTr="00921FA8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Renaissance Technologies, LLC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3,938,142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2.17%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1,647,442,942</w:t>
            </w:r>
          </w:p>
        </w:tc>
      </w:tr>
      <w:tr w:rsidR="00921FA8" w:rsidRPr="00921FA8" w:rsidTr="00921FA8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Jennison Associates LLC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3,911,886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2.16%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1,636,459,270</w:t>
            </w:r>
          </w:p>
        </w:tc>
      </w:tr>
      <w:tr w:rsidR="00921FA8" w:rsidRPr="00921FA8" w:rsidTr="00921FA8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State Street Corporation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2,995,206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1.65%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1,252,984,525</w:t>
            </w:r>
          </w:p>
        </w:tc>
      </w:tr>
      <w:tr w:rsidR="00921FA8" w:rsidRPr="00921FA8" w:rsidTr="00921FA8">
        <w:trPr>
          <w:trHeight w:val="300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JP Morgan Chase &amp; Company</w:t>
            </w:r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2,537,599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1.40%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4" w:space="0" w:color="95B3D7"/>
              <w:right w:val="nil"/>
            </w:tcBorders>
            <w:shd w:val="clear" w:color="000000" w:fill="FFFF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1,061,553,789</w:t>
            </w:r>
          </w:p>
        </w:tc>
      </w:tr>
      <w:tr w:rsidR="00921FA8" w:rsidRPr="00921FA8" w:rsidTr="00921FA8">
        <w:trPr>
          <w:trHeight w:val="288"/>
        </w:trPr>
        <w:tc>
          <w:tcPr>
            <w:tcW w:w="2500" w:type="dxa"/>
            <w:tcBorders>
              <w:top w:val="single" w:sz="8" w:space="0" w:color="E0E4E9"/>
              <w:left w:val="single" w:sz="4" w:space="0" w:color="95B3D7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Price (</w:t>
            </w:r>
            <w:proofErr w:type="spellStart"/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T.Rowe</w:t>
            </w:r>
            <w:proofErr w:type="spellEnd"/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) Associates </w:t>
            </w:r>
            <w:proofErr w:type="spellStart"/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Inc</w:t>
            </w:r>
            <w:proofErr w:type="spellEnd"/>
          </w:p>
        </w:tc>
        <w:tc>
          <w:tcPr>
            <w:tcW w:w="920" w:type="dxa"/>
            <w:tcBorders>
              <w:top w:val="single" w:sz="8" w:space="0" w:color="E0E4E9"/>
              <w:left w:val="nil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1,715,603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30-Dec-19</w:t>
            </w:r>
          </w:p>
        </w:tc>
        <w:tc>
          <w:tcPr>
            <w:tcW w:w="580" w:type="dxa"/>
            <w:tcBorders>
              <w:top w:val="single" w:sz="8" w:space="0" w:color="E0E4E9"/>
              <w:left w:val="nil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0.95%</w:t>
            </w:r>
          </w:p>
        </w:tc>
        <w:tc>
          <w:tcPr>
            <w:tcW w:w="1120" w:type="dxa"/>
            <w:tcBorders>
              <w:top w:val="single" w:sz="8" w:space="0" w:color="E0E4E9"/>
              <w:left w:val="nil"/>
              <w:bottom w:val="single" w:sz="8" w:space="0" w:color="E0E4E9"/>
              <w:right w:val="nil"/>
            </w:tcBorders>
            <w:shd w:val="clear" w:color="000000" w:fill="E0F0FF"/>
            <w:noWrap/>
            <w:vAlign w:val="center"/>
            <w:hideMark/>
          </w:tcPr>
          <w:p w:rsidR="00921FA8" w:rsidRPr="00921FA8" w:rsidRDefault="00921FA8" w:rsidP="00921FA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21FA8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717,688,202</w:t>
            </w:r>
          </w:p>
        </w:tc>
      </w:tr>
    </w:tbl>
    <w:p w:rsidR="00921FA8" w:rsidRPr="00F74DC9" w:rsidRDefault="00921FA8" w:rsidP="00F74DC9">
      <w:pPr>
        <w:widowControl/>
        <w:rPr>
          <w:rFonts w:ascii="Times New Roman" w:hAnsi="Times New Roman" w:cs="Times New Roman"/>
          <w:color w:val="000000"/>
          <w:sz w:val="20"/>
          <w:szCs w:val="20"/>
        </w:rPr>
      </w:pPr>
    </w:p>
    <w:p w:rsidR="00C1615D" w:rsidRDefault="001711CA" w:rsidP="00C1615D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Arial" w:hAnsi="Arial" w:cs="Arial" w:hint="eastAsia"/>
          <w:color w:val="404040"/>
          <w:szCs w:val="21"/>
          <w:shd w:val="clear" w:color="auto" w:fill="FFFFFF"/>
        </w:rPr>
        <w:t>从上表中我们</w:t>
      </w:r>
      <w:proofErr w:type="gramStart"/>
      <w:r w:rsidR="00921FA8">
        <w:rPr>
          <w:rFonts w:ascii="Arial" w:hAnsi="Arial" w:cs="Arial" w:hint="eastAsia"/>
          <w:color w:val="404040"/>
          <w:szCs w:val="21"/>
          <w:shd w:val="clear" w:color="auto" w:fill="FFFFFF"/>
        </w:rPr>
        <w:t>看不到腾讯的</w:t>
      </w:r>
      <w:proofErr w:type="gramEnd"/>
      <w:r w:rsidR="00921FA8">
        <w:rPr>
          <w:rFonts w:ascii="Arial" w:hAnsi="Arial" w:cs="Arial" w:hint="eastAsia"/>
          <w:color w:val="404040"/>
          <w:szCs w:val="21"/>
          <w:shd w:val="clear" w:color="auto" w:fill="FFFFFF"/>
        </w:rPr>
        <w:t>身影，如果</w:t>
      </w:r>
      <w:proofErr w:type="gramStart"/>
      <w:r w:rsidR="00921FA8">
        <w:rPr>
          <w:rFonts w:ascii="Arial" w:hAnsi="Arial" w:cs="Arial" w:hint="eastAsia"/>
          <w:color w:val="404040"/>
          <w:szCs w:val="21"/>
          <w:shd w:val="clear" w:color="auto" w:fill="FFFFFF"/>
        </w:rPr>
        <w:t>以腾讯</w:t>
      </w:r>
      <w:proofErr w:type="gramEnd"/>
      <w:r w:rsidR="00921FA8">
        <w:rPr>
          <w:rFonts w:ascii="Arial" w:hAnsi="Arial" w:cs="Arial" w:hint="eastAsia"/>
          <w:color w:val="404040"/>
          <w:szCs w:val="21"/>
          <w:shd w:val="clear" w:color="auto" w:fill="FFFFFF"/>
        </w:rPr>
        <w:t>2</w:t>
      </w:r>
      <w:r w:rsidR="00921FA8">
        <w:rPr>
          <w:rFonts w:ascii="Arial" w:hAnsi="Arial" w:cs="Arial"/>
          <w:color w:val="404040"/>
          <w:szCs w:val="21"/>
          <w:shd w:val="clear" w:color="auto" w:fill="FFFFFF"/>
        </w:rPr>
        <w:t>018</w:t>
      </w:r>
      <w:r w:rsidR="00921FA8">
        <w:rPr>
          <w:rFonts w:ascii="Arial" w:hAnsi="Arial" w:cs="Arial"/>
          <w:color w:val="404040"/>
          <w:szCs w:val="21"/>
          <w:shd w:val="clear" w:color="auto" w:fill="FFFFFF"/>
        </w:rPr>
        <w:t>年</w:t>
      </w:r>
      <w:r w:rsidR="00921FA8">
        <w:rPr>
          <w:rFonts w:ascii="Arial" w:hAnsi="Arial" w:cs="Arial" w:hint="eastAsia"/>
          <w:color w:val="404040"/>
          <w:szCs w:val="21"/>
          <w:shd w:val="clear" w:color="auto" w:fill="FFFFFF"/>
        </w:rPr>
        <w:t>2</w:t>
      </w:r>
      <w:r w:rsidR="00921FA8">
        <w:rPr>
          <w:rFonts w:ascii="Arial" w:hAnsi="Arial" w:cs="Arial" w:hint="eastAsia"/>
          <w:color w:val="404040"/>
          <w:szCs w:val="21"/>
          <w:shd w:val="clear" w:color="auto" w:fill="FFFFFF"/>
        </w:rPr>
        <w:t>月最后一次披露的</w:t>
      </w:r>
      <w:r w:rsidR="00921FA8" w:rsidRPr="00921FA8">
        <w:rPr>
          <w:rFonts w:ascii="宋体" w:eastAsia="宋体" w:hAnsi="宋体" w:cs="宋体" w:hint="eastAsia"/>
          <w:color w:val="000000"/>
          <w:kern w:val="0"/>
          <w:sz w:val="22"/>
        </w:rPr>
        <w:t>8,347,094</w:t>
      </w:r>
      <w:r w:rsidR="00921FA8">
        <w:rPr>
          <w:rFonts w:ascii="宋体" w:eastAsia="宋体" w:hAnsi="宋体" w:cs="宋体" w:hint="eastAsia"/>
          <w:color w:val="000000"/>
          <w:kern w:val="0"/>
          <w:sz w:val="22"/>
        </w:rPr>
        <w:t xml:space="preserve">股来计算， </w:t>
      </w:r>
      <w:proofErr w:type="gramStart"/>
      <w:r w:rsidR="00921FA8">
        <w:rPr>
          <w:rFonts w:ascii="宋体" w:eastAsia="宋体" w:hAnsi="宋体" w:cs="宋体" w:hint="eastAsia"/>
          <w:color w:val="000000"/>
          <w:kern w:val="0"/>
          <w:sz w:val="22"/>
        </w:rPr>
        <w:t>腾讯可以</w:t>
      </w:r>
      <w:proofErr w:type="gramEnd"/>
      <w:r w:rsidR="00921FA8">
        <w:rPr>
          <w:rFonts w:ascii="宋体" w:eastAsia="宋体" w:hAnsi="宋体" w:cs="宋体" w:hint="eastAsia"/>
          <w:color w:val="000000"/>
          <w:kern w:val="0"/>
          <w:sz w:val="22"/>
        </w:rPr>
        <w:t>排到机构股东第四。</w:t>
      </w:r>
      <w:proofErr w:type="gramStart"/>
      <w:r w:rsidR="00921FA8">
        <w:rPr>
          <w:rFonts w:ascii="宋体" w:eastAsia="宋体" w:hAnsi="宋体" w:cs="宋体" w:hint="eastAsia"/>
          <w:color w:val="000000"/>
          <w:kern w:val="0"/>
          <w:sz w:val="22"/>
        </w:rPr>
        <w:t>腾讯不在</w:t>
      </w:r>
      <w:proofErr w:type="gramEnd"/>
      <w:r w:rsidR="00921FA8">
        <w:rPr>
          <w:rFonts w:ascii="宋体" w:eastAsia="宋体" w:hAnsi="宋体" w:cs="宋体" w:hint="eastAsia"/>
          <w:color w:val="000000"/>
          <w:kern w:val="0"/>
          <w:sz w:val="22"/>
        </w:rPr>
        <w:t>其中，是否说明</w:t>
      </w:r>
      <w:proofErr w:type="gramStart"/>
      <w:r w:rsidR="00921FA8">
        <w:rPr>
          <w:rFonts w:ascii="宋体" w:eastAsia="宋体" w:hAnsi="宋体" w:cs="宋体" w:hint="eastAsia"/>
          <w:color w:val="000000"/>
          <w:kern w:val="0"/>
          <w:sz w:val="22"/>
        </w:rPr>
        <w:t>腾讯已经</w:t>
      </w:r>
      <w:proofErr w:type="gramEnd"/>
      <w:r w:rsidR="00921FA8">
        <w:rPr>
          <w:rFonts w:ascii="宋体" w:eastAsia="宋体" w:hAnsi="宋体" w:cs="宋体" w:hint="eastAsia"/>
          <w:color w:val="000000"/>
          <w:kern w:val="0"/>
          <w:sz w:val="22"/>
        </w:rPr>
        <w:t>清空了特斯拉股票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如果考虑到特斯拉1</w:t>
      </w:r>
      <w:r w:rsidR="00C1615D">
        <w:rPr>
          <w:rFonts w:ascii="宋体" w:eastAsia="宋体" w:hAnsi="宋体" w:cs="宋体"/>
          <w:color w:val="000000"/>
          <w:kern w:val="0"/>
          <w:sz w:val="22"/>
        </w:rPr>
        <w:t>8</w:t>
      </w:r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,1</w:t>
      </w:r>
      <w:r w:rsidR="00C1615D">
        <w:rPr>
          <w:rFonts w:ascii="宋体" w:eastAsia="宋体" w:hAnsi="宋体" w:cs="宋体"/>
          <w:color w:val="000000"/>
          <w:kern w:val="0"/>
          <w:sz w:val="22"/>
        </w:rPr>
        <w:t>9年被</w:t>
      </w:r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资本市场普遍看空，</w:t>
      </w:r>
      <w:r w:rsidR="00C1615D">
        <w:rPr>
          <w:rFonts w:ascii="宋体" w:eastAsia="宋体" w:hAnsi="宋体" w:cs="宋体"/>
          <w:color w:val="000000"/>
          <w:kern w:val="0"/>
          <w:sz w:val="22"/>
        </w:rPr>
        <w:t>经历产能地狱</w:t>
      </w:r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C1615D">
        <w:rPr>
          <w:rFonts w:ascii="宋体" w:eastAsia="宋体" w:hAnsi="宋体" w:cs="宋体"/>
          <w:color w:val="000000"/>
          <w:kern w:val="0"/>
          <w:sz w:val="22"/>
        </w:rPr>
        <w:t>股价低迷到</w:t>
      </w:r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="00C1615D">
        <w:rPr>
          <w:rFonts w:ascii="宋体" w:eastAsia="宋体" w:hAnsi="宋体" w:cs="宋体"/>
          <w:color w:val="000000"/>
          <w:kern w:val="0"/>
          <w:sz w:val="22"/>
        </w:rPr>
        <w:t>76美金以下的状况而言</w:t>
      </w:r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proofErr w:type="gramStart"/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腾讯出清</w:t>
      </w:r>
      <w:proofErr w:type="gramEnd"/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特斯拉股票也并非不合理。</w:t>
      </w:r>
      <w:r w:rsidR="00FE00FA">
        <w:rPr>
          <w:rFonts w:ascii="宋体" w:eastAsia="宋体" w:hAnsi="宋体" w:cs="宋体" w:hint="eastAsia"/>
          <w:color w:val="000000"/>
          <w:kern w:val="0"/>
          <w:sz w:val="22"/>
        </w:rPr>
        <w:t>但</w:t>
      </w:r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我们吃</w:t>
      </w:r>
      <w:proofErr w:type="gramStart"/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瓜群众</w:t>
      </w:r>
      <w:proofErr w:type="gramEnd"/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还是愿意相信一个胜利者的故事。</w:t>
      </w:r>
    </w:p>
    <w:p w:rsidR="001711CA" w:rsidRDefault="001711CA" w:rsidP="00C1615D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910C63" w:rsidRDefault="00C1615D" w:rsidP="00C1615D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公开市场没有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</w:rPr>
        <w:t>腾讯</w:t>
      </w:r>
      <w:r w:rsidR="00910C63">
        <w:rPr>
          <w:rFonts w:ascii="宋体" w:eastAsia="宋体" w:hAnsi="宋体" w:cs="宋体" w:hint="eastAsia"/>
          <w:color w:val="000000"/>
          <w:kern w:val="0"/>
          <w:sz w:val="22"/>
        </w:rPr>
        <w:t>主动</w:t>
      </w:r>
      <w:r>
        <w:rPr>
          <w:rFonts w:ascii="宋体" w:eastAsia="宋体" w:hAnsi="宋体" w:cs="宋体"/>
          <w:color w:val="000000"/>
          <w:kern w:val="0"/>
          <w:sz w:val="22"/>
        </w:rPr>
        <w:t>减</w:t>
      </w:r>
      <w:proofErr w:type="gramEnd"/>
      <w:r>
        <w:rPr>
          <w:rFonts w:ascii="宋体" w:eastAsia="宋体" w:hAnsi="宋体" w:cs="宋体"/>
          <w:color w:val="000000"/>
          <w:kern w:val="0"/>
          <w:sz w:val="22"/>
        </w:rPr>
        <w:t>持的消息</w:t>
      </w:r>
      <w:r w:rsidR="00910C63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:rsidR="00EC444D" w:rsidRPr="00EC444D" w:rsidRDefault="00910C63" w:rsidP="00C1615D">
      <w:pPr>
        <w:widowControl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上市公司和机构投资者向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美国证券交易委员会</w:t>
      </w:r>
      <w:r w:rsidRPr="0013262E">
        <w:rPr>
          <w:rFonts w:ascii="Arial" w:hAnsi="Arial" w:cs="Arial" w:hint="eastAsia"/>
          <w:color w:val="404040"/>
          <w:szCs w:val="21"/>
          <w:shd w:val="clear" w:color="auto" w:fill="FFFFFF"/>
        </w:rPr>
        <w:t>(SEC)</w:t>
      </w:r>
      <w:r w:rsidR="001711CA">
        <w:rPr>
          <w:rFonts w:ascii="Arial" w:hAnsi="Arial" w:cs="Arial" w:hint="eastAsia"/>
          <w:color w:val="404040"/>
          <w:szCs w:val="21"/>
          <w:shd w:val="clear" w:color="auto" w:fill="FFFFFF"/>
        </w:rPr>
        <w:t>的信息披露一直以来是资本市场了解信息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>的重要渠道。</w:t>
      </w:r>
      <w:r>
        <w:rPr>
          <w:rFonts w:ascii="Arial" w:hAnsi="Arial" w:cs="Arial" w:hint="eastAsia"/>
          <w:color w:val="404040"/>
          <w:szCs w:val="21"/>
          <w:shd w:val="clear" w:color="auto" w:fill="FFFFFF"/>
        </w:rPr>
        <w:t xml:space="preserve"> </w:t>
      </w:r>
      <w:r w:rsidR="00EC444D">
        <w:rPr>
          <w:rFonts w:ascii="Arial" w:hAnsi="Arial" w:cs="Arial" w:hint="eastAsia"/>
          <w:color w:val="404040"/>
          <w:szCs w:val="21"/>
          <w:shd w:val="clear" w:color="auto" w:fill="FFFFFF"/>
        </w:rPr>
        <w:t>这其中涉及到</w:t>
      </w:r>
      <w:r w:rsidR="00D557C0">
        <w:rPr>
          <w:rFonts w:ascii="Arial" w:hAnsi="Arial" w:cs="Arial" w:hint="eastAsia"/>
          <w:color w:val="404040"/>
          <w:szCs w:val="21"/>
          <w:shd w:val="clear" w:color="auto" w:fill="FFFFFF"/>
        </w:rPr>
        <w:t>机构投资者</w:t>
      </w:r>
      <w:r w:rsidR="001711CA">
        <w:rPr>
          <w:rFonts w:ascii="Arial" w:hAnsi="Arial" w:cs="Arial" w:hint="eastAsia"/>
          <w:color w:val="404040"/>
          <w:szCs w:val="21"/>
          <w:shd w:val="clear" w:color="auto" w:fill="FFFFFF"/>
        </w:rPr>
        <w:t>持股变动</w:t>
      </w:r>
      <w:r w:rsidR="00EC444D">
        <w:rPr>
          <w:rFonts w:ascii="Arial" w:hAnsi="Arial" w:cs="Arial" w:hint="eastAsia"/>
          <w:color w:val="404040"/>
          <w:szCs w:val="21"/>
          <w:shd w:val="clear" w:color="auto" w:fill="FFFFFF"/>
        </w:rPr>
        <w:t>重要的披露文件就是：</w:t>
      </w:r>
      <w:r w:rsidR="00EC444D" w:rsidRPr="00910C63">
        <w:rPr>
          <w:rFonts w:ascii="宋体" w:eastAsia="宋体" w:hAnsi="宋体" w:cs="宋体" w:hint="eastAsia"/>
          <w:color w:val="000000"/>
          <w:kern w:val="0"/>
          <w:sz w:val="22"/>
        </w:rPr>
        <w:t>Schedule13D</w:t>
      </w:r>
      <w:r w:rsidR="00EC444D">
        <w:rPr>
          <w:rFonts w:ascii="宋体" w:eastAsia="宋体" w:hAnsi="宋体" w:cs="宋体"/>
          <w:color w:val="000000"/>
          <w:kern w:val="0"/>
          <w:sz w:val="22"/>
        </w:rPr>
        <w:t>/</w:t>
      </w:r>
      <w:r w:rsidR="00EC444D" w:rsidRPr="00910C63">
        <w:rPr>
          <w:rFonts w:ascii="宋体" w:eastAsia="宋体" w:hAnsi="宋体" w:cs="宋体" w:hint="eastAsia"/>
          <w:color w:val="000000"/>
          <w:kern w:val="0"/>
          <w:sz w:val="22"/>
        </w:rPr>
        <w:t>G</w:t>
      </w:r>
      <w:r w:rsidR="00EC444D">
        <w:rPr>
          <w:rFonts w:ascii="宋体" w:eastAsia="宋体" w:hAnsi="宋体" w:cs="宋体"/>
          <w:color w:val="000000"/>
          <w:kern w:val="0"/>
          <w:sz w:val="22"/>
        </w:rPr>
        <w:t>/</w:t>
      </w:r>
      <w:r w:rsidR="00EC444D">
        <w:rPr>
          <w:rFonts w:ascii="宋体" w:eastAsia="宋体" w:hAnsi="宋体" w:cs="宋体" w:hint="eastAsia"/>
          <w:color w:val="000000"/>
          <w:kern w:val="0"/>
          <w:sz w:val="22"/>
        </w:rPr>
        <w:t>G</w:t>
      </w:r>
      <w:r w:rsidR="00EC444D" w:rsidRPr="00910C63"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="00EC444D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EC444D">
        <w:rPr>
          <w:rFonts w:ascii="Times New Roman" w:hAnsi="Times New Roman" w:cs="Times New Roman" w:hint="eastAsia"/>
          <w:color w:val="000000"/>
          <w:sz w:val="20"/>
          <w:szCs w:val="20"/>
        </w:rPr>
        <w:t>Form</w:t>
      </w:r>
      <w:r w:rsidR="00EC444D">
        <w:rPr>
          <w:rFonts w:ascii="Times New Roman" w:hAnsi="Times New Roman" w:cs="Times New Roman"/>
          <w:color w:val="000000"/>
          <w:sz w:val="20"/>
          <w:szCs w:val="20"/>
        </w:rPr>
        <w:t xml:space="preserve"> 13F</w:t>
      </w:r>
      <w:r w:rsidR="00EC444D">
        <w:rPr>
          <w:rFonts w:ascii="Times New Roman" w:hAnsi="Times New Roman" w:cs="Times New Roman" w:hint="eastAsia"/>
          <w:color w:val="000000"/>
          <w:sz w:val="20"/>
          <w:szCs w:val="20"/>
        </w:rPr>
        <w:t>。</w:t>
      </w:r>
    </w:p>
    <w:p w:rsidR="00FE00FA" w:rsidRDefault="00910C63" w:rsidP="00C1615D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910C63">
        <w:rPr>
          <w:rFonts w:ascii="宋体" w:eastAsia="宋体" w:hAnsi="宋体" w:cs="宋体" w:hint="eastAsia"/>
          <w:color w:val="000000"/>
          <w:kern w:val="0"/>
          <w:sz w:val="22"/>
        </w:rPr>
        <w:t>Schedule13D</w:t>
      </w:r>
      <w:r>
        <w:rPr>
          <w:rFonts w:ascii="宋体" w:eastAsia="宋体" w:hAnsi="宋体" w:cs="宋体"/>
          <w:color w:val="000000"/>
          <w:kern w:val="0"/>
          <w:sz w:val="22"/>
        </w:rPr>
        <w:t>/</w:t>
      </w:r>
      <w:r w:rsidRPr="00910C63">
        <w:rPr>
          <w:rFonts w:ascii="宋体" w:eastAsia="宋体" w:hAnsi="宋体" w:cs="宋体" w:hint="eastAsia"/>
          <w:color w:val="000000"/>
          <w:kern w:val="0"/>
          <w:sz w:val="22"/>
        </w:rPr>
        <w:t>G</w:t>
      </w:r>
      <w:r>
        <w:rPr>
          <w:rFonts w:ascii="宋体" w:eastAsia="宋体" w:hAnsi="宋体" w:cs="宋体"/>
          <w:color w:val="000000"/>
          <w:kern w:val="0"/>
          <w:sz w:val="22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G</w:t>
      </w:r>
      <w:r w:rsidRPr="00910C63"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="00EC444D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D557C0">
        <w:rPr>
          <w:rFonts w:ascii="宋体" w:eastAsia="宋体" w:hAnsi="宋体" w:cs="宋体" w:hint="eastAsia"/>
          <w:color w:val="000000"/>
          <w:kern w:val="0"/>
          <w:sz w:val="22"/>
        </w:rPr>
        <w:t>之前已经提到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腾讯</w:t>
      </w:r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因为</w:t>
      </w:r>
      <w:r w:rsidR="00FE00FA">
        <w:rPr>
          <w:rFonts w:ascii="宋体" w:eastAsia="宋体" w:hAnsi="宋体" w:cs="宋体" w:hint="eastAsia"/>
          <w:color w:val="000000"/>
          <w:kern w:val="0"/>
          <w:sz w:val="22"/>
        </w:rPr>
        <w:t>低</w:t>
      </w:r>
      <w:proofErr w:type="gramEnd"/>
      <w:r w:rsidR="00C1615D">
        <w:rPr>
          <w:rFonts w:ascii="宋体" w:eastAsia="宋体" w:hAnsi="宋体" w:cs="宋体" w:hint="eastAsia"/>
          <w:color w:val="000000"/>
          <w:kern w:val="0"/>
          <w:sz w:val="22"/>
        </w:rPr>
        <w:t>5%</w:t>
      </w:r>
      <w:r w:rsidR="00C1615D">
        <w:rPr>
          <w:rFonts w:ascii="宋体" w:eastAsia="宋体" w:hAnsi="宋体" w:cs="宋体"/>
          <w:color w:val="000000"/>
          <w:kern w:val="0"/>
          <w:sz w:val="22"/>
        </w:rPr>
        <w:t>的标准线</w:t>
      </w:r>
      <w:r>
        <w:rPr>
          <w:rFonts w:ascii="宋体" w:eastAsia="宋体" w:hAnsi="宋体" w:cs="宋体"/>
          <w:color w:val="000000"/>
          <w:kern w:val="0"/>
          <w:sz w:val="22"/>
        </w:rPr>
        <w:t>没有必要主动披露持仓情况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110CA5" w:rsidRDefault="00110CA5" w:rsidP="00910C63">
      <w:pPr>
        <w:widowControl/>
        <w:rPr>
          <w:rFonts w:ascii="Times New Roman" w:hAnsi="Times New Roman" w:cs="Times New Roman"/>
          <w:color w:val="000000"/>
          <w:sz w:val="20"/>
          <w:szCs w:val="20"/>
        </w:rPr>
      </w:pPr>
    </w:p>
    <w:p w:rsidR="009F6351" w:rsidRDefault="00EC444D" w:rsidP="00910C63">
      <w:pPr>
        <w:widowControl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Form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13F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：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美国证监会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(SEC)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规定管理股票资产超过一亿美金的机构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需要在每个季度结束之后的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45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天之内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向证监会提供自己在这个季度末的持仓报告</w:t>
      </w:r>
      <w:r w:rsidR="00D557C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。这就是为什么</w:t>
      </w:r>
      <w:r w:rsidR="00D557C0" w:rsidRPr="00921FA8">
        <w:rPr>
          <w:rFonts w:ascii="Arial" w:eastAsia="宋体" w:hAnsi="Arial" w:cs="Arial"/>
          <w:color w:val="000000"/>
          <w:kern w:val="0"/>
          <w:sz w:val="16"/>
          <w:szCs w:val="16"/>
        </w:rPr>
        <w:t>R</w:t>
      </w:r>
      <w:r w:rsidR="00D557C0" w:rsidRPr="00921FA8">
        <w:rPr>
          <w:rFonts w:ascii="Arial" w:hAnsi="Arial" w:cs="Arial"/>
          <w:color w:val="333333"/>
          <w:sz w:val="20"/>
          <w:szCs w:val="20"/>
          <w:shd w:val="clear" w:color="auto" w:fill="FFFFFF"/>
        </w:rPr>
        <w:t>enaissance</w:t>
      </w:r>
      <w:r w:rsidR="00D557C0" w:rsidRPr="00D557C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（文艺复兴），</w:t>
      </w:r>
      <w:r w:rsidR="00D557C0" w:rsidRPr="00921FA8">
        <w:rPr>
          <w:rFonts w:ascii="Arial" w:hAnsi="Arial" w:cs="Arial"/>
          <w:color w:val="333333"/>
          <w:sz w:val="20"/>
          <w:szCs w:val="20"/>
          <w:shd w:val="clear" w:color="auto" w:fill="FFFFFF"/>
        </w:rPr>
        <w:t>State Street</w:t>
      </w:r>
      <w:r w:rsidR="00D557C0" w:rsidRPr="00D557C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（道富）</w:t>
      </w:r>
      <w:r w:rsidR="00D557C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这些大型基金公司持股低于</w:t>
      </w:r>
      <w:r w:rsidR="00D557C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3%</w:t>
      </w:r>
      <w:r w:rsid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依旧会显示在主要股东名单当中</w:t>
      </w:r>
      <w:r w:rsidR="00D557C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67ED8" w:rsidRPr="00110CA5" w:rsidRDefault="009F6351" w:rsidP="00910C63">
      <w:pPr>
        <w:widowControl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正如彭博社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017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号显示的前十大股东，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腾讯并不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在此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而根据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018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月腾讯提交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Schedule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13 G/A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624503">
        <w:rPr>
          <w:rFonts w:ascii="Arial" w:hAnsi="Arial" w:cs="Arial"/>
          <w:color w:val="333333"/>
          <w:sz w:val="20"/>
          <w:szCs w:val="20"/>
          <w:shd w:val="clear" w:color="auto" w:fill="FFFFFF"/>
        </w:rPr>
        <w:t>我们</w:t>
      </w:r>
      <w:proofErr w:type="gramStart"/>
      <w:r w:rsidR="00624503">
        <w:rPr>
          <w:rFonts w:ascii="Arial" w:hAnsi="Arial" w:cs="Arial"/>
          <w:color w:val="333333"/>
          <w:sz w:val="20"/>
          <w:szCs w:val="20"/>
          <w:shd w:val="clear" w:color="auto" w:fill="FFFFFF"/>
        </w:rPr>
        <w:t>知道腾讯持股</w:t>
      </w:r>
      <w:proofErr w:type="gramEnd"/>
      <w:r w:rsidR="00110CA5">
        <w:rPr>
          <w:rFonts w:ascii="Arial" w:hAnsi="Arial" w:cs="Arial"/>
          <w:color w:val="333333"/>
          <w:sz w:val="20"/>
          <w:szCs w:val="20"/>
          <w:shd w:val="clear" w:color="auto" w:fill="FFFFFF"/>
        </w:rPr>
        <w:t>早已进入前十大股东行列</w:t>
      </w:r>
      <w:r w:rsidR="0062450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110C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之所以</w:t>
      </w:r>
      <w:r w:rsidR="00110CA5">
        <w:rPr>
          <w:rFonts w:ascii="Arial" w:hAnsi="Arial" w:cs="Arial"/>
          <w:color w:val="333333"/>
          <w:sz w:val="20"/>
          <w:szCs w:val="20"/>
          <w:shd w:val="clear" w:color="auto" w:fill="FFFFFF"/>
        </w:rPr>
        <w:t>漏掉腾讯</w:t>
      </w:r>
      <w:r w:rsidR="0062450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110C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是因为</w:t>
      </w:r>
      <w:r w:rsidR="00110CA5">
        <w:rPr>
          <w:rFonts w:ascii="Arial" w:hAnsi="Arial" w:cs="Arial"/>
          <w:color w:val="333333"/>
          <w:sz w:val="20"/>
          <w:szCs w:val="20"/>
          <w:shd w:val="clear" w:color="auto" w:fill="FFFFFF"/>
        </w:rPr>
        <w:t>很多网络平台机构披露的前十大股东名单</w:t>
      </w:r>
      <w:r w:rsidR="00110C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110CA5">
        <w:rPr>
          <w:rFonts w:ascii="Arial" w:hAnsi="Arial" w:cs="Arial"/>
          <w:color w:val="333333"/>
          <w:sz w:val="20"/>
          <w:szCs w:val="20"/>
          <w:shd w:val="clear" w:color="auto" w:fill="FFFFFF"/>
        </w:rPr>
        <w:t>只是基于公开信息</w:t>
      </w:r>
      <w:r w:rsidR="00110C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110CA5">
        <w:rPr>
          <w:rFonts w:ascii="Arial" w:hAnsi="Arial" w:cs="Arial"/>
          <w:color w:val="333333"/>
          <w:sz w:val="20"/>
          <w:szCs w:val="20"/>
          <w:shd w:val="clear" w:color="auto" w:fill="FFFFFF"/>
        </w:rPr>
        <w:t>而非实际情况</w:t>
      </w:r>
      <w:r w:rsidR="00110C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proofErr w:type="gramStart"/>
      <w:r w:rsidR="00C1615D" w:rsidRP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腾讯旗下</w:t>
      </w:r>
      <w:proofErr w:type="gramEnd"/>
      <w:r w:rsidR="00C1615D" w:rsidRP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的</w:t>
      </w:r>
      <w:r w:rsidR="00C1615D" w:rsidRPr="00D557C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黄河投资</w:t>
      </w:r>
      <w:r w:rsidR="00C1615D" w:rsidRPr="00D557C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(Huang River Investment Limited)</w:t>
      </w:r>
      <w:r w:rsidR="00C1615D" w:rsidRP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 w:rsidR="00C1615D" w:rsidRP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THL E Limited</w:t>
      </w:r>
      <w:r w:rsidR="00910C63" w:rsidRP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10C63" w:rsidRPr="00D557C0">
        <w:rPr>
          <w:rFonts w:ascii="Arial" w:hAnsi="Arial" w:cs="Arial"/>
          <w:color w:val="333333"/>
          <w:sz w:val="20"/>
          <w:szCs w:val="20"/>
          <w:shd w:val="clear" w:color="auto" w:fill="FFFFFF"/>
        </w:rPr>
        <w:t>作为注册在</w:t>
      </w:r>
      <w:r w:rsidR="00910C63">
        <w:rPr>
          <w:rFonts w:ascii="Times New Roman" w:hAnsi="Times New Roman" w:cs="Times New Roman"/>
          <w:color w:val="000000"/>
          <w:sz w:val="20"/>
          <w:szCs w:val="20"/>
        </w:rPr>
        <w:t>开</w:t>
      </w:r>
      <w:proofErr w:type="gramStart"/>
      <w:r w:rsidR="00910C63">
        <w:rPr>
          <w:rFonts w:ascii="Times New Roman" w:hAnsi="Times New Roman" w:cs="Times New Roman"/>
          <w:color w:val="000000"/>
          <w:sz w:val="20"/>
          <w:szCs w:val="20"/>
        </w:rPr>
        <w:t>曼</w:t>
      </w:r>
      <w:proofErr w:type="gramEnd"/>
      <w:r w:rsidR="00910C63">
        <w:rPr>
          <w:rFonts w:ascii="Times New Roman" w:hAnsi="Times New Roman" w:cs="Times New Roman"/>
          <w:color w:val="000000"/>
          <w:sz w:val="20"/>
          <w:szCs w:val="20"/>
        </w:rPr>
        <w:t>和维京群岛的离岸公司</w:t>
      </w:r>
      <w:r w:rsidR="00910C63">
        <w:rPr>
          <w:rFonts w:ascii="Times New Roman" w:hAnsi="Times New Roman" w:cs="Times New Roman" w:hint="eastAsia"/>
          <w:color w:val="000000"/>
          <w:sz w:val="20"/>
          <w:szCs w:val="20"/>
        </w:rPr>
        <w:t>经过特殊设计并不需要像表中其他大型机构投资者</w:t>
      </w:r>
      <w:r w:rsidR="00A1118E">
        <w:rPr>
          <w:rFonts w:ascii="Times New Roman" w:hAnsi="Times New Roman" w:cs="Times New Roman" w:hint="eastAsia"/>
          <w:color w:val="000000"/>
          <w:sz w:val="20"/>
          <w:szCs w:val="20"/>
        </w:rPr>
        <w:t>一样每季度</w:t>
      </w:r>
      <w:r w:rsidR="00910C63">
        <w:rPr>
          <w:rFonts w:ascii="Times New Roman" w:hAnsi="Times New Roman" w:cs="Times New Roman" w:hint="eastAsia"/>
          <w:color w:val="000000"/>
          <w:sz w:val="20"/>
          <w:szCs w:val="20"/>
        </w:rPr>
        <w:t>提交</w:t>
      </w:r>
      <w:r w:rsidR="00910C63">
        <w:rPr>
          <w:rFonts w:ascii="Times New Roman" w:hAnsi="Times New Roman" w:cs="Times New Roman" w:hint="eastAsia"/>
          <w:color w:val="000000"/>
          <w:sz w:val="20"/>
          <w:szCs w:val="20"/>
        </w:rPr>
        <w:t>Form</w:t>
      </w:r>
      <w:r w:rsidR="00910C63">
        <w:rPr>
          <w:rFonts w:ascii="Times New Roman" w:hAnsi="Times New Roman" w:cs="Times New Roman"/>
          <w:color w:val="000000"/>
          <w:sz w:val="20"/>
          <w:szCs w:val="20"/>
        </w:rPr>
        <w:t xml:space="preserve"> 13F</w:t>
      </w:r>
      <w:r w:rsidR="00EC444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110C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EC444D">
        <w:rPr>
          <w:noProof/>
        </w:rPr>
        <w:t>腾讯</w:t>
      </w:r>
      <w:r w:rsidR="00A1118E">
        <w:rPr>
          <w:noProof/>
        </w:rPr>
        <w:t>在</w:t>
      </w:r>
      <w:r w:rsidR="00A1118E">
        <w:rPr>
          <w:rFonts w:hint="eastAsia"/>
          <w:noProof/>
        </w:rPr>
        <w:t>2</w:t>
      </w:r>
      <w:r w:rsidR="00A1118E">
        <w:rPr>
          <w:noProof/>
        </w:rPr>
        <w:t>017</w:t>
      </w:r>
      <w:r w:rsidR="00A1118E">
        <w:rPr>
          <w:noProof/>
        </w:rPr>
        <w:t>年</w:t>
      </w:r>
      <w:r w:rsidR="00A1118E">
        <w:rPr>
          <w:rFonts w:hint="eastAsia"/>
          <w:noProof/>
        </w:rPr>
        <w:t>3</w:t>
      </w:r>
      <w:r w:rsidR="00A1118E">
        <w:rPr>
          <w:rFonts w:hint="eastAsia"/>
          <w:noProof/>
        </w:rPr>
        <w:t>月向</w:t>
      </w:r>
      <w:r w:rsidR="00A1118E">
        <w:rPr>
          <w:rFonts w:hint="eastAsia"/>
          <w:noProof/>
        </w:rPr>
        <w:t>SEC</w:t>
      </w:r>
      <w:r w:rsidR="00A1118E">
        <w:rPr>
          <w:rFonts w:hint="eastAsia"/>
          <w:noProof/>
        </w:rPr>
        <w:t>披露</w:t>
      </w:r>
      <w:r w:rsidR="00A1118E">
        <w:rPr>
          <w:noProof/>
        </w:rPr>
        <w:t>之后</w:t>
      </w:r>
      <w:r w:rsidR="00A1118E">
        <w:rPr>
          <w:rFonts w:hint="eastAsia"/>
          <w:noProof/>
        </w:rPr>
        <w:t>再无信息，</w:t>
      </w:r>
      <w:r w:rsidR="00110CA5">
        <w:rPr>
          <w:rFonts w:hint="eastAsia"/>
          <w:noProof/>
        </w:rPr>
        <w:t>并且</w:t>
      </w:r>
      <w:r w:rsidR="00A1118E">
        <w:rPr>
          <w:rFonts w:hint="eastAsia"/>
          <w:noProof/>
        </w:rPr>
        <w:t>2</w:t>
      </w:r>
      <w:r w:rsidR="00A1118E">
        <w:rPr>
          <w:noProof/>
        </w:rPr>
        <w:t>017</w:t>
      </w:r>
      <w:r w:rsidR="00A1118E">
        <w:rPr>
          <w:noProof/>
        </w:rPr>
        <w:t>年由于特斯拉进行多轮融资过后</w:t>
      </w:r>
      <w:r w:rsidR="00A1118E">
        <w:rPr>
          <w:rFonts w:hint="eastAsia"/>
          <w:noProof/>
        </w:rPr>
        <w:t>，</w:t>
      </w:r>
      <w:r w:rsidR="00736F9A">
        <w:rPr>
          <w:noProof/>
        </w:rPr>
        <w:t>腾讯在特斯拉的持股比例</w:t>
      </w:r>
      <w:r w:rsidR="00A1118E">
        <w:rPr>
          <w:rFonts w:hint="eastAsia"/>
          <w:noProof/>
        </w:rPr>
        <w:t>其实在</w:t>
      </w:r>
      <w:r w:rsidR="00A1118E">
        <w:rPr>
          <w:rFonts w:hint="eastAsia"/>
          <w:noProof/>
        </w:rPr>
        <w:t>2</w:t>
      </w:r>
      <w:r w:rsidR="00A1118E">
        <w:rPr>
          <w:noProof/>
        </w:rPr>
        <w:t>017</w:t>
      </w:r>
      <w:r w:rsidR="00A1118E">
        <w:rPr>
          <w:noProof/>
        </w:rPr>
        <w:t>年</w:t>
      </w:r>
      <w:r w:rsidR="00A1118E">
        <w:rPr>
          <w:rFonts w:hint="eastAsia"/>
          <w:noProof/>
        </w:rPr>
        <w:t>4</w:t>
      </w:r>
      <w:r w:rsidR="00A1118E">
        <w:rPr>
          <w:rFonts w:hint="eastAsia"/>
          <w:noProof/>
        </w:rPr>
        <w:t>月</w:t>
      </w:r>
      <w:r w:rsidR="00A1118E">
        <w:rPr>
          <w:rFonts w:hint="eastAsia"/>
          <w:noProof/>
        </w:rPr>
        <w:t>-</w:t>
      </w:r>
      <w:r w:rsidR="00A1118E">
        <w:rPr>
          <w:noProof/>
        </w:rPr>
        <w:t>9</w:t>
      </w:r>
      <w:r w:rsidR="00736F9A">
        <w:rPr>
          <w:noProof/>
        </w:rPr>
        <w:t>月期间已经由于股票稀释而低于</w:t>
      </w:r>
      <w:r w:rsidR="00736F9A">
        <w:rPr>
          <w:rFonts w:hint="eastAsia"/>
          <w:noProof/>
        </w:rPr>
        <w:t>5%</w:t>
      </w:r>
      <w:r w:rsidR="00736F9A">
        <w:rPr>
          <w:rFonts w:hint="eastAsia"/>
          <w:noProof/>
        </w:rPr>
        <w:t>，</w:t>
      </w:r>
      <w:r w:rsidR="00367ED8">
        <w:rPr>
          <w:rFonts w:hint="eastAsia"/>
          <w:noProof/>
        </w:rPr>
        <w:t>按照</w:t>
      </w:r>
      <w:r w:rsidR="00367ED8">
        <w:rPr>
          <w:rFonts w:hint="eastAsia"/>
          <w:noProof/>
        </w:rPr>
        <w:t>SEC</w:t>
      </w:r>
      <w:r w:rsidR="00367ED8">
        <w:rPr>
          <w:rFonts w:hint="eastAsia"/>
          <w:noProof/>
        </w:rPr>
        <w:t>的规定：投资者在当年提交第一份</w:t>
      </w:r>
      <w:r w:rsidR="00367ED8">
        <w:rPr>
          <w:rFonts w:hint="eastAsia"/>
          <w:noProof/>
        </w:rPr>
        <w:t>S</w:t>
      </w:r>
      <w:r w:rsidR="00367ED8">
        <w:rPr>
          <w:noProof/>
        </w:rPr>
        <w:t>chedule 13G</w:t>
      </w:r>
      <w:r w:rsidR="00367ED8">
        <w:rPr>
          <w:noProof/>
        </w:rPr>
        <w:t>后</w:t>
      </w:r>
      <w:r w:rsidR="00367ED8">
        <w:rPr>
          <w:rFonts w:hint="eastAsia"/>
          <w:noProof/>
        </w:rPr>
        <w:t xml:space="preserve"> </w:t>
      </w:r>
      <w:r w:rsidR="00367ED8">
        <w:rPr>
          <w:rFonts w:hint="eastAsia"/>
          <w:noProof/>
        </w:rPr>
        <w:t>持股如果没实质性变动，将只需在次年</w:t>
      </w:r>
      <w:r w:rsidR="00367ED8">
        <w:rPr>
          <w:rFonts w:hint="eastAsia"/>
          <w:noProof/>
        </w:rPr>
        <w:t>2</w:t>
      </w:r>
      <w:r w:rsidR="00367ED8">
        <w:rPr>
          <w:rFonts w:hint="eastAsia"/>
          <w:noProof/>
        </w:rPr>
        <w:t>月</w:t>
      </w:r>
      <w:r w:rsidR="00367ED8">
        <w:rPr>
          <w:rFonts w:hint="eastAsia"/>
          <w:noProof/>
        </w:rPr>
        <w:t>1</w:t>
      </w:r>
      <w:r w:rsidR="00367ED8">
        <w:rPr>
          <w:noProof/>
        </w:rPr>
        <w:t>2</w:t>
      </w:r>
      <w:r w:rsidR="00367ED8">
        <w:rPr>
          <w:noProof/>
        </w:rPr>
        <w:t>日提交</w:t>
      </w:r>
      <w:r w:rsidR="00110CA5">
        <w:rPr>
          <w:noProof/>
        </w:rPr>
        <w:t>上</w:t>
      </w:r>
      <w:r w:rsidR="00367ED8">
        <w:rPr>
          <w:noProof/>
        </w:rPr>
        <w:t>一个年度的</w:t>
      </w:r>
      <w:r w:rsidR="00367ED8">
        <w:rPr>
          <w:rFonts w:hint="eastAsia"/>
          <w:noProof/>
        </w:rPr>
        <w:t>S</w:t>
      </w:r>
      <w:r w:rsidR="00367ED8">
        <w:rPr>
          <w:noProof/>
        </w:rPr>
        <w:t>chedule13G/A</w:t>
      </w:r>
      <w:r w:rsidR="00110CA5">
        <w:rPr>
          <w:noProof/>
        </w:rPr>
        <w:t>即可</w:t>
      </w:r>
      <w:r w:rsidR="00367ED8">
        <w:rPr>
          <w:rFonts w:hint="eastAsia"/>
          <w:noProof/>
        </w:rPr>
        <w:t>，这就是为什么腾讯在</w:t>
      </w:r>
      <w:r w:rsidR="00367ED8">
        <w:rPr>
          <w:rFonts w:hint="eastAsia"/>
          <w:noProof/>
        </w:rPr>
        <w:t xml:space="preserve"> </w:t>
      </w:r>
      <w:r w:rsidR="00A1118E">
        <w:rPr>
          <w:rFonts w:hint="eastAsia"/>
          <w:noProof/>
        </w:rPr>
        <w:t>2</w:t>
      </w:r>
      <w:r w:rsidR="00A1118E">
        <w:rPr>
          <w:noProof/>
        </w:rPr>
        <w:t>018</w:t>
      </w:r>
      <w:r w:rsidR="00A1118E">
        <w:rPr>
          <w:noProof/>
        </w:rPr>
        <w:t>年</w:t>
      </w:r>
      <w:r w:rsidR="00A1118E">
        <w:rPr>
          <w:rFonts w:hint="eastAsia"/>
          <w:noProof/>
        </w:rPr>
        <w:t>2</w:t>
      </w:r>
      <w:r w:rsidR="00A1118E">
        <w:rPr>
          <w:rFonts w:hint="eastAsia"/>
          <w:noProof/>
        </w:rPr>
        <w:t>月</w:t>
      </w:r>
      <w:r w:rsidR="00A1118E">
        <w:rPr>
          <w:rFonts w:hint="eastAsia"/>
          <w:noProof/>
        </w:rPr>
        <w:t>1</w:t>
      </w:r>
      <w:r w:rsidR="00A1118E">
        <w:rPr>
          <w:noProof/>
        </w:rPr>
        <w:t>2</w:t>
      </w:r>
      <w:r w:rsidR="00A1118E">
        <w:rPr>
          <w:noProof/>
        </w:rPr>
        <w:t>日提交</w:t>
      </w:r>
      <w:r w:rsidR="00367ED8">
        <w:rPr>
          <w:noProof/>
        </w:rPr>
        <w:t>的第二份</w:t>
      </w:r>
      <w:r w:rsidR="00A1118E">
        <w:rPr>
          <w:rFonts w:hint="eastAsia"/>
          <w:noProof/>
        </w:rPr>
        <w:t>S</w:t>
      </w:r>
      <w:r w:rsidR="00A1118E">
        <w:rPr>
          <w:noProof/>
        </w:rPr>
        <w:t>chedule13G/A</w:t>
      </w:r>
      <w:r w:rsidR="00A1118E">
        <w:rPr>
          <w:rFonts w:hint="eastAsia"/>
          <w:noProof/>
        </w:rPr>
        <w:t>，</w:t>
      </w:r>
      <w:r w:rsidR="00367ED8">
        <w:rPr>
          <w:rFonts w:hint="eastAsia"/>
          <w:noProof/>
        </w:rPr>
        <w:t>也是在这份报告中披露了腾讯对特斯拉的小幅增持，并且由于股份稀释导致持股比例低于</w:t>
      </w:r>
      <w:r w:rsidR="00367ED8">
        <w:rPr>
          <w:noProof/>
        </w:rPr>
        <w:t>5</w:t>
      </w:r>
      <w:r w:rsidR="00367ED8">
        <w:rPr>
          <w:rFonts w:hint="eastAsia"/>
          <w:noProof/>
        </w:rPr>
        <w:t>%</w:t>
      </w:r>
    </w:p>
    <w:p w:rsidR="00367ED8" w:rsidRDefault="00367ED8" w:rsidP="00910C63">
      <w:pPr>
        <w:widowControl/>
        <w:rPr>
          <w:noProof/>
        </w:rPr>
      </w:pPr>
    </w:p>
    <w:p w:rsidR="00367ED8" w:rsidRDefault="00367ED8" w:rsidP="00910C63">
      <w:pPr>
        <w:widowControl/>
      </w:pPr>
      <w:hyperlink r:id="rId7" w:history="1">
        <w:r>
          <w:rPr>
            <w:rStyle w:val="a3"/>
          </w:rPr>
          <w:t>https://ibkr.info/article/2654</w:t>
        </w:r>
      </w:hyperlink>
    </w:p>
    <w:p w:rsidR="00A1118E" w:rsidRDefault="00367ED8" w:rsidP="00910C63">
      <w:pPr>
        <w:widowControl/>
        <w:rPr>
          <w:noProof/>
        </w:rPr>
      </w:pPr>
      <w:r>
        <w:rPr>
          <w:rFonts w:hint="eastAsia"/>
          <w:noProof/>
        </w:rPr>
        <w:t>因此</w:t>
      </w:r>
      <w:r>
        <w:rPr>
          <w:noProof/>
        </w:rPr>
        <w:t>公开信息</w:t>
      </w:r>
      <w:r w:rsidR="00A1118E">
        <w:rPr>
          <w:rFonts w:hint="eastAsia"/>
          <w:noProof/>
        </w:rPr>
        <w:t>没法获取腾讯这期间的持仓，</w:t>
      </w:r>
      <w:r>
        <w:rPr>
          <w:rFonts w:hint="eastAsia"/>
          <w:noProof/>
        </w:rPr>
        <w:t>腾讯因此可以隐藏在剩下的大众股东之中。</w:t>
      </w:r>
    </w:p>
    <w:p w:rsidR="00A1118E" w:rsidRDefault="00A1118E" w:rsidP="00910C63">
      <w:pPr>
        <w:widowControl/>
        <w:rPr>
          <w:noProof/>
        </w:rPr>
      </w:pPr>
    </w:p>
    <w:p w:rsidR="00EC444D" w:rsidRDefault="00332D82" w:rsidP="00910C63">
      <w:pPr>
        <w:widowControl/>
        <w:rPr>
          <w:noProof/>
        </w:rPr>
      </w:pPr>
      <w:r>
        <w:rPr>
          <w:rFonts w:hint="eastAsia"/>
          <w:noProof/>
        </w:rPr>
        <w:t>由于查阅了大量资料，并用</w:t>
      </w:r>
      <w:r>
        <w:rPr>
          <w:rFonts w:hint="eastAsia"/>
          <w:noProof/>
        </w:rPr>
        <w:t>SEC</w:t>
      </w:r>
      <w:r>
        <w:rPr>
          <w:rFonts w:hint="eastAsia"/>
          <w:noProof/>
        </w:rPr>
        <w:t>的</w:t>
      </w:r>
      <w:r w:rsidRPr="00332D82">
        <w:rPr>
          <w:noProof/>
        </w:rPr>
        <w:t>EDGAR</w:t>
      </w:r>
      <w:r>
        <w:rPr>
          <w:noProof/>
        </w:rPr>
        <w:t>搜索引擎</w:t>
      </w:r>
      <w:r w:rsidR="00367ED8">
        <w:rPr>
          <w:rFonts w:hint="eastAsia"/>
          <w:noProof/>
        </w:rPr>
        <w:t>，</w:t>
      </w:r>
      <w:r w:rsidR="00367ED8">
        <w:rPr>
          <w:noProof/>
        </w:rPr>
        <w:t>证实了</w:t>
      </w:r>
      <w:r w:rsidR="0012541C">
        <w:rPr>
          <w:noProof/>
        </w:rPr>
        <w:t>腾讯以及相关联公司</w:t>
      </w:r>
      <w:r w:rsidR="00367ED8">
        <w:rPr>
          <w:noProof/>
        </w:rPr>
        <w:t>从未</w:t>
      </w:r>
      <w:r w:rsidR="0012541C">
        <w:rPr>
          <w:noProof/>
        </w:rPr>
        <w:t>提交</w:t>
      </w:r>
      <w:r w:rsidR="00367ED8">
        <w:rPr>
          <w:rFonts w:hint="eastAsia"/>
          <w:noProof/>
        </w:rPr>
        <w:t>过</w:t>
      </w:r>
      <w:r w:rsidR="0012541C">
        <w:rPr>
          <w:noProof/>
        </w:rPr>
        <w:t>Form13F</w:t>
      </w:r>
      <w:r w:rsidR="0012541C">
        <w:rPr>
          <w:rFonts w:hint="eastAsia"/>
          <w:noProof/>
        </w:rPr>
        <w:t>。</w:t>
      </w:r>
    </w:p>
    <w:p w:rsidR="0012541C" w:rsidRDefault="00717174" w:rsidP="0012541C">
      <w:pPr>
        <w:widowControl/>
      </w:pPr>
      <w:hyperlink r:id="rId8" w:history="1">
        <w:r w:rsidR="0012541C">
          <w:rPr>
            <w:rStyle w:val="a3"/>
          </w:rPr>
          <w:t>https://whalewisdom.com/stock/tsla</w:t>
        </w:r>
      </w:hyperlink>
    </w:p>
    <w:p w:rsidR="0012541C" w:rsidRDefault="00717174" w:rsidP="00910C63">
      <w:pPr>
        <w:widowControl/>
      </w:pPr>
      <w:hyperlink r:id="rId9" w:history="1">
        <w:r w:rsidR="0012541C">
          <w:rPr>
            <w:rStyle w:val="a3"/>
          </w:rPr>
          <w:t>https://www.sec.gov/cgi-bin/browse-edgar?action=getcompany&amp;CIK=0001293451&amp;type=def+14a&amp;dateb=&amp;owner=exclude&amp;count=100</w:t>
        </w:r>
      </w:hyperlink>
    </w:p>
    <w:p w:rsidR="009F6351" w:rsidRDefault="00CA3E6C" w:rsidP="00CA3E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其次从投资的角度，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按照腾讯</w:t>
      </w:r>
      <w:r>
        <w:rPr>
          <w:rFonts w:ascii="Times New Roman" w:hAnsi="Times New Roman" w:cs="Times New Roman"/>
          <w:kern w:val="0"/>
          <w:sz w:val="24"/>
          <w:szCs w:val="24"/>
        </w:rPr>
        <w:t>2017</w:t>
      </w:r>
      <w:r>
        <w:rPr>
          <w:rFonts w:ascii="Times New Roman" w:hAnsi="Times New Roman" w:cs="Times New Roman"/>
          <w:kern w:val="0"/>
          <w:sz w:val="24"/>
          <w:szCs w:val="24"/>
        </w:rPr>
        <w:t>年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月</w:t>
      </w:r>
      <w:r>
        <w:rPr>
          <w:rFonts w:ascii="Times New Roman" w:hAnsi="Times New Roman" w:cs="Times New Roman"/>
          <w:kern w:val="0"/>
          <w:sz w:val="24"/>
          <w:szCs w:val="24"/>
        </w:rPr>
        <w:t>17</w:t>
      </w:r>
      <w:r>
        <w:rPr>
          <w:rFonts w:ascii="Times New Roman" w:hAnsi="Times New Roman" w:cs="Times New Roman"/>
          <w:kern w:val="0"/>
          <w:sz w:val="24"/>
          <w:szCs w:val="24"/>
        </w:rPr>
        <w:t>日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每股</w:t>
      </w:r>
      <w:r>
        <w:rPr>
          <w:rFonts w:ascii="Times New Roman" w:hAnsi="Times New Roman" w:cs="Times New Roman"/>
          <w:kern w:val="0"/>
          <w:sz w:val="24"/>
          <w:szCs w:val="24"/>
        </w:rPr>
        <w:t>217</w:t>
      </w:r>
      <w:r>
        <w:rPr>
          <w:rFonts w:ascii="Times New Roman" w:hAnsi="Times New Roman" w:cs="Times New Roman"/>
          <w:kern w:val="0"/>
          <w:sz w:val="24"/>
          <w:szCs w:val="24"/>
        </w:rPr>
        <w:t>美金的价格，后期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少量增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持对持仓成本影响有限，截止到</w:t>
      </w:r>
      <w:r>
        <w:rPr>
          <w:rFonts w:ascii="Times New Roman" w:hAnsi="Times New Roman" w:cs="Times New Roman"/>
          <w:kern w:val="0"/>
          <w:sz w:val="24"/>
          <w:szCs w:val="24"/>
        </w:rPr>
        <w:t>2019</w:t>
      </w:r>
      <w:r>
        <w:rPr>
          <w:rFonts w:ascii="Times New Roman" w:hAnsi="Times New Roman" w:cs="Times New Roman"/>
          <w:kern w:val="0"/>
          <w:sz w:val="24"/>
          <w:szCs w:val="24"/>
        </w:rPr>
        <w:t>年</w:t>
      </w: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月</w:t>
      </w:r>
      <w:r>
        <w:rPr>
          <w:rFonts w:ascii="Times New Roman" w:hAnsi="Times New Roman" w:cs="Times New Roman"/>
          <w:kern w:val="0"/>
          <w:sz w:val="24"/>
          <w:szCs w:val="24"/>
        </w:rPr>
        <w:t>20</w:t>
      </w:r>
      <w:r>
        <w:rPr>
          <w:rFonts w:ascii="Times New Roman" w:hAnsi="Times New Roman" w:cs="Times New Roman"/>
          <w:kern w:val="0"/>
          <w:sz w:val="24"/>
          <w:szCs w:val="24"/>
        </w:rPr>
        <w:t>日，总共</w:t>
      </w:r>
      <w:r>
        <w:rPr>
          <w:rFonts w:ascii="Times New Roman" w:hAnsi="Times New Roman" w:cs="Times New Roman"/>
          <w:kern w:val="0"/>
          <w:sz w:val="24"/>
          <w:szCs w:val="24"/>
        </w:rPr>
        <w:t>737</w:t>
      </w:r>
      <w:r>
        <w:rPr>
          <w:rFonts w:ascii="Times New Roman" w:hAnsi="Times New Roman" w:cs="Times New Roman"/>
          <w:kern w:val="0"/>
          <w:sz w:val="24"/>
          <w:szCs w:val="24"/>
        </w:rPr>
        <w:t>个交易日，低于持仓成本的天数仅为</w:t>
      </w:r>
      <w:r>
        <w:rPr>
          <w:rFonts w:ascii="Times New Roman" w:hAnsi="Times New Roman" w:cs="Times New Roman"/>
          <w:kern w:val="0"/>
          <w:sz w:val="24"/>
          <w:szCs w:val="24"/>
        </w:rPr>
        <w:t>25</w:t>
      </w:r>
      <w:r>
        <w:rPr>
          <w:rFonts w:ascii="Times New Roman" w:hAnsi="Times New Roman" w:cs="Times New Roman"/>
          <w:kern w:val="0"/>
          <w:sz w:val="24"/>
          <w:szCs w:val="24"/>
        </w:rPr>
        <w:t>天，在</w:t>
      </w:r>
      <w:r>
        <w:rPr>
          <w:rFonts w:ascii="Times New Roman" w:hAnsi="Times New Roman" w:cs="Times New Roman"/>
          <w:kern w:val="0"/>
          <w:sz w:val="24"/>
          <w:szCs w:val="24"/>
        </w:rPr>
        <w:t>97%</w:t>
      </w:r>
      <w:r>
        <w:rPr>
          <w:rFonts w:ascii="Times New Roman" w:hAnsi="Times New Roman" w:cs="Times New Roman"/>
          <w:kern w:val="0"/>
          <w:sz w:val="24"/>
          <w:szCs w:val="24"/>
        </w:rPr>
        <w:t>的日子里，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腾讯在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特斯拉股票上的投资是挣钱的，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相比较腾讯投资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的京东，拼多多，特斯拉带来的回报率在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hAnsi="Times New Roman" w:cs="Times New Roman"/>
          <w:kern w:val="0"/>
          <w:sz w:val="24"/>
          <w:szCs w:val="24"/>
        </w:rPr>
        <w:t>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%</w:t>
      </w:r>
      <w:r>
        <w:rPr>
          <w:rFonts w:ascii="Times New Roman" w:hAnsi="Times New Roman" w:cs="Times New Roman"/>
          <w:kern w:val="0"/>
          <w:sz w:val="24"/>
          <w:szCs w:val="24"/>
        </w:rPr>
        <w:t>的时候是大于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%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只有在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%</w:t>
      </w:r>
      <w:r>
        <w:rPr>
          <w:rFonts w:ascii="Times New Roman" w:hAnsi="Times New Roman" w:cs="Times New Roman"/>
          <w:kern w:val="0"/>
          <w:sz w:val="24"/>
          <w:szCs w:val="24"/>
        </w:rPr>
        <w:t>的时候发生亏损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并且最极端的情况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即在特斯拉过去三年的最低价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76</w:t>
      </w:r>
      <w:r>
        <w:rPr>
          <w:rFonts w:ascii="Times New Roman" w:hAnsi="Times New Roman" w:cs="Times New Roman"/>
          <w:kern w:val="0"/>
          <w:sz w:val="24"/>
          <w:szCs w:val="24"/>
        </w:rPr>
        <w:t>美金卖出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亏损收益率也还不到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%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，最低点的窗口期特别短</w:t>
      </w:r>
      <w:r w:rsidR="009F6351">
        <w:rPr>
          <w:rFonts w:ascii="Times New Roman" w:hAnsi="Times New Roman" w:cs="Times New Roman" w:hint="eastAsia"/>
          <w:kern w:val="0"/>
          <w:sz w:val="24"/>
          <w:szCs w:val="24"/>
        </w:rPr>
        <w:t>，如果</w:t>
      </w:r>
      <w:proofErr w:type="gramStart"/>
      <w:r w:rsidR="009F6351">
        <w:rPr>
          <w:rFonts w:ascii="Times New Roman" w:hAnsi="Times New Roman" w:cs="Times New Roman" w:hint="eastAsia"/>
          <w:kern w:val="0"/>
          <w:sz w:val="24"/>
          <w:szCs w:val="24"/>
        </w:rPr>
        <w:t>腾讯能</w:t>
      </w:r>
      <w:proofErr w:type="gramEnd"/>
      <w:r w:rsidR="009F6351">
        <w:rPr>
          <w:rFonts w:ascii="Times New Roman" w:hAnsi="Times New Roman" w:cs="Times New Roman" w:hint="eastAsia"/>
          <w:kern w:val="0"/>
          <w:sz w:val="24"/>
          <w:szCs w:val="24"/>
        </w:rPr>
        <w:t>在最低点卖出，那也是奇迹了。</w:t>
      </w:r>
    </w:p>
    <w:p w:rsidR="00CA3E6C" w:rsidRDefault="00CA3E6C" w:rsidP="00CA3E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:rsidR="0012541C" w:rsidRDefault="009F6351" w:rsidP="00910C63">
      <w:pPr>
        <w:widowControl/>
      </w:pPr>
      <w:r>
        <w:rPr>
          <w:noProof/>
        </w:rPr>
        <w:lastRenderedPageBreak/>
        <w:drawing>
          <wp:inline distT="0" distB="0" distL="0" distR="0" wp14:anchorId="39701A6E" wp14:editId="1CB2D357">
            <wp:extent cx="5274310" cy="3705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D9" w:rsidRDefault="005E0DD9" w:rsidP="00910C63">
      <w:pPr>
        <w:widowControl/>
      </w:pPr>
    </w:p>
    <w:p w:rsidR="0012541C" w:rsidRDefault="005E0DD9" w:rsidP="00910C63">
      <w:pPr>
        <w:widowControl/>
      </w:pPr>
      <w:proofErr w:type="gramStart"/>
      <w:r>
        <w:t>特斯来</w:t>
      </w:r>
      <w:proofErr w:type="gramEnd"/>
      <w:r>
        <w:t>在电动车市场的地位</w:t>
      </w:r>
      <w:r>
        <w:rPr>
          <w:rFonts w:hint="eastAsia"/>
        </w:rPr>
        <w:t>，</w:t>
      </w:r>
      <w:r>
        <w:t>堪比苹果在智能手机的地位</w:t>
      </w:r>
      <w:r>
        <w:rPr>
          <w:rFonts w:hint="eastAsia"/>
        </w:rPr>
        <w:t>，</w:t>
      </w:r>
      <w:r>
        <w:t>加上钢铁</w:t>
      </w:r>
      <w:proofErr w:type="gramStart"/>
      <w:r>
        <w:t>侠个人</w:t>
      </w:r>
      <w:proofErr w:type="gramEnd"/>
      <w:r>
        <w:t>的巨大魅力</w:t>
      </w:r>
      <w:r>
        <w:rPr>
          <w:rFonts w:hint="eastAsia"/>
        </w:rPr>
        <w:t>，</w:t>
      </w:r>
      <w:proofErr w:type="gramStart"/>
      <w:r>
        <w:rPr>
          <w:rFonts w:hint="eastAsia"/>
        </w:rPr>
        <w:t>腾讯坚守</w:t>
      </w:r>
      <w:proofErr w:type="gramEnd"/>
      <w:r>
        <w:rPr>
          <w:rFonts w:hint="eastAsia"/>
        </w:rPr>
        <w:t>在特斯拉应该是更加合理的方案。</w:t>
      </w:r>
    </w:p>
    <w:p w:rsidR="005E0DD9" w:rsidRDefault="005E0DD9" w:rsidP="00910C63">
      <w:pPr>
        <w:widowControl/>
        <w:rPr>
          <w:rFonts w:hint="eastAsia"/>
          <w:noProof/>
        </w:rPr>
      </w:pPr>
    </w:p>
    <w:p w:rsidR="006E5971" w:rsidRDefault="006E5971" w:rsidP="006E5971">
      <w:hyperlink r:id="rId11" w:history="1">
        <w:r>
          <w:rPr>
            <w:rStyle w:val="a3"/>
          </w:rPr>
          <w:t>https://fintel.io/i/musk-elon</w:t>
        </w:r>
      </w:hyperlink>
    </w:p>
    <w:p w:rsidR="0012541C" w:rsidRDefault="006E5971" w:rsidP="00910C63">
      <w:pPr>
        <w:widowControl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2" w:history="1">
        <w:r w:rsidRPr="00F96207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https://fintel.io/soh/us/tsla/tencent-holdings</w:t>
        </w:r>
      </w:hyperlink>
    </w:p>
    <w:p w:rsidR="001711CA" w:rsidRDefault="001711CA" w:rsidP="001711CA">
      <w:pPr>
        <w:widowControl/>
        <w:rPr>
          <w:rFonts w:ascii="Times New Roman" w:hAnsi="Times New Roman" w:cs="Times New Roman"/>
          <w:color w:val="000000"/>
          <w:sz w:val="20"/>
          <w:szCs w:val="20"/>
        </w:rPr>
      </w:pPr>
      <w:hyperlink r:id="rId13" w:history="1">
        <w:r>
          <w:rPr>
            <w:rStyle w:val="a3"/>
          </w:rPr>
          <w:t>https://www.macrotrends.net/stocks/charts/TSLA/tesla/shares-outstanding</w:t>
        </w:r>
      </w:hyperlink>
    </w:p>
    <w:p w:rsidR="006E5971" w:rsidRPr="001711CA" w:rsidRDefault="006E5971" w:rsidP="00910C63">
      <w:pPr>
        <w:widowControl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6E5971" w:rsidRPr="00171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39"/>
    <w:rsid w:val="00082496"/>
    <w:rsid w:val="00110CA5"/>
    <w:rsid w:val="0012541C"/>
    <w:rsid w:val="0013262E"/>
    <w:rsid w:val="001711CA"/>
    <w:rsid w:val="0023076E"/>
    <w:rsid w:val="00332D82"/>
    <w:rsid w:val="00367ED8"/>
    <w:rsid w:val="00472BBD"/>
    <w:rsid w:val="00490F98"/>
    <w:rsid w:val="004D49D8"/>
    <w:rsid w:val="005A2E96"/>
    <w:rsid w:val="005E0DD9"/>
    <w:rsid w:val="00624503"/>
    <w:rsid w:val="0069320B"/>
    <w:rsid w:val="006B5B5A"/>
    <w:rsid w:val="006E5971"/>
    <w:rsid w:val="00717174"/>
    <w:rsid w:val="00736F9A"/>
    <w:rsid w:val="00785D39"/>
    <w:rsid w:val="008A1363"/>
    <w:rsid w:val="008B4CB8"/>
    <w:rsid w:val="00910C63"/>
    <w:rsid w:val="00921FA8"/>
    <w:rsid w:val="009F6351"/>
    <w:rsid w:val="00A1118E"/>
    <w:rsid w:val="00C1615D"/>
    <w:rsid w:val="00CA3E6C"/>
    <w:rsid w:val="00D557C0"/>
    <w:rsid w:val="00D64CBC"/>
    <w:rsid w:val="00D92590"/>
    <w:rsid w:val="00EC444D"/>
    <w:rsid w:val="00F032E3"/>
    <w:rsid w:val="00F74DC9"/>
    <w:rsid w:val="00F86735"/>
    <w:rsid w:val="00F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94782-C44C-450C-8F15-265ED386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363"/>
    <w:rPr>
      <w:color w:val="0000FF"/>
      <w:u w:val="single"/>
    </w:rPr>
  </w:style>
  <w:style w:type="character" w:customStyle="1" w:styleId="m">
    <w:name w:val="m"/>
    <w:basedOn w:val="a0"/>
    <w:rsid w:val="00EC444D"/>
  </w:style>
  <w:style w:type="character" w:styleId="a4">
    <w:name w:val="FollowedHyperlink"/>
    <w:basedOn w:val="a0"/>
    <w:uiPriority w:val="99"/>
    <w:semiHidden/>
    <w:unhideWhenUsed/>
    <w:rsid w:val="006E5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lewisdom.com/stock/tsla" TargetMode="External"/><Relationship Id="rId13" Type="http://schemas.openxmlformats.org/officeDocument/2006/relationships/hyperlink" Target="https://www.macrotrends.net/stocks/charts/TSLA/tesla/shares-outstan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bkr.info/article/2654" TargetMode="External"/><Relationship Id="rId12" Type="http://schemas.openxmlformats.org/officeDocument/2006/relationships/hyperlink" Target="https://fintel.io/soh/us/tsla/tencent-holdin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crotrends.net/stocks/charts/TSLA/tesla/stock-price-history" TargetMode="External"/><Relationship Id="rId11" Type="http://schemas.openxmlformats.org/officeDocument/2006/relationships/hyperlink" Target="https://fintel.io/i/musk-el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fintel.io/soh/us/tsla/tencent-holdings" TargetMode="External"/><Relationship Id="rId9" Type="http://schemas.openxmlformats.org/officeDocument/2006/relationships/hyperlink" Target="https://www.sec.gov/cgi-bin/browse-edgar?action=getcompany&amp;CIK=0001293451&amp;type=def+14a&amp;dateb=&amp;owner=exclude&amp;count=1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1</Pages>
  <Words>741</Words>
  <Characters>4230</Characters>
  <Application>Microsoft Office Word</Application>
  <DocSecurity>0</DocSecurity>
  <Lines>35</Lines>
  <Paragraphs>9</Paragraphs>
  <ScaleCrop>false</ScaleCrop>
  <Company>Home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jianyong dong</dc:creator>
  <cp:keywords/>
  <dc:description/>
  <cp:lastModifiedBy>jianyong dong</cp:lastModifiedBy>
  <cp:revision>9</cp:revision>
  <dcterms:created xsi:type="dcterms:W3CDTF">2020-02-23T12:42:00Z</dcterms:created>
  <dcterms:modified xsi:type="dcterms:W3CDTF">2020-03-01T10:44:00Z</dcterms:modified>
</cp:coreProperties>
</file>