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GS婵☆垪鈧磭鈧鈧冻缂氱弧&lt;84&gt;</w:t>
      </w:r>
    </w:p>
    <w:p>
      <w:pPr>
        <w:pStyle w:val="Author"/>
      </w:pPr>
      <w:r>
        <w:t xml:space="preserve">Leiming</w:t>
      </w:r>
      <w:r>
        <w:t xml:space="preserve"> </w:t>
      </w:r>
      <w:r>
        <w:t xml:space="preserve">Dong</w:t>
      </w:r>
    </w:p>
    <w:p>
      <w:pPr>
        <w:pStyle w:val="Date"/>
      </w:pPr>
      <w:r>
        <w:t xml:space="preserve">2018-01-28</w:t>
      </w:r>
    </w:p>
    <w:p>
      <w:pPr>
        <w:pStyle w:val="BlockText"/>
      </w:pPr>
      <w:r>
        <w:t xml:space="preserve">学习的参考文献是</w:t>
      </w:r>
      <w:r>
        <w:t xml:space="preserve">(Lorenz et al. 2011)</w:t>
      </w:r>
      <w:r>
        <w:t xml:space="preserve">。</w:t>
      </w:r>
    </w:p>
    <w:p>
      <w:pPr>
        <w:pStyle w:val="FirstParagraph"/>
      </w:pPr>
      <w:r>
        <w:t xml:space="preserve">最小二乘法不能估计全部的效应值，因为自由度不够（</w:t>
      </w:r>
      <m:oMath>
        <m:r>
          <m:t>X</m:t>
        </m:r>
        <m:r>
          <m:t>′</m:t>
        </m:r>
        <m:r>
          <m:t>X</m:t>
        </m:r>
      </m:oMath>
      <w:r>
        <w:t xml:space="preserve">矩阵奇异）。即便自由度足够用，标记间共线性会过拟合模型。过拟合模型能夸大小幅波动，导致预测能力差。</w:t>
      </w:r>
    </w:p>
    <w:p>
      <w:pPr>
        <w:pStyle w:val="BodyText"/>
      </w:pPr>
      <w:r>
        <w:t xml:space="preserve">于是提出各种统计模型，大致可分为4类：</w:t>
      </w:r>
      <w:r>
        <w:t xml:space="preserve"> </w:t>
      </w:r>
      <w:r>
        <w:rPr>
          <w:b/>
        </w:rPr>
        <w:t xml:space="preserve">收缩、变量选择、核和降维方法</w:t>
      </w:r>
      <w:r>
        <w:t xml:space="preserve">。</w:t>
      </w:r>
      <w:r>
        <w:t xml:space="preserve"> </w:t>
      </w:r>
      <w:r>
        <w:t xml:space="preserve">模型的基本形式一样：</w:t>
      </w:r>
    </w:p>
    <w:p>
      <w:pPr>
        <w:pStyle w:val="BodyText"/>
      </w:pPr>
      <m:oMathPara>
        <m:oMathParaPr>
          <m:jc m:val="center"/>
        </m:oMathParaPr>
        <m:oMath>
          <m:sSub>
            <m:e>
              <m:r>
                <m:t>y</m:t>
              </m:r>
            </m:e>
            <m:sub>
              <m:r>
                <m:t>i</m:t>
              </m:r>
            </m:sub>
          </m:sSub>
          <m:r>
            <m:t>=</m:t>
          </m:r>
          <m:r>
            <m:t>g</m:t>
          </m:r>
          <m:r>
            <m:t>(</m:t>
          </m:r>
          <m:sSub>
            <m:e>
              <m:r>
                <m:rPr>
                  <m:sty m:val="b"/>
                </m:rPr>
                <m:t>x</m:t>
              </m:r>
            </m:e>
            <m:sub>
              <m:r>
                <m:t>i</m:t>
              </m:r>
            </m:sub>
          </m:sSub>
          <m:r>
            <m:t>)</m:t>
          </m:r>
          <m:r>
            <m:t>+</m:t>
          </m:r>
          <m:sSub>
            <m:e>
              <m:r>
                <m:t>e</m:t>
              </m:r>
            </m:e>
            <m:sub>
              <m:r>
                <m:t>i</m:t>
              </m:r>
            </m:sub>
          </m:sSub>
        </m:oMath>
      </m:oMathPara>
    </w:p>
    <w:p>
      <w:pPr>
        <w:pStyle w:val="FirstParagraph"/>
      </w:pPr>
      <m:oMath>
        <m:r>
          <m:t>g</m:t>
        </m:r>
        <m:r>
          <m:t>(</m:t>
        </m:r>
        <m:sSub>
          <m:e>
            <m:r>
              <m:rPr>
                <m:sty m:val="b"/>
              </m:rPr>
              <m:t>x</m:t>
            </m:r>
          </m:e>
          <m:sub>
            <m:r>
              <m:t>i</m:t>
            </m:r>
          </m:sub>
        </m:sSub>
        <m:r>
          <m:t>)</m:t>
        </m:r>
      </m:oMath>
      <w:r>
        <w:t xml:space="preserve">是基因型和表型的关联函数。模型都设法最小化一个特定的成本函数。最小二乘的成本函数是残差的平方和：</w:t>
      </w:r>
      <m:oMath>
        <m:r>
          <m:t>∑</m:t>
        </m:r>
        <m:sSubSup>
          <m:e>
            <m:r>
              <m:t>e</m:t>
            </m:r>
          </m:e>
          <m:sub>
            <m:r>
              <m:t>i</m:t>
            </m:r>
          </m:sub>
          <m:sup>
            <m:r>
              <m:t>2</m:t>
            </m:r>
          </m:sup>
        </m:sSubSup>
      </m:oMath>
      <w:r>
        <w:t xml:space="preserve">。</w:t>
      </w:r>
    </w:p>
    <w:p>
      <w:pPr>
        <w:pStyle w:val="Heading2"/>
      </w:pPr>
      <w:bookmarkStart w:id="21" w:name="blup"/>
      <w:bookmarkEnd w:id="21"/>
      <w:r>
        <w:t xml:space="preserve">岭回归（又叫随机回归BLUP）</w:t>
      </w:r>
    </w:p>
    <w:p>
      <w:pPr>
        <w:pStyle w:val="FirstParagraph"/>
      </w:pPr>
      <m:oMathPara>
        <m:oMathParaPr>
          <m:jc m:val="center"/>
        </m:oMathParaPr>
        <m:oMath>
          <m:r>
            <m:t>g</m:t>
          </m:r>
          <m:r>
            <m:t>(</m:t>
          </m:r>
          <m:sSub>
            <m:e>
              <m:r>
                <m:rPr>
                  <m:sty m:val="b"/>
                </m:rPr>
                <m:t>x</m:t>
              </m:r>
            </m:e>
            <m:sub>
              <m:r>
                <m:t>i</m:t>
              </m:r>
            </m:sub>
          </m:sSub>
          <m:r>
            <m:t>)</m:t>
          </m:r>
          <m:r>
            <m:t>=</m:t>
          </m:r>
          <m:nary>
            <m:naryPr>
              <m:chr m:val="∑"/>
              <m:limLoc m:val="undOvr"/>
              <m:subHide m:val="0"/>
              <m:supHide m:val="0"/>
            </m:naryPr>
            <m:sub>
              <m:r>
                <m:t>k</m:t>
              </m:r>
              <m:r>
                <m:t>=</m:t>
              </m:r>
              <m:r>
                <m:t>1</m:t>
              </m:r>
            </m:sub>
            <m:sup>
              <m:r>
                <m:t>p</m:t>
              </m:r>
            </m:sup>
            <m:e>
              <m:sSub>
                <m:e>
                  <m:r>
                    <m:t>x</m:t>
                  </m:r>
                </m:e>
                <m:sub>
                  <m:r>
                    <m:t>i</m:t>
                  </m:r>
                  <m:r>
                    <m:t>k</m:t>
                  </m:r>
                </m:sub>
              </m:sSub>
            </m:e>
          </m:nary>
          <m:sSub>
            <m:e>
              <m:r>
                <m:t>β</m:t>
              </m:r>
            </m:e>
            <m:sub>
              <m:r>
                <m:t>k</m:t>
              </m:r>
            </m:sub>
          </m:sSub>
        </m:oMath>
      </m:oMathPara>
    </w:p>
    <w:p>
      <w:pPr>
        <w:pStyle w:val="FirstParagraph"/>
      </w:pPr>
      <w:r>
        <w:t xml:space="preserve">遗传值是</w:t>
      </w:r>
      <m:oMath>
        <m:r>
          <m:t>p</m:t>
        </m:r>
      </m:oMath>
      <w:r>
        <w:t xml:space="preserve">个标记效应值之和。</w:t>
      </w:r>
    </w:p>
    <w:p>
      <w:pPr>
        <w:pStyle w:val="BodyText"/>
      </w:pPr>
      <m:oMathPara>
        <m:oMathParaPr>
          <m:jc m:val="center"/>
        </m:oMathParaPr>
        <m:oMath>
          <m:sSub>
            <m:e>
              <m:r>
                <m:t>β</m:t>
              </m:r>
            </m:e>
            <m:sub>
              <m:r>
                <m:t>i</m:t>
              </m:r>
            </m:sub>
          </m:sSub>
          <m:r>
            <m:t>=</m:t>
          </m:r>
          <m:r>
            <m:t>(</m:t>
          </m:r>
          <m:sSup>
            <m:e>
              <m:r>
                <m:rPr>
                  <m:sty m:val="b"/>
                </m:rPr>
                <m:t>X</m:t>
              </m:r>
            </m:e>
            <m:sup>
              <m:r>
                <m:t>′</m:t>
              </m:r>
            </m:sup>
          </m:sSup>
          <m:r>
            <m:rPr>
              <m:sty m:val="b"/>
            </m:rPr>
            <m:t>X</m:t>
          </m:r>
          <m:r>
            <m:t>+</m:t>
          </m:r>
          <m:r>
            <m:t>λ</m:t>
          </m:r>
          <m:r>
            <m:rPr>
              <m:sty m:val="b"/>
            </m:rPr>
            <m:t>I</m:t>
          </m:r>
          <m:sSup>
            <m:e>
              <m:r>
                <m:t>)</m:t>
              </m:r>
            </m:e>
            <m:sup>
              <m:r>
                <m:t>−</m:t>
              </m:r>
              <m:r>
                <m:t>1</m:t>
              </m:r>
            </m:sup>
          </m:sSup>
          <m:sSup>
            <m:e>
              <m:r>
                <m:rPr>
                  <m:sty m:val="b"/>
                </m:rPr>
                <m:t>X</m:t>
              </m:r>
            </m:e>
            <m:sup>
              <m:r>
                <m:t>′</m:t>
              </m:r>
            </m:sup>
          </m:sSup>
          <m:r>
            <m:t>y</m:t>
          </m:r>
        </m:oMath>
      </m:oMathPara>
    </w:p>
    <w:p>
      <w:pPr>
        <w:pStyle w:val="FirstParagraph"/>
      </w:pPr>
      <w:r>
        <w:t xml:space="preserve">与最小二乘的区别是多了一个</w:t>
      </w:r>
      <m:oMath>
        <m:r>
          <m:t>λ</m:t>
        </m:r>
        <m:r>
          <m:rPr>
            <m:sty m:val="b"/>
          </m:rPr>
          <m:t>I</m:t>
        </m:r>
      </m:oMath>
      <w:r>
        <w:t xml:space="preserve">项，引入的目的是避免矩阵</w:t>
      </w:r>
      <m:oMath>
        <m:sSup>
          <m:e>
            <m:r>
              <m:rPr>
                <m:sty m:val="b"/>
              </m:rPr>
              <m:t>X</m:t>
            </m:r>
          </m:e>
          <m:sup>
            <m:r>
              <m:t>′</m:t>
            </m:r>
          </m:sup>
        </m:sSup>
        <m:r>
          <m:rPr>
            <m:sty m:val="b"/>
          </m:rPr>
          <m:t>X</m:t>
        </m:r>
      </m:oMath>
      <w:r>
        <w:t xml:space="preserve">奇异，并且降低预测子间的共线性。</w:t>
      </w:r>
      <w:r>
        <w:t xml:space="preserve"> </w:t>
      </w:r>
      <m:oMath>
        <m:r>
          <m:t>λ</m:t>
        </m:r>
      </m:oMath>
      <w:r>
        <w:t xml:space="preserve">选择的标准是最小化模型误差；还有一个方法是假定标记效应从一个均值为0的正态分布中随机抽取的，然后解混合线性模型方程，</w:t>
      </w:r>
      <m:oMath>
        <m:r>
          <m:t>λ</m:t>
        </m:r>
      </m:oMath>
      <w:r>
        <w:t xml:space="preserve">是残差方差与标记效应方差的比值var(</w:t>
      </w:r>
      <w:r>
        <w:rPr>
          <w:i/>
        </w:rPr>
        <w:t xml:space="preserve">e</w:t>
      </w:r>
      <w:r>
        <w:t xml:space="preserve">)/var(</w:t>
      </w:r>
      <m:oMath>
        <m:r>
          <m:t>β</m:t>
        </m:r>
      </m:oMath>
      <w:r>
        <w:t xml:space="preserve">)。如果var(</w:t>
      </w:r>
      <m:oMath>
        <m:r>
          <m:t>β</m:t>
        </m:r>
      </m:oMath>
      <w:r>
        <w:t xml:space="preserve">)比var(</w:t>
      </w:r>
      <w:r>
        <w:rPr>
          <w:i/>
        </w:rPr>
        <w:t xml:space="preserve">e</w:t>
      </w:r>
      <w:r>
        <w:t xml:space="preserve">)小得多的话，会造成标记效应收缩到0，</w:t>
      </w:r>
      <m:oMath>
        <m:r>
          <m:t>λ</m:t>
        </m:r>
      </m:oMath>
      <w:r>
        <w:t xml:space="preserve">很大。</w:t>
      </w:r>
      <w:r>
        <w:t xml:space="preserve"> </w:t>
      </w:r>
      <w:r>
        <w:t xml:space="preserve">岭回归的成本函数是</w:t>
      </w:r>
    </w:p>
    <w:p>
      <w:pPr>
        <w:pStyle w:val="BodyText"/>
      </w:pPr>
      <m:oMathPara>
        <m:oMathParaPr>
          <m:jc m:val="center"/>
        </m:oMathParaPr>
        <m:oMath>
          <m:f>
            <m:fPr>
              <m:type m:val="bar"/>
            </m:fPr>
            <m:num>
              <m:r>
                <m:t>1</m:t>
              </m:r>
            </m:num>
            <m:den>
              <m:r>
                <m:t>2</m:t>
              </m:r>
            </m:den>
          </m:f>
          <m:nary>
            <m:naryPr>
              <m:chr m:val="∑"/>
              <m:limLoc m:val="undOvr"/>
              <m:subHide m:val="0"/>
              <m:supHide m:val="1"/>
            </m:naryPr>
            <m:sub>
              <m:r>
                <m:t>i</m:t>
              </m:r>
            </m:sub>
            <m:sup/>
            <m:e>
              <m:sSubSup>
                <m:e>
                  <m:r>
                    <m:t>e</m:t>
                  </m:r>
                </m:e>
                <m:sub>
                  <m:r>
                    <m:t>i</m:t>
                  </m:r>
                </m:sub>
                <m:sup>
                  <m:r>
                    <m:t>2</m:t>
                  </m:r>
                </m:sup>
              </m:sSubSup>
            </m:e>
          </m:nary>
          <m:r>
            <m:t>+</m:t>
          </m:r>
          <m:f>
            <m:fPr>
              <m:type m:val="bar"/>
            </m:fPr>
            <m:num>
              <m:r>
                <m:t>λ</m:t>
              </m:r>
            </m:num>
            <m:den>
              <m:r>
                <m:t>2</m:t>
              </m:r>
            </m:den>
          </m:f>
          <m:sSup>
            <m:e>
              <m:r>
                <m:rPr>
                  <m:sty m:val="b"/>
                </m:rPr>
                <m:t>b</m:t>
              </m:r>
            </m:e>
            <m:sup>
              <m:r>
                <m:t>′</m:t>
              </m:r>
            </m:sup>
          </m:sSup>
          <m:r>
            <m:rPr>
              <m:sty m:val="b"/>
            </m:rPr>
            <m:t>b</m:t>
          </m:r>
        </m:oMath>
      </m:oMathPara>
    </w:p>
    <w:p>
      <w:pPr>
        <w:pStyle w:val="FirstParagraph"/>
      </w:pPr>
      <w:r>
        <w:t xml:space="preserve">第二项称为约束（constraint）、惩罚（penalty）或正则化（regularizer）。</w:t>
      </w:r>
      <m:oMath>
        <m:r>
          <m:t>λ</m:t>
        </m:r>
      </m:oMath>
      <w:r>
        <w:t xml:space="preserve">越大，大的</w:t>
      </w:r>
      <m:oMath>
        <m:r>
          <m:t>β</m:t>
        </m:r>
      </m:oMath>
      <w:r>
        <w:t xml:space="preserve">收缩得越厉害。假设是标记效应同分布，指的是同样收缩到0，不是所有效应都相等。</w:t>
      </w:r>
    </w:p>
    <w:p>
      <w:pPr>
        <w:pStyle w:val="Heading2"/>
      </w:pPr>
      <w:bookmarkStart w:id="22" w:name="lasso-least-absolute-shrinkage-and-selection-operator"/>
      <w:bookmarkEnd w:id="22"/>
      <w:r>
        <w:t xml:space="preserve">LASSO Least absolute shrinkage and selection operator</w:t>
      </w:r>
    </w:p>
    <w:p>
      <w:pPr>
        <w:pStyle w:val="FirstParagraph"/>
      </w:pPr>
      <w:r>
        <w:t xml:space="preserve">LASSO的成本函数：</w:t>
      </w:r>
    </w:p>
    <w:p>
      <w:pPr>
        <w:pStyle w:val="BodyText"/>
      </w:pPr>
      <m:oMathPara>
        <m:oMathParaPr>
          <m:jc m:val="center"/>
        </m:oMathParaPr>
        <m:oMath>
          <m:f>
            <m:fPr>
              <m:type m:val="bar"/>
            </m:fPr>
            <m:num>
              <m:r>
                <m:t>1</m:t>
              </m:r>
            </m:num>
            <m:den>
              <m:r>
                <m:t>2</m:t>
              </m:r>
            </m:den>
          </m:f>
          <m:nary>
            <m:naryPr>
              <m:chr m:val="∑"/>
              <m:limLoc m:val="undOvr"/>
              <m:subHide m:val="0"/>
              <m:supHide m:val="1"/>
            </m:naryPr>
            <m:sub>
              <m:r>
                <m:t>i</m:t>
              </m:r>
            </m:sub>
            <m:sup/>
            <m:e>
              <m:sSubSup>
                <m:e>
                  <m:r>
                    <m:t>e</m:t>
                  </m:r>
                </m:e>
                <m:sub>
                  <m:r>
                    <m:t>i</m:t>
                  </m:r>
                </m:sub>
                <m:sup>
                  <m:r>
                    <m:t>2</m:t>
                  </m:r>
                </m:sup>
              </m:sSubSup>
            </m:e>
          </m:nary>
          <m:r>
            <m:t>+</m:t>
          </m:r>
          <m:f>
            <m:fPr>
              <m:type m:val="bar"/>
            </m:fPr>
            <m:num>
              <m:r>
                <m:t>λ</m:t>
              </m:r>
            </m:num>
            <m:den>
              <m:r>
                <m:t>2</m:t>
              </m:r>
            </m:den>
          </m:f>
          <m:nary>
            <m:naryPr>
              <m:chr m:val="∑"/>
              <m:limLoc m:val="undOvr"/>
              <m:subHide m:val="0"/>
              <m:supHide m:val="1"/>
            </m:naryPr>
            <m:sub>
              <m:r>
                <m:t>k</m:t>
              </m:r>
            </m:sub>
            <m:sup/>
            <m:e>
              <m:d>
                <m:dPr>
                  <m:begChr m:val="|"/>
                  <m:endChr m:val="|"/>
                  <m:grow/>
                </m:dPr>
                <m:e>
                  <m:sSub>
                    <m:e>
                      <m:r>
                        <m:t>β</m:t>
                      </m:r>
                    </m:e>
                    <m:sub>
                      <m:r>
                        <m:t>k</m:t>
                      </m:r>
                    </m:sub>
                  </m:sSub>
                </m:e>
              </m:d>
            </m:e>
          </m:nary>
        </m:oMath>
      </m:oMathPara>
    </w:p>
    <w:p>
      <w:pPr>
        <w:pStyle w:val="FirstParagraph"/>
      </w:pPr>
      <w:r>
        <w:t xml:space="preserve">与岭回归的共同点是都惩罚大的标记效应，二者的一般形式是：</w:t>
      </w:r>
    </w:p>
    <w:p>
      <w:pPr>
        <w:pStyle w:val="BodyText"/>
      </w:pPr>
      <m:oMathPara>
        <m:oMathParaPr>
          <m:jc m:val="center"/>
        </m:oMathParaPr>
        <m:oMath>
          <m:f>
            <m:fPr>
              <m:type m:val="bar"/>
            </m:fPr>
            <m:num>
              <m:r>
                <m:t>1</m:t>
              </m:r>
            </m:num>
            <m:den>
              <m:r>
                <m:t>2</m:t>
              </m:r>
            </m:den>
          </m:f>
          <m:nary>
            <m:naryPr>
              <m:chr m:val="∑"/>
              <m:limLoc m:val="undOvr"/>
              <m:subHide m:val="0"/>
              <m:supHide m:val="1"/>
            </m:naryPr>
            <m:sub>
              <m:r>
                <m:t>i</m:t>
              </m:r>
            </m:sub>
            <m:sup/>
            <m:e>
              <m:sSubSup>
                <m:e>
                  <m:r>
                    <m:t>e</m:t>
                  </m:r>
                </m:e>
                <m:sub>
                  <m:r>
                    <m:t>i</m:t>
                  </m:r>
                </m:sub>
                <m:sup>
                  <m:r>
                    <m:t>2</m:t>
                  </m:r>
                </m:sup>
              </m:sSubSup>
            </m:e>
          </m:nary>
          <m:r>
            <m:t>+</m:t>
          </m:r>
          <m:f>
            <m:fPr>
              <m:type m:val="bar"/>
            </m:fPr>
            <m:num>
              <m:r>
                <m:t>λ</m:t>
              </m:r>
            </m:num>
            <m:den>
              <m:r>
                <m:t>2</m:t>
              </m:r>
            </m:den>
          </m:f>
          <m:nary>
            <m:naryPr>
              <m:chr m:val="∑"/>
              <m:limLoc m:val="undOvr"/>
              <m:subHide m:val="0"/>
              <m:supHide m:val="1"/>
            </m:naryPr>
            <m:sub>
              <m:r>
                <m:t>k</m:t>
              </m:r>
            </m:sub>
            <m:sup/>
            <m:e>
              <m:sSup>
                <m:e>
                  <m:d>
                    <m:dPr>
                      <m:begChr m:val="|"/>
                      <m:endChr m:val="|"/>
                      <m:grow/>
                    </m:dPr>
                    <m:e>
                      <m:sSub>
                        <m:e>
                          <m:r>
                            <m:t>β</m:t>
                          </m:r>
                        </m:e>
                        <m:sub>
                          <m:r>
                            <m:t>k</m:t>
                          </m:r>
                        </m:sub>
                      </m:sSub>
                    </m:e>
                  </m:d>
                </m:e>
                <m:sup>
                  <m:r>
                    <m:t>q</m:t>
                  </m:r>
                </m:sup>
              </m:sSup>
            </m:e>
          </m:nary>
        </m:oMath>
      </m:oMathPara>
    </w:p>
    <w:p>
      <w:pPr>
        <w:pStyle w:val="FirstParagraph"/>
      </w:pPr>
      <w:r>
        <w:rPr>
          <w:i/>
        </w:rPr>
        <w:t xml:space="preserve">q</w:t>
      </w:r>
      <w:r>
        <w:t xml:space="preserve">=1时是LASSO，</w:t>
      </w:r>
      <w:r>
        <w:rPr>
          <w:i/>
        </w:rPr>
        <w:t xml:space="preserve">q</w:t>
      </w:r>
      <w:r>
        <w:t xml:space="preserve">=2时是RR-BLUP，</w:t>
      </w:r>
      <m:oMath>
        <m:r>
          <m:t>1</m:t>
        </m:r>
        <m:r>
          <m:t>≤</m:t>
        </m:r>
        <m:r>
          <m:t>q</m:t>
        </m:r>
        <m:r>
          <m:t>≤</m:t>
        </m:r>
        <m:r>
          <m:t>2</m:t>
        </m:r>
      </m:oMath>
      <w:r>
        <w:t xml:space="preserve">时，称为弹性网回归（elastic net）。因为正则化矩阵公式不同，LASSO的系数收缩比RR-BLUP的要强，而且一些系数收缩到0，产生一个稀疏模型，因此LASSO也能进行变量选择（所以有selection operator的意思）。LASSO的一个问题也是</w:t>
      </w:r>
      <m:oMath>
        <m:r>
          <m:t>λ</m:t>
        </m:r>
      </m:oMath>
      <w:r>
        <w:t xml:space="preserve">的取值问题。</w:t>
      </w:r>
      <w:r>
        <w:t xml:space="preserve"> </w:t>
      </w:r>
      <w:r>
        <w:t xml:space="preserve">Park and Casella (2008)提出贝叶斯LASSO。</w:t>
      </w:r>
      <w:r>
        <w:t xml:space="preserve"> </w:t>
      </w:r>
      <w:r>
        <w:t xml:space="preserve">在非贝叶斯LASSO中，解决方案允许有n - 1个非零回归系数。 这是一个问题，因为在密集的标记数据的情况下，没有理由为什么训练集中的个体数量应该限制具有非零效应的标记的数量。</w:t>
      </w:r>
    </w:p>
    <w:p>
      <w:pPr>
        <w:pStyle w:val="Heading2"/>
      </w:pPr>
      <w:bookmarkStart w:id="23" w:name="reproducing-kernel-hilbert-spaces-rkhs-and-support-vector-machine-regression"/>
      <w:bookmarkEnd w:id="23"/>
      <w:r>
        <w:t xml:space="preserve">Reproducing kernel Hilbert spaces (RKHS) and support vector machine regression</w:t>
      </w:r>
    </w:p>
    <w:p>
      <w:pPr>
        <w:pStyle w:val="FirstParagraph"/>
      </w:pPr>
      <w:r>
        <w:t xml:space="preserve">RKHS：经典加性遗传模型结合核函数。核函数将预测变量转换为观测值之间的一组距离，以产生一个</w:t>
      </w:r>
      <m:oMath>
        <m:r>
          <m:t>n</m:t>
        </m:r>
        <m:r>
          <m:t>×</m:t>
        </m:r>
        <m:r>
          <m:t>n</m:t>
        </m:r>
      </m:oMath>
      <w:r>
        <w:t xml:space="preserve">正定矩阵，用于线性模型。 __输入空间和特征空间__是这个文献中经常遇到的术语。 在GS的情况下，</w:t>
      </w:r>
      <w:r>
        <w:t xml:space="preserve"> </w:t>
      </w:r>
      <w:r>
        <w:rPr>
          <w:b/>
        </w:rPr>
        <w:t xml:space="preserve">输入数据是标记得分数据</w:t>
      </w:r>
      <w:r>
        <w:t xml:space="preserve">，因此，输入空间是多维空间，其中每个个体的位置由其标记分数确定。 通过</w:t>
      </w:r>
      <w:r>
        <w:t xml:space="preserve"> </w:t>
      </w:r>
      <w:r>
        <w:rPr>
          <w:b/>
        </w:rPr>
        <w:t xml:space="preserve">对输入数据应用内核函数将输入空间转换为特征空间</w:t>
      </w:r>
      <w:r>
        <w:t xml:space="preserve">。</w:t>
      </w:r>
      <w:r>
        <w:t xml:space="preserve"> </w:t>
      </w:r>
      <w:r>
        <w:t xml:space="preserve">RKHS可以用矩阵符号表示：</w:t>
      </w:r>
    </w:p>
    <w:p>
      <w:pPr>
        <w:pStyle w:val="BodyText"/>
      </w:pPr>
      <m:oMathPara>
        <m:oMathParaPr>
          <m:jc m:val="center"/>
        </m:oMathParaPr>
        <m:oMath>
          <m:r>
            <m:t>g</m:t>
          </m:r>
          <m:r>
            <m:t>(</m:t>
          </m:r>
          <m:r>
            <m:t>x</m:t>
          </m:r>
          <m:r>
            <m:t>)</m:t>
          </m:r>
          <m:r>
            <m:t>=</m:t>
          </m:r>
          <m:sSub>
            <m:e>
              <m:r>
                <m:rPr>
                  <m:sty m:val="b"/>
                </m:rPr>
                <m:t>K</m:t>
              </m:r>
            </m:e>
            <m:sub>
              <m:r>
                <m:t>h</m:t>
              </m:r>
            </m:sub>
          </m:sSub>
          <m:r>
            <m:rPr>
              <m:sty m:val="b"/>
            </m:rPr>
            <m:t>α</m:t>
          </m:r>
        </m:oMath>
      </m:oMathPara>
    </w:p>
    <w:p>
      <w:pPr>
        <w:pStyle w:val="FirstParagraph"/>
      </w:pPr>
      <m:oMath>
        <m:sSub>
          <m:e>
            <m:r>
              <m:rPr>
                <m:sty m:val="b"/>
              </m:rPr>
              <m:t>K</m:t>
            </m:r>
          </m:e>
          <m:sub>
            <m:r>
              <m:t>h</m:t>
            </m:r>
          </m:sub>
        </m:sSub>
      </m:oMath>
      <w:r>
        <w:t xml:space="preserve">是核心条目的矩阵，量化个体彼此之间的距离，就像量化系谱关系的加性关系矩阵，即个体之间的遗传距离。这里的区别在于，核函数包括一个或多个平滑参数（</w:t>
      </w:r>
      <w:r>
        <w:t xml:space="preserve"> </w:t>
      </w:r>
      <w:r>
        <w:rPr>
          <w:b/>
        </w:rPr>
        <w:t xml:space="preserve">h</w:t>
      </w:r>
      <w:r>
        <w:t xml:space="preserve">）以影响特征空间中的距离和输入空间中的距离之间的关系。</w:t>
      </w:r>
      <m:oMath>
        <m:r>
          <m:t>n</m:t>
        </m:r>
        <m:r>
          <m:t>×</m:t>
        </m:r>
        <m:r>
          <m:t>1</m:t>
        </m:r>
      </m:oMath>
      <w:r>
        <w:t xml:space="preserve">向量</w:t>
      </w:r>
      <m:oMath>
        <m:r>
          <m:t>α</m:t>
        </m:r>
      </m:oMath>
      <w:r>
        <w:t xml:space="preserve">可以被解释为可以使用标准混合模型方程估计的特征空间内的单独效应。CV或bootstrap方法可以用来确定h的最优值，例如在群体和性状之间的模型中允许很大的灵活性。RKHS方法可以在标准的定量遗传模型框架内解释。</w:t>
      </w:r>
      <w:r>
        <w:t xml:space="preserve"> </w:t>
      </w:r>
      <w:r>
        <w:t xml:space="preserve">由于内核方法包含了很大的灵活性，而且没有线性假设，所以它们可以</w:t>
      </w:r>
      <w:r>
        <w:t xml:space="preserve"> </w:t>
      </w:r>
      <w:r>
        <w:rPr>
          <w:b/>
        </w:rPr>
        <w:t xml:space="preserve">同时捕获所有类型的非加性效应</w:t>
      </w:r>
      <w:r>
        <w:t xml:space="preserve">。</w:t>
      </w:r>
      <w:r>
        <w:t xml:space="preserve"> </w:t>
      </w:r>
      <w:r>
        <w:rPr>
          <w:b/>
        </w:rPr>
        <w:t xml:space="preserve">支持向量机也是核方法。</w:t>
      </w:r>
      <w:r>
        <w:rPr>
          <w:b/>
          <w:b/>
        </w:rPr>
        <w:t xml:space="preserve">其成本函数可称为</w:t>
      </w:r>
      <w:r>
        <w:rPr>
          <w:b/>
          <w:b/>
        </w:rPr>
        <w:t xml:space="preserve"> </w:t>
      </w:r>
      <m:oMath>
        <m:r>
          <m:t>ε</m:t>
        </m:r>
      </m:oMath>
      <w:r>
        <w:rPr>
          <w:b/>
        </w:rPr>
        <w:t xml:space="preserve">-intensive</w:t>
      </w:r>
    </w:p>
    <w:p>
      <w:pPr>
        <w:pStyle w:val="BodyText"/>
      </w:pPr>
      <m:oMathPara>
        <m:oMathParaPr>
          <m:jc m:val="center"/>
        </m:oMathParaPr>
        <m:oMath>
          <m:r>
            <m:t>C</m:t>
          </m:r>
          <m:nary>
            <m:naryPr>
              <m:chr m:val="∑"/>
              <m:limLoc m:val="undOvr"/>
              <m:subHide m:val="0"/>
              <m:supHide m:val="1"/>
            </m:naryPr>
            <m:sub>
              <m:r>
                <m:t>i</m:t>
              </m:r>
            </m:sub>
            <m:sup/>
            <m:e>
              <m:sSub>
                <m:e>
                  <m:r>
                    <m:t>L</m:t>
                  </m:r>
                </m:e>
                <m:sub>
                  <m:r>
                    <m:t>ε</m:t>
                  </m:r>
                </m:sub>
              </m:sSub>
            </m:e>
          </m:nary>
          <m:r>
            <m:t>(</m:t>
          </m:r>
          <m:sSub>
            <m:e>
              <m:r>
                <m:t>e</m:t>
              </m:r>
            </m:e>
            <m:sub>
              <m:r>
                <m:t>i</m:t>
              </m:r>
            </m:sub>
          </m:sSub>
          <m:r>
            <m:t>)</m:t>
          </m:r>
          <m:r>
            <m:t>+</m:t>
          </m:r>
          <m:f>
            <m:fPr>
              <m:type m:val="bar"/>
            </m:fPr>
            <m:num>
              <m:r>
                <m:t>1</m:t>
              </m:r>
            </m:num>
            <m:den>
              <m:r>
                <m:t>2</m:t>
              </m:r>
            </m:den>
          </m:f>
          <m:sSup>
            <m:e>
              <m:r>
                <m:rPr>
                  <m:sty m:val="b"/>
                </m:rPr>
                <m:t>b</m:t>
              </m:r>
            </m:e>
            <m:sup>
              <m:r>
                <m:t>′</m:t>
              </m:r>
            </m:sup>
          </m:sSup>
          <m:r>
            <m:rPr>
              <m:sty m:val="b"/>
            </m:rPr>
            <m:t>b</m:t>
          </m:r>
        </m:oMath>
      </m:oMathPara>
    </w:p>
    <w:p>
      <w:pPr>
        <w:pStyle w:val="FirstParagraph"/>
      </w:pPr>
      <w:r>
        <w:t xml:space="preserve">C是一个用来衡量误差对成本函数的贡献的常数；</w:t>
      </w:r>
      <m:oMath>
        <m:sSub>
          <m:e>
            <m:r>
              <m:t>L</m:t>
            </m:r>
          </m:e>
          <m:sub>
            <m:r>
              <m:t>ε</m:t>
            </m:r>
          </m:sub>
        </m:sSub>
      </m:oMath>
    </w:p>
    <w:p>
      <w:pPr>
        <w:pStyle w:val="Bibliography"/>
      </w:pPr>
      <w:r>
        <w:t xml:space="preserve">Lorenz, Aaron J., Shiaoman Chao, Franco G. Asoro, Elliot L. Heffner, Takeshi Hayashi, Hiroyoshi Iwata, Kevin P. Smith, Mark E. Sorrells, and Jean-Luc Jannink. 2011. “Genomic Selection in Plant Breeding.” In</w:t>
      </w:r>
      <w:r>
        <w:t xml:space="preserve"> </w:t>
      </w:r>
      <w:r>
        <w:rPr>
          <w:i/>
        </w:rPr>
        <w:t xml:space="preserve">Advances in Agronomy</w:t>
      </w:r>
      <w:r>
        <w:t xml:space="preserve">, 110:77–123. C. doi:</w:t>
      </w:r>
      <w:hyperlink r:id="rId24">
        <w:r>
          <w:rPr>
            <w:rStyle w:val="Hyperlink"/>
          </w:rPr>
          <w:t xml:space="preserve">10.1016/B978-0-12-385531-2.00002-5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72fc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doi.org/10.1016/B978-0-12-385531-2.00002-5"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16/B978-0-12-385531-2.00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GS婵☆垪鈧磭鈧鈧冻缂氱弧&lt;84&gt;</dc:title>
  <dc:creator>Leiming Dong</dc:creator>
  <dcterms:created xsi:type="dcterms:W3CDTF">2018-01-29T00:22:32Z</dcterms:created>
  <dcterms:modified xsi:type="dcterms:W3CDTF">2018-01-29T00:22:32Z</dcterms:modified>
</cp:coreProperties>
</file>