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Install vmware in your system</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Download nagios xi.ova of your respective OS(windows)</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Open a virtual machine and browse ova file in your downloads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Browse the path and import the file VM</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The OVA file will begin importing</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Click “Play virtual machine.” This will boot up Nagios XI’s login prompt.</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You’ll see the player turn to black and begin loading at the bottom.</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 The final step in VMware Workstation Player is to login. You’ll see the login credentials highlighted on the right top corner of nagios xi image.</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Enter the details of user id and password</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Open up your preferred web browser. you would type in your specific IP address (found in VMware Workstation Player, just below the Nagios XI banner) and type it into the search bar. Hit ENTER on your keyboard when done</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You’re now able to access Nagios XI. Click the button to configure General Program Settings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Enter the given details and click install</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New login page will open and enter the details(user id and password)</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You logged into the nagiosxi</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Now open this page and go to configure on top of nagios xi bar</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Click configure wizards and click on NSclient.</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Give the address of system you want to monitor and click next</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Download nsclient agent after downloading run the client agent.</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While setting up accept terms and conditions &lt;&lt; choose typical setup &lt;&lt; give comma on the allowed hosts and type your server id ex(127.0.0.1,::1,192.168.1.123) and enable common check plugins and nsclient server and nrpe server.Copy the agent password below the allowed hosts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Enter the password on the agent password on the nagios web page</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Now click next on the webpage and click finish installation of client</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Go to home and open host status and monitor the servers.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