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33246">
      <w:pPr>
        <w:jc w:val="center"/>
        <w:rPr>
          <w:rFonts w:hint="eastAsia" w:ascii="微软雅黑" w:hAnsi="微软雅黑" w:eastAsia="微软雅黑" w:cs="微软雅黑"/>
          <w:sz w:val="18"/>
          <w:szCs w:val="18"/>
          <w:lang w:val="en-US" w:eastAsia="zh-CN"/>
        </w:rPr>
      </w:pPr>
    </w:p>
    <w:p w14:paraId="03159531">
      <w:pPr>
        <w:jc w:val="center"/>
        <w:rPr>
          <w:rFonts w:hint="eastAsia" w:ascii="微软雅黑" w:hAnsi="微软雅黑" w:eastAsia="微软雅黑" w:cs="微软雅黑"/>
          <w:sz w:val="18"/>
          <w:szCs w:val="18"/>
          <w:lang w:val="en-US" w:eastAsia="zh-CN"/>
        </w:rPr>
      </w:pPr>
    </w:p>
    <w:p w14:paraId="37AFB1E4">
      <w:pPr>
        <w:jc w:val="center"/>
        <w:rPr>
          <w:rFonts w:hint="eastAsia" w:ascii="微软雅黑" w:hAnsi="微软雅黑" w:eastAsia="微软雅黑" w:cs="微软雅黑"/>
          <w:sz w:val="18"/>
          <w:szCs w:val="18"/>
          <w:lang w:val="en-US" w:eastAsia="zh-CN"/>
        </w:rPr>
      </w:pPr>
    </w:p>
    <w:p w14:paraId="28A87B1F">
      <w:pPr>
        <w:jc w:val="center"/>
        <w:rPr>
          <w:rFonts w:hint="eastAsia" w:ascii="微软雅黑" w:hAnsi="微软雅黑" w:eastAsia="微软雅黑" w:cs="微软雅黑"/>
          <w:sz w:val="18"/>
          <w:szCs w:val="18"/>
          <w:lang w:val="en-US" w:eastAsia="zh-CN"/>
        </w:rPr>
      </w:pPr>
    </w:p>
    <w:p w14:paraId="50E2D4FE">
      <w:pPr>
        <w:jc w:val="center"/>
        <w:rPr>
          <w:rFonts w:hint="eastAsia" w:ascii="微软雅黑" w:hAnsi="微软雅黑" w:eastAsia="微软雅黑" w:cs="微软雅黑"/>
          <w:sz w:val="44"/>
          <w:szCs w:val="44"/>
          <w:lang w:val="en-US" w:eastAsia="zh-CN"/>
        </w:rPr>
      </w:pPr>
    </w:p>
    <w:p w14:paraId="2B4C0482">
      <w:pPr>
        <w:jc w:val="center"/>
        <w:rPr>
          <w:rFonts w:hint="eastAsia" w:ascii="微软雅黑" w:hAnsi="微软雅黑" w:eastAsia="微软雅黑" w:cs="微软雅黑"/>
          <w:sz w:val="44"/>
          <w:szCs w:val="44"/>
          <w:lang w:val="en-US" w:eastAsia="zh-CN"/>
        </w:rPr>
      </w:pPr>
    </w:p>
    <w:p w14:paraId="5AC764FA">
      <w:pPr>
        <w:jc w:val="center"/>
        <w:rPr>
          <w:rFonts w:hint="eastAsia" w:ascii="微软雅黑" w:hAnsi="微软雅黑" w:eastAsia="微软雅黑" w:cs="微软雅黑"/>
          <w:sz w:val="44"/>
          <w:szCs w:val="44"/>
          <w:lang w:val="en-US" w:eastAsia="zh-CN"/>
        </w:rPr>
      </w:pPr>
    </w:p>
    <w:p w14:paraId="68A1AE3C">
      <w:pPr>
        <w:jc w:val="center"/>
        <w:rPr>
          <w:rFonts w:hint="eastAsia" w:ascii="微软雅黑" w:hAnsi="微软雅黑" w:eastAsia="微软雅黑" w:cs="微软雅黑"/>
          <w:b/>
          <w:bCs/>
          <w:sz w:val="44"/>
          <w:szCs w:val="44"/>
          <w:lang w:val="en-US" w:eastAsia="zh-CN"/>
        </w:rPr>
      </w:pPr>
      <w:r>
        <w:rPr>
          <w:rFonts w:hint="eastAsia" w:ascii="微软雅黑" w:hAnsi="微软雅黑" w:eastAsia="微软雅黑" w:cs="微软雅黑"/>
          <w:b/>
          <w:bCs/>
          <w:sz w:val="44"/>
          <w:szCs w:val="44"/>
          <w:lang w:val="en-US" w:eastAsia="zh-CN"/>
        </w:rPr>
        <w:t>工艺智能体用户需求说明书</w:t>
      </w:r>
    </w:p>
    <w:p w14:paraId="58FDD96E">
      <w:pPr>
        <w:jc w:val="center"/>
        <w:rPr>
          <w:rFonts w:hint="eastAsia" w:ascii="微软雅黑" w:hAnsi="微软雅黑" w:eastAsia="微软雅黑" w:cs="微软雅黑"/>
          <w:sz w:val="36"/>
          <w:szCs w:val="36"/>
          <w:lang w:val="en-US" w:eastAsia="zh-CN"/>
        </w:rPr>
      </w:pPr>
      <w:r>
        <w:rPr>
          <w:rFonts w:hint="eastAsia" w:ascii="微软雅黑" w:hAnsi="微软雅黑" w:eastAsia="微软雅黑" w:cs="微软雅黑"/>
          <w:sz w:val="36"/>
          <w:szCs w:val="36"/>
          <w:lang w:val="en-US" w:eastAsia="zh-CN"/>
        </w:rPr>
        <w:t>Process Agent User Requirement Specification</w:t>
      </w:r>
    </w:p>
    <w:p w14:paraId="0CD9E084">
      <w:pPr>
        <w:rPr>
          <w:rFonts w:hint="eastAsia" w:ascii="微软雅黑" w:hAnsi="微软雅黑" w:eastAsia="微软雅黑" w:cs="微软雅黑"/>
          <w:sz w:val="36"/>
          <w:szCs w:val="36"/>
          <w:lang w:val="en-US" w:eastAsia="zh-CN"/>
        </w:rPr>
      </w:pPr>
      <w:r>
        <w:rPr>
          <w:rFonts w:hint="eastAsia" w:ascii="微软雅黑" w:hAnsi="微软雅黑" w:eastAsia="微软雅黑" w:cs="微软雅黑"/>
          <w:sz w:val="36"/>
          <w:szCs w:val="36"/>
          <w:lang w:val="en-US" w:eastAsia="zh-CN"/>
        </w:rPr>
        <w:br w:type="page"/>
      </w:r>
    </w:p>
    <w:p w14:paraId="215626CB">
      <w:pPr>
        <w:pStyle w:val="4"/>
        <w:bidi w:val="0"/>
        <w:rPr>
          <w:rFonts w:hint="eastAsia" w:ascii="微软雅黑" w:hAnsi="微软雅黑" w:eastAsia="微软雅黑" w:cs="微软雅黑"/>
          <w:b/>
          <w:bCs w:val="0"/>
          <w:sz w:val="28"/>
          <w:szCs w:val="22"/>
          <w:lang w:val="en-US" w:eastAsia="zh-CN"/>
        </w:rPr>
      </w:pPr>
      <w:r>
        <w:rPr>
          <w:rFonts w:hint="eastAsia" w:ascii="微软雅黑" w:hAnsi="微软雅黑" w:eastAsia="微软雅黑" w:cs="微软雅黑"/>
          <w:b/>
          <w:bCs w:val="0"/>
          <w:sz w:val="28"/>
          <w:szCs w:val="22"/>
          <w:lang w:val="en-US" w:eastAsia="zh-CN"/>
        </w:rPr>
        <w:t>一、目的</w:t>
      </w:r>
    </w:p>
    <w:p w14:paraId="0A8A467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本文档用于定义工艺智能体的用户需求，明确系统在批记录提取、批记录审核、数据分析及工艺优化等场景中的建设目标、功能边界和标准需求。</w:t>
      </w:r>
    </w:p>
    <w:p w14:paraId="303B933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工艺智能体旨在面向药品生产与工艺管理场景，围绕批记录、关键工艺参数、关键质量属性和稳定性数据，构建从数据采集、合规审核、统计分析到工艺优化的智能化闭环，帮助企业提升生产数据电子化水平、批记录审核效率、工艺过程监控能力和持续改进能力。</w:t>
      </w:r>
    </w:p>
    <w:p w14:paraId="317F14E9">
      <w:pPr>
        <w:pStyle w:val="4"/>
        <w:bidi w:val="0"/>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val="0"/>
          <w:sz w:val="28"/>
          <w:szCs w:val="22"/>
          <w:lang w:val="en-US" w:eastAsia="zh-CN"/>
        </w:rPr>
        <w:t>二、范围</w:t>
      </w:r>
    </w:p>
    <w:p w14:paraId="5BF37A65">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本URS适用于工艺智能体相关功能模块的需求定义，主要包括以下四个模块：</w:t>
      </w:r>
    </w:p>
    <w:p w14:paraId="79921250">
      <w:pPr>
        <w:rPr>
          <w:rFonts w:hint="eastAsia" w:ascii="微软雅黑" w:hAnsi="微软雅黑" w:eastAsia="微软雅黑" w:cs="微软雅黑"/>
          <w:sz w:val="18"/>
          <w:szCs w:val="18"/>
          <w:lang w:val="en-US" w:eastAsia="zh-CN"/>
        </w:rPr>
      </w:pPr>
    </w:p>
    <w:p w14:paraId="034BAB7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 批记录提取智能体</w:t>
      </w:r>
    </w:p>
    <w:p w14:paraId="2E37943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面向纸质批记录电子化与生产数据结构化场景，实现批记录模板管理、字段识别、数据采集、人工确认、数据导出和原始凭证归档。</w:t>
      </w:r>
    </w:p>
    <w:p w14:paraId="593F5DB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 批记录审核智能体</w:t>
      </w:r>
    </w:p>
    <w:p w14:paraId="4DD217CD">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面向批记录合规审核场景，基于审核规则、工艺图谱结构和AI判断能力，对批记录中的关键字段、操作记录、参数结果和合规风险进行自动校验，并辅助审核员完成异常处理和最终审核结论确认。</w:t>
      </w:r>
    </w:p>
    <w:p w14:paraId="43DD30B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 数据分析智能体</w:t>
      </w:r>
    </w:p>
    <w:p w14:paraId="169EE3F2">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面向工艺数据分析、过程能力评估和稳定性趋势判断场景，基于批记录提取数据及外部系统导入数据，对CPP、CQA数据进行SPC分析与过程能力评价。</w:t>
      </w:r>
    </w:p>
    <w:p w14:paraId="21BF2E3D">
      <w:pPr>
        <w:pStyle w:val="4"/>
        <w:bidi w:val="0"/>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val="0"/>
          <w:sz w:val="28"/>
          <w:szCs w:val="22"/>
          <w:lang w:val="en-US" w:eastAsia="zh-CN"/>
        </w:rPr>
        <w:t>三、产品概述</w:t>
      </w:r>
    </w:p>
    <w:p w14:paraId="380951D6">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工艺智能体是面向药品生产和工艺管理场景的智能化应用体系，核心目标是将生产过程中的纸质记录、非结构化文件、分散数据和经验判断转化为可采集、可追溯、可分析、可优化的数字化资产。从产品定位上看，工艺智能体是一套面向生产质量一体化管理的工艺智能化平台应用。系统当前分阶段落地批记录提取、批记录审核、数据分析、工艺优化等高价值场景，逐步形成“数据采集—合规审核—统计分析—工艺优化”的能力闭环。</w:t>
      </w:r>
      <w:bookmarkStart w:id="0" w:name="_GoBack"/>
      <w:bookmarkEnd w:id="0"/>
    </w:p>
    <w:p w14:paraId="44B8FCC2">
      <w:pPr>
        <w:rPr>
          <w:rFonts w:hint="eastAsia" w:ascii="微软雅黑" w:hAnsi="微软雅黑" w:eastAsia="微软雅黑" w:cs="微软雅黑"/>
          <w:sz w:val="18"/>
          <w:szCs w:val="18"/>
          <w:lang w:val="en-US" w:eastAsia="zh-CN"/>
        </w:rPr>
      </w:pPr>
    </w:p>
    <w:p w14:paraId="61292BA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3.1 批记录提取智能体</w:t>
      </w:r>
    </w:p>
    <w:p w14:paraId="603E35B2">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批记录提取智能体主要面向纸质批记录电子化和生产数据结构化场景，负责将扫描件、拍照件等非结构化批记录内容转化为可管理、可追溯、可分析的结构化数据。</w:t>
      </w:r>
    </w:p>
    <w:p w14:paraId="3BF24BBE">
      <w:pPr>
        <w:rPr>
          <w:rFonts w:hint="eastAsia" w:ascii="微软雅黑" w:hAnsi="微软雅黑" w:eastAsia="微软雅黑" w:cs="微软雅黑"/>
          <w:sz w:val="18"/>
          <w:szCs w:val="18"/>
          <w:lang w:val="en-US" w:eastAsia="zh-CN"/>
        </w:rPr>
      </w:pPr>
    </w:p>
    <w:p w14:paraId="58E0FE4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其产品定位是 生产现场数据采集入口。通过模板管理、字段识别、智能定位拍照、人工确认和电子化归档，帮助企业降低人工录入成本，解决纸质批记录数据难以沉淀、难以查询、难以分析的问题，为后续审核和分析提供数据基础。</w:t>
      </w:r>
    </w:p>
    <w:p w14:paraId="28F8A43C">
      <w:pPr>
        <w:rPr>
          <w:rFonts w:hint="eastAsia" w:ascii="微软雅黑" w:hAnsi="微软雅黑" w:eastAsia="微软雅黑" w:cs="微软雅黑"/>
          <w:sz w:val="18"/>
          <w:szCs w:val="18"/>
          <w:lang w:val="en-US" w:eastAsia="zh-CN"/>
        </w:rPr>
      </w:pPr>
    </w:p>
    <w:p w14:paraId="7D33EA1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3.2 批记录审核智能体</w:t>
      </w:r>
    </w:p>
    <w:p w14:paraId="17768082">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批记录审核智能体主要面向批记录合规核对和质量审核场景，基于审核规则、知识图谱结构和AI判断能力，对批记录中的关键字段、操作记录、参数结果和合规风险进行自动校验，并辅助审核员完成异常判断和最终结论确认。</w:t>
      </w:r>
    </w:p>
    <w:p w14:paraId="6865309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其产品定位是 批记录合规审核助手。通过规则配置、AI合规校验、审核工作台、异常处理、规则版本隔离和提交拦截机制，帮助企业提升批记录审核效率，降低人工漏审、误审和规则执行不一致的风险。</w:t>
      </w:r>
    </w:p>
    <w:p w14:paraId="57A52E54">
      <w:pPr>
        <w:rPr>
          <w:rFonts w:hint="eastAsia" w:ascii="微软雅黑" w:hAnsi="微软雅黑" w:eastAsia="微软雅黑" w:cs="微软雅黑"/>
          <w:sz w:val="18"/>
          <w:szCs w:val="18"/>
          <w:lang w:val="en-US" w:eastAsia="zh-CN"/>
        </w:rPr>
      </w:pPr>
    </w:p>
    <w:p w14:paraId="16E548A0">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3.3 数据分析智能体</w:t>
      </w:r>
    </w:p>
    <w:p w14:paraId="625912B4">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数据分析智能体主要面向工艺数据分析、过程能力评估和稳定性趋势判断场景，基于批记录提取数据及外部系统导入数据，对CPP、CQA数据等进行统计过程控制、趋势分析、能力评价和批次对比。</w:t>
      </w:r>
    </w:p>
    <w:p w14:paraId="2DA6A4BE">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其产品定位是 工艺数据洞察与过程监控工具。通过SPC控制图、过程能力指数等信息，帮助企业从“事后记录”走向“过程监控”和“趋势预警”，为质量回顾、工艺验证和持续改进提供数据支撑。</w:t>
      </w:r>
    </w:p>
    <w:p w14:paraId="0F521655">
      <w:pPr>
        <w:pStyle w:val="4"/>
        <w:bidi w:val="0"/>
        <w:rPr>
          <w:rFonts w:hint="eastAsia" w:ascii="微软雅黑" w:hAnsi="微软雅黑" w:eastAsia="微软雅黑" w:cs="微软雅黑"/>
          <w:b/>
          <w:bCs w:val="0"/>
          <w:sz w:val="28"/>
          <w:szCs w:val="22"/>
          <w:lang w:val="en-US" w:eastAsia="zh-CN"/>
        </w:rPr>
      </w:pPr>
      <w:r>
        <w:rPr>
          <w:rFonts w:hint="eastAsia" w:ascii="微软雅黑" w:hAnsi="微软雅黑" w:eastAsia="微软雅黑" w:cs="微软雅黑"/>
          <w:b/>
          <w:bCs w:val="0"/>
          <w:sz w:val="28"/>
          <w:szCs w:val="22"/>
          <w:lang w:val="en-US" w:eastAsia="zh-CN"/>
        </w:rPr>
        <w:t>四、缩略语与定义</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8"/>
        <w:gridCol w:w="3818"/>
        <w:gridCol w:w="3536"/>
      </w:tblGrid>
      <w:tr w14:paraId="289B7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03C89A9A">
            <w:pPr>
              <w:jc w:val="left"/>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缩略语</w:t>
            </w:r>
          </w:p>
        </w:tc>
        <w:tc>
          <w:tcPr>
            <w:tcW w:w="3818" w:type="dxa"/>
          </w:tcPr>
          <w:p w14:paraId="5268F906">
            <w:pPr>
              <w:jc w:val="left"/>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定义</w:t>
            </w:r>
          </w:p>
        </w:tc>
        <w:tc>
          <w:tcPr>
            <w:tcW w:w="3536" w:type="dxa"/>
          </w:tcPr>
          <w:p w14:paraId="34E22D61">
            <w:pPr>
              <w:jc w:val="left"/>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说明</w:t>
            </w:r>
          </w:p>
        </w:tc>
      </w:tr>
      <w:tr w14:paraId="7CEEA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trPr>
        <w:tc>
          <w:tcPr>
            <w:tcW w:w="1168" w:type="dxa"/>
          </w:tcPr>
          <w:p w14:paraId="0502D5B4">
            <w:pPr>
              <w:jc w:val="left"/>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URS</w:t>
            </w:r>
          </w:p>
        </w:tc>
        <w:tc>
          <w:tcPr>
            <w:tcW w:w="3818" w:type="dxa"/>
          </w:tcPr>
          <w:p w14:paraId="4BD5AF74">
            <w:pPr>
              <w:jc w:val="left"/>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vertAlign w:val="baseline"/>
                <w:lang w:val="en-US" w:eastAsia="zh-CN"/>
              </w:rPr>
              <w:t>User Requirements Specification</w:t>
            </w:r>
          </w:p>
        </w:tc>
        <w:tc>
          <w:tcPr>
            <w:tcW w:w="3536" w:type="dxa"/>
          </w:tcPr>
          <w:p w14:paraId="5BA91D6C">
            <w:pP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用户需求规格说明书，用于定义用户方对系统的业务、功能、法规、质量及数据完整性要求</w:t>
            </w:r>
          </w:p>
        </w:tc>
      </w:tr>
      <w:tr w14:paraId="481D3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3D5CBD49">
            <w:pPr>
              <w:jc w:val="left"/>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BRE</w:t>
            </w:r>
          </w:p>
        </w:tc>
        <w:tc>
          <w:tcPr>
            <w:tcW w:w="3818" w:type="dxa"/>
          </w:tcPr>
          <w:p w14:paraId="3144B381">
            <w:pPr>
              <w:jc w:val="left"/>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Batch Record Extraction</w:t>
            </w:r>
          </w:p>
        </w:tc>
        <w:tc>
          <w:tcPr>
            <w:tcW w:w="3536" w:type="dxa"/>
          </w:tcPr>
          <w:p w14:paraId="3BF4AF78">
            <w:pPr>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批记录合规审核模块，用于基于规则和AI能力对批记录进行合规校验与审核辅助</w:t>
            </w:r>
          </w:p>
        </w:tc>
      </w:tr>
      <w:tr w14:paraId="3D300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1167FFD6">
            <w:pPr>
              <w:jc w:val="left"/>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BRC</w:t>
            </w:r>
          </w:p>
        </w:tc>
        <w:tc>
          <w:tcPr>
            <w:tcW w:w="3818" w:type="dxa"/>
          </w:tcPr>
          <w:p w14:paraId="0572277B">
            <w:pPr>
              <w:jc w:val="left"/>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Batch Record Compliance</w:t>
            </w:r>
          </w:p>
        </w:tc>
        <w:tc>
          <w:tcPr>
            <w:tcW w:w="3536" w:type="dxa"/>
          </w:tcPr>
          <w:p w14:paraId="1CA8EC5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批记录合规审核模块，用于基于规则和AI能力对批记录进行合规校验与审核辅助</w:t>
            </w:r>
          </w:p>
          <w:p w14:paraId="073B2466">
            <w:pPr>
              <w:jc w:val="left"/>
              <w:rPr>
                <w:rFonts w:hint="eastAsia" w:ascii="微软雅黑" w:hAnsi="微软雅黑" w:eastAsia="微软雅黑" w:cs="微软雅黑"/>
                <w:sz w:val="18"/>
                <w:szCs w:val="18"/>
                <w:vertAlign w:val="baseline"/>
                <w:lang w:val="en-US" w:eastAsia="zh-CN"/>
              </w:rPr>
            </w:pPr>
          </w:p>
        </w:tc>
      </w:tr>
      <w:tr w14:paraId="70E76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6EFFF5E2">
            <w:pPr>
              <w:jc w:val="left"/>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BDA</w:t>
            </w:r>
          </w:p>
        </w:tc>
        <w:tc>
          <w:tcPr>
            <w:tcW w:w="3818" w:type="dxa"/>
          </w:tcPr>
          <w:p w14:paraId="5AB278B3">
            <w:pPr>
              <w:jc w:val="left"/>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Batch Data Analysis</w:t>
            </w:r>
          </w:p>
        </w:tc>
        <w:tc>
          <w:tcPr>
            <w:tcW w:w="3536" w:type="dxa"/>
          </w:tcPr>
          <w:p w14:paraId="2A9A5A76">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数据分析模块，用于对CPP、CQA、稳定性数据等进行统计分析、趋势判断和过程能力评价</w:t>
            </w:r>
          </w:p>
          <w:p w14:paraId="3F4530DA">
            <w:pPr>
              <w:jc w:val="left"/>
              <w:rPr>
                <w:rFonts w:hint="eastAsia" w:ascii="微软雅黑" w:hAnsi="微软雅黑" w:eastAsia="微软雅黑" w:cs="微软雅黑"/>
                <w:sz w:val="18"/>
                <w:szCs w:val="18"/>
                <w:vertAlign w:val="baseline"/>
                <w:lang w:val="en-US" w:eastAsia="zh-CN"/>
              </w:rPr>
            </w:pPr>
          </w:p>
        </w:tc>
      </w:tr>
      <w:tr w14:paraId="04A19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62B96186">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CPP</w:t>
            </w:r>
          </w:p>
        </w:tc>
        <w:tc>
          <w:tcPr>
            <w:tcW w:w="3818" w:type="dxa"/>
          </w:tcPr>
          <w:p w14:paraId="0779260E">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Critical Process Parameter</w:t>
            </w:r>
          </w:p>
        </w:tc>
        <w:tc>
          <w:tcPr>
            <w:tcW w:w="3536" w:type="dxa"/>
          </w:tcPr>
          <w:p w14:paraId="7DA0701B">
            <w:pPr>
              <w:jc w:val="left"/>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关键工艺参数，对产品质量有显著影响的工艺过程参数</w:t>
            </w:r>
          </w:p>
        </w:tc>
      </w:tr>
      <w:tr w14:paraId="16962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099E315E">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CQA</w:t>
            </w:r>
          </w:p>
        </w:tc>
        <w:tc>
          <w:tcPr>
            <w:tcW w:w="3818" w:type="dxa"/>
          </w:tcPr>
          <w:p w14:paraId="2A24D4A7">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Critical Quality Attribute</w:t>
            </w:r>
          </w:p>
        </w:tc>
        <w:tc>
          <w:tcPr>
            <w:tcW w:w="3536" w:type="dxa"/>
          </w:tcPr>
          <w:p w14:paraId="0CBF6B76">
            <w:pPr>
              <w:jc w:val="left"/>
              <w:rPr>
                <w:rFonts w:hint="eastAsia" w:ascii="微软雅黑" w:hAnsi="微软雅黑" w:eastAsia="微软雅黑" w:cs="微软雅黑"/>
                <w:sz w:val="18"/>
                <w:szCs w:val="18"/>
                <w:vertAlign w:val="baseline"/>
                <w:lang w:val="en-US" w:eastAsia="zh-CN"/>
              </w:rPr>
            </w:pPr>
            <w:r>
              <w:rPr>
                <w:rFonts w:hint="eastAsia" w:ascii="微软雅黑" w:hAnsi="微软雅黑" w:eastAsia="微软雅黑" w:cs="微软雅黑"/>
                <w:sz w:val="18"/>
                <w:szCs w:val="18"/>
                <w:lang w:val="en-US" w:eastAsia="zh-CN"/>
              </w:rPr>
              <w:t>关键质量属性，与产品安全性、有效性和质量一致性密切相关的质量属性</w:t>
            </w:r>
          </w:p>
        </w:tc>
      </w:tr>
      <w:tr w14:paraId="5C649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1301750E">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SPC</w:t>
            </w:r>
          </w:p>
        </w:tc>
        <w:tc>
          <w:tcPr>
            <w:tcW w:w="3818" w:type="dxa"/>
          </w:tcPr>
          <w:p w14:paraId="7A515D10">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Statistical Process Control</w:t>
            </w:r>
          </w:p>
        </w:tc>
        <w:tc>
          <w:tcPr>
            <w:tcW w:w="3536" w:type="dxa"/>
          </w:tcPr>
          <w:p w14:paraId="6DDC6D43">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统计过程控制，通过控制图等方法监控过程稳定性</w:t>
            </w:r>
          </w:p>
        </w:tc>
      </w:tr>
      <w:tr w14:paraId="11B4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4A59D492">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CL</w:t>
            </w:r>
          </w:p>
        </w:tc>
        <w:tc>
          <w:tcPr>
            <w:tcW w:w="3818" w:type="dxa"/>
          </w:tcPr>
          <w:p w14:paraId="71B70621">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Center Line</w:t>
            </w:r>
          </w:p>
        </w:tc>
        <w:tc>
          <w:tcPr>
            <w:tcW w:w="3536" w:type="dxa"/>
          </w:tcPr>
          <w:p w14:paraId="08364C32">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控制图中心线</w:t>
            </w:r>
          </w:p>
        </w:tc>
      </w:tr>
      <w:tr w14:paraId="60A47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72CB69E1">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UCL</w:t>
            </w:r>
          </w:p>
        </w:tc>
        <w:tc>
          <w:tcPr>
            <w:tcW w:w="3818" w:type="dxa"/>
          </w:tcPr>
          <w:p w14:paraId="1E31B172">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Upper Control Limit</w:t>
            </w:r>
          </w:p>
        </w:tc>
        <w:tc>
          <w:tcPr>
            <w:tcW w:w="3536" w:type="dxa"/>
          </w:tcPr>
          <w:p w14:paraId="5A7BD9A9">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控制上限</w:t>
            </w:r>
          </w:p>
        </w:tc>
      </w:tr>
      <w:tr w14:paraId="45CD1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79CD73F3">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LCL</w:t>
            </w:r>
          </w:p>
        </w:tc>
        <w:tc>
          <w:tcPr>
            <w:tcW w:w="3818" w:type="dxa"/>
          </w:tcPr>
          <w:p w14:paraId="2829DE3A">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Lower Control Limit</w:t>
            </w:r>
          </w:p>
        </w:tc>
        <w:tc>
          <w:tcPr>
            <w:tcW w:w="3536" w:type="dxa"/>
          </w:tcPr>
          <w:p w14:paraId="68B0F8C9">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控制下限</w:t>
            </w:r>
          </w:p>
        </w:tc>
      </w:tr>
      <w:tr w14:paraId="6965D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21676313">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USL</w:t>
            </w:r>
          </w:p>
        </w:tc>
        <w:tc>
          <w:tcPr>
            <w:tcW w:w="3818" w:type="dxa"/>
          </w:tcPr>
          <w:p w14:paraId="3BFCFD13">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Upper Specification Limit</w:t>
            </w:r>
          </w:p>
        </w:tc>
        <w:tc>
          <w:tcPr>
            <w:tcW w:w="3536" w:type="dxa"/>
          </w:tcPr>
          <w:p w14:paraId="14F90170">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规格上限</w:t>
            </w:r>
          </w:p>
        </w:tc>
      </w:tr>
      <w:tr w14:paraId="4640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10C51830">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LSL</w:t>
            </w:r>
          </w:p>
        </w:tc>
        <w:tc>
          <w:tcPr>
            <w:tcW w:w="3818" w:type="dxa"/>
          </w:tcPr>
          <w:p w14:paraId="5AACD9BA">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Lower Specification Limit</w:t>
            </w:r>
          </w:p>
        </w:tc>
        <w:tc>
          <w:tcPr>
            <w:tcW w:w="3536" w:type="dxa"/>
          </w:tcPr>
          <w:p w14:paraId="57785FD0">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规格下限</w:t>
            </w:r>
          </w:p>
        </w:tc>
      </w:tr>
      <w:tr w14:paraId="36D86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56F56EF0">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CP</w:t>
            </w:r>
          </w:p>
        </w:tc>
        <w:tc>
          <w:tcPr>
            <w:tcW w:w="3818" w:type="dxa"/>
          </w:tcPr>
          <w:p w14:paraId="778A7C0F">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Process Capability Index</w:t>
            </w:r>
          </w:p>
        </w:tc>
        <w:tc>
          <w:tcPr>
            <w:tcW w:w="3536" w:type="dxa"/>
          </w:tcPr>
          <w:p w14:paraId="1C974F3F">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过程精度指数，用于衡量过程波动相对于规格限的能力</w:t>
            </w:r>
          </w:p>
        </w:tc>
      </w:tr>
      <w:tr w14:paraId="7376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2B7710B9">
            <w:pPr>
              <w:tabs>
                <w:tab w:val="center" w:pos="476"/>
              </w:tabs>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CPK</w:t>
            </w:r>
          </w:p>
        </w:tc>
        <w:tc>
          <w:tcPr>
            <w:tcW w:w="3818" w:type="dxa"/>
          </w:tcPr>
          <w:p w14:paraId="7870730E">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Process Capability Index Considering Centering</w:t>
            </w:r>
          </w:p>
        </w:tc>
        <w:tc>
          <w:tcPr>
            <w:tcW w:w="3536" w:type="dxa"/>
          </w:tcPr>
          <w:p w14:paraId="6D99BA82">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考虑过程均值偏移后的过程能力指数</w:t>
            </w:r>
          </w:p>
        </w:tc>
      </w:tr>
      <w:tr w14:paraId="2E968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1DD20469">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PP</w:t>
            </w:r>
          </w:p>
        </w:tc>
        <w:tc>
          <w:tcPr>
            <w:tcW w:w="3818" w:type="dxa"/>
          </w:tcPr>
          <w:p w14:paraId="2CA73C3A">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Process Performance Index</w:t>
            </w:r>
          </w:p>
        </w:tc>
        <w:tc>
          <w:tcPr>
            <w:tcW w:w="3536" w:type="dxa"/>
          </w:tcPr>
          <w:p w14:paraId="2550C7CA">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过程性能指数，基于总体标准差衡量过程表现</w:t>
            </w:r>
          </w:p>
        </w:tc>
      </w:tr>
      <w:tr w14:paraId="1E178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5AD2A473">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PPK</w:t>
            </w:r>
          </w:p>
        </w:tc>
        <w:tc>
          <w:tcPr>
            <w:tcW w:w="3818" w:type="dxa"/>
          </w:tcPr>
          <w:p w14:paraId="6E73DB30">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Process Performance Index Considering Centering</w:t>
            </w:r>
          </w:p>
        </w:tc>
        <w:tc>
          <w:tcPr>
            <w:tcW w:w="3536" w:type="dxa"/>
          </w:tcPr>
          <w:p w14:paraId="1C92FE09">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考虑均值偏移后的过程性能指数</w:t>
            </w:r>
          </w:p>
        </w:tc>
      </w:tr>
      <w:tr w14:paraId="33EEC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1C7E2A2F">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Poolability</w:t>
            </w:r>
          </w:p>
        </w:tc>
        <w:tc>
          <w:tcPr>
            <w:tcW w:w="3818" w:type="dxa"/>
          </w:tcPr>
          <w:p w14:paraId="0B36132C">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合并分析适用性检验</w:t>
            </w:r>
          </w:p>
        </w:tc>
        <w:tc>
          <w:tcPr>
            <w:tcW w:w="3536" w:type="dxa"/>
          </w:tcPr>
          <w:p w14:paraId="087DAA8D">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判断不同批次稳定性数据是否可合并分析</w:t>
            </w:r>
          </w:p>
        </w:tc>
      </w:tr>
      <w:tr w14:paraId="55D4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7997ABE7">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AI</w:t>
            </w:r>
          </w:p>
        </w:tc>
        <w:tc>
          <w:tcPr>
            <w:tcW w:w="3818" w:type="dxa"/>
          </w:tcPr>
          <w:p w14:paraId="6AACA67A">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Artificial Intelligence</w:t>
            </w:r>
          </w:p>
        </w:tc>
        <w:tc>
          <w:tcPr>
            <w:tcW w:w="3536" w:type="dxa"/>
          </w:tcPr>
          <w:p w14:paraId="630B080E">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人工智能</w:t>
            </w:r>
          </w:p>
        </w:tc>
      </w:tr>
      <w:tr w14:paraId="62DA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tcPr>
          <w:p w14:paraId="29C0E335">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OCR</w:t>
            </w:r>
          </w:p>
        </w:tc>
        <w:tc>
          <w:tcPr>
            <w:tcW w:w="3818" w:type="dxa"/>
          </w:tcPr>
          <w:p w14:paraId="48849B85">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Optical Character Recognition</w:t>
            </w:r>
          </w:p>
        </w:tc>
        <w:tc>
          <w:tcPr>
            <w:tcW w:w="3536" w:type="dxa"/>
          </w:tcPr>
          <w:p w14:paraId="48B6FB77">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光学字符识别，用于从图片或扫描件中识别文字</w:t>
            </w:r>
          </w:p>
        </w:tc>
      </w:tr>
    </w:tbl>
    <w:p w14:paraId="75D2A6AF">
      <w:pPr>
        <w:rPr>
          <w:rFonts w:hint="eastAsia" w:ascii="微软雅黑" w:hAnsi="微软雅黑" w:eastAsia="微软雅黑" w:cs="微软雅黑"/>
          <w:sz w:val="18"/>
          <w:szCs w:val="18"/>
          <w:lang w:val="en-US" w:eastAsia="zh-CN"/>
        </w:rPr>
      </w:pPr>
    </w:p>
    <w:p w14:paraId="3FEDA319">
      <w:pPr>
        <w:pStyle w:val="4"/>
        <w:numPr>
          <w:ilvl w:val="0"/>
          <w:numId w:val="1"/>
        </w:numPr>
        <w:bidi w:val="0"/>
        <w:rPr>
          <w:rFonts w:hint="eastAsia" w:ascii="微软雅黑" w:hAnsi="微软雅黑" w:eastAsia="微软雅黑" w:cs="微软雅黑"/>
          <w:b/>
          <w:bCs w:val="0"/>
          <w:sz w:val="28"/>
          <w:szCs w:val="22"/>
          <w:lang w:val="en-US" w:eastAsia="zh-CN"/>
        </w:rPr>
      </w:pPr>
      <w:r>
        <w:rPr>
          <w:rFonts w:hint="eastAsia" w:ascii="微软雅黑" w:hAnsi="微软雅黑" w:eastAsia="微软雅黑" w:cs="微软雅黑"/>
          <w:b/>
          <w:bCs w:val="0"/>
          <w:sz w:val="28"/>
          <w:szCs w:val="22"/>
          <w:lang w:val="en-US" w:eastAsia="zh-CN"/>
        </w:rPr>
        <w:t>标准需求清单</w:t>
      </w:r>
    </w:p>
    <w:p w14:paraId="0AF4F8BF">
      <w:pPr>
        <w:rPr>
          <w:rFonts w:hint="eastAsia"/>
          <w:lang w:val="en-US" w:eastAsia="zh-CN"/>
        </w:rPr>
      </w:pPr>
      <w:r>
        <w:rPr>
          <w:rFonts w:hint="eastAsia" w:ascii="微软雅黑" w:hAnsi="微软雅黑" w:eastAsia="微软雅黑" w:cs="微软雅黑"/>
          <w:sz w:val="18"/>
          <w:szCs w:val="18"/>
          <w:lang w:val="en-US" w:eastAsia="zh-CN"/>
        </w:rPr>
        <w:t>5.1 批记录提取模块（BRE）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5302"/>
        <w:gridCol w:w="1951"/>
      </w:tblGrid>
      <w:tr w14:paraId="616F8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158D3E39">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序号</w:t>
            </w:r>
          </w:p>
        </w:tc>
        <w:tc>
          <w:tcPr>
            <w:tcW w:w="5302" w:type="dxa"/>
          </w:tcPr>
          <w:p w14:paraId="532E9EE5">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需求描述</w:t>
            </w:r>
          </w:p>
        </w:tc>
        <w:tc>
          <w:tcPr>
            <w:tcW w:w="1951" w:type="dxa"/>
          </w:tcPr>
          <w:p w14:paraId="4BA5C128">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必要性</w:t>
            </w:r>
          </w:p>
        </w:tc>
      </w:tr>
      <w:tr w14:paraId="6AC6F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3B965B93">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URS-BRE-01</w:t>
            </w:r>
          </w:p>
        </w:tc>
        <w:tc>
          <w:tcPr>
            <w:tcW w:w="5302" w:type="dxa"/>
          </w:tcPr>
          <w:p w14:paraId="7F2967A0">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系统需覆盖生产配置、任务下发、数据采集与审计追溯的完整闭环；</w:t>
            </w:r>
          </w:p>
        </w:tc>
        <w:tc>
          <w:tcPr>
            <w:tcW w:w="1951" w:type="dxa"/>
          </w:tcPr>
          <w:p w14:paraId="521D6540">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67A6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73220F55">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URS-BRE-02</w:t>
            </w:r>
          </w:p>
        </w:tc>
        <w:tc>
          <w:tcPr>
            <w:tcW w:w="5302" w:type="dxa"/>
          </w:tcPr>
          <w:p w14:paraId="7E924EBC">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系统应该支持对产品及产品模板进行管理；</w:t>
            </w:r>
          </w:p>
        </w:tc>
        <w:tc>
          <w:tcPr>
            <w:tcW w:w="1951" w:type="dxa"/>
          </w:tcPr>
          <w:p w14:paraId="25EEED2A">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1DB7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644B591B">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URS-BRE-03</w:t>
            </w:r>
          </w:p>
        </w:tc>
        <w:tc>
          <w:tcPr>
            <w:tcW w:w="5302" w:type="dxa"/>
          </w:tcPr>
          <w:p w14:paraId="7A321841">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系统应支持通过自动提取批记录模板内容的方式完成内容提取规则的配置，实现采集模板的规范化管理；</w:t>
            </w:r>
          </w:p>
        </w:tc>
        <w:tc>
          <w:tcPr>
            <w:tcW w:w="1951" w:type="dxa"/>
          </w:tcPr>
          <w:p w14:paraId="4450F53A">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126D6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72D8B767">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URS-BRE-04</w:t>
            </w:r>
          </w:p>
        </w:tc>
        <w:tc>
          <w:tcPr>
            <w:tcW w:w="5302" w:type="dxa"/>
          </w:tcPr>
          <w:p w14:paraId="408A259D">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支持面向生产现场的执行端，允许用户在管理端或执行端新建批次数据，并可基于存量纸质批记录扫描件批量上传完成集中采集，针对增量数据实现智能定位拍照采集，并建立采集与人工确认机制，降低人工采集负担；</w:t>
            </w:r>
          </w:p>
        </w:tc>
        <w:tc>
          <w:tcPr>
            <w:tcW w:w="1951" w:type="dxa"/>
          </w:tcPr>
          <w:p w14:paraId="0CE161A9">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7925D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702772A0">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URS-BRE-05</w:t>
            </w:r>
          </w:p>
        </w:tc>
        <w:tc>
          <w:tcPr>
            <w:tcW w:w="5302" w:type="dxa"/>
          </w:tcPr>
          <w:p w14:paraId="22E520B9">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系统需支持所有基础数据、采集模板、批次任务的全生命周期管理，且对各类操作保留完整审计痕迹；</w:t>
            </w:r>
          </w:p>
        </w:tc>
        <w:tc>
          <w:tcPr>
            <w:tcW w:w="1951" w:type="dxa"/>
          </w:tcPr>
          <w:p w14:paraId="3B910F5C">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4E3B8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1669B712">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URS-BRE-06</w:t>
            </w:r>
          </w:p>
        </w:tc>
        <w:tc>
          <w:tcPr>
            <w:tcW w:w="5302" w:type="dxa"/>
          </w:tcPr>
          <w:p w14:paraId="7DB6FC3E">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系统需实现纸质批记录采集数据的人工确认、审核与导出功能，支持按多维度筛选导出结构化电子数据，同时关联原始扫描件/拍照件完成电子化归档，保障数据的完整性与可调阅性。</w:t>
            </w:r>
          </w:p>
        </w:tc>
        <w:tc>
          <w:tcPr>
            <w:tcW w:w="1951" w:type="dxa"/>
          </w:tcPr>
          <w:p w14:paraId="3234B18F">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bl>
    <w:p w14:paraId="0090171D">
      <w:pPr>
        <w:rPr>
          <w:rFonts w:hint="eastAsia" w:ascii="微软雅黑" w:hAnsi="微软雅黑" w:eastAsia="微软雅黑" w:cs="微软雅黑"/>
          <w:sz w:val="18"/>
          <w:szCs w:val="18"/>
          <w:lang w:val="en-US" w:eastAsia="zh-CN"/>
        </w:rPr>
      </w:pPr>
    </w:p>
    <w:p w14:paraId="2BCBEF2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5.2 批记录审核模块（BRC）</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7"/>
        <w:gridCol w:w="5289"/>
        <w:gridCol w:w="1946"/>
      </w:tblGrid>
      <w:tr w14:paraId="2D9BC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56579B6B">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序号</w:t>
            </w:r>
          </w:p>
        </w:tc>
        <w:tc>
          <w:tcPr>
            <w:tcW w:w="5302" w:type="dxa"/>
          </w:tcPr>
          <w:p w14:paraId="29004FF5">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需求描述</w:t>
            </w:r>
          </w:p>
        </w:tc>
        <w:tc>
          <w:tcPr>
            <w:tcW w:w="1951" w:type="dxa"/>
          </w:tcPr>
          <w:p w14:paraId="10BAD59C">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必要性</w:t>
            </w:r>
          </w:p>
        </w:tc>
      </w:tr>
      <w:tr w14:paraId="2129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7E79C66F">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URS-BRC-01</w:t>
            </w:r>
          </w:p>
        </w:tc>
        <w:tc>
          <w:tcPr>
            <w:tcW w:w="5302" w:type="dxa"/>
          </w:tcPr>
          <w:p w14:paraId="4596FE78">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系统需覆盖"规则配置→批记录接收→AI合规校验→审核员审核→提交结论"的完整闭环，确保各环节数据贯通、状态可追踪；</w:t>
            </w:r>
          </w:p>
        </w:tc>
        <w:tc>
          <w:tcPr>
            <w:tcW w:w="1951" w:type="dxa"/>
          </w:tcPr>
          <w:p w14:paraId="014083E9">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5A838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72CF2217">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URS-BRC-02</w:t>
            </w:r>
          </w:p>
        </w:tc>
        <w:tc>
          <w:tcPr>
            <w:tcW w:w="5302" w:type="dxa"/>
          </w:tcPr>
          <w:p w14:paraId="2C7EDB36">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支持基于上游导入的知识图谱四级结构（工序→子工序→操作活动→参数），在同一工作台内完成审核规则的新增、编辑、启用/禁用管理，规则内容支持自然语言与参数占位符混合编写，实现采集规则的规范化配置；</w:t>
            </w:r>
          </w:p>
        </w:tc>
        <w:tc>
          <w:tcPr>
            <w:tcW w:w="1951" w:type="dxa"/>
          </w:tcPr>
          <w:p w14:paraId="0200A414">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7D97C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14ADE203">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URS-BRC-03</w:t>
            </w:r>
          </w:p>
        </w:tc>
        <w:tc>
          <w:tcPr>
            <w:tcW w:w="5302" w:type="dxa"/>
          </w:tcPr>
          <w:p w14:paraId="43B42F62">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系统应支持审核任务的全状态生命周期管理，包括待解析、解析中、解析失败、人工审查中、已完成等状态流转，并提供签入/签出机制防止多人并发操作同一任务，超时自动释放锁定；</w:t>
            </w:r>
          </w:p>
        </w:tc>
        <w:tc>
          <w:tcPr>
            <w:tcW w:w="1951" w:type="dxa"/>
          </w:tcPr>
          <w:p w14:paraId="2E3D38D2">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00E61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3D63CA44">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URS-BRC-04</w:t>
            </w:r>
          </w:p>
        </w:tc>
        <w:tc>
          <w:tcPr>
            <w:tcW w:w="5302" w:type="dxa"/>
          </w:tcPr>
          <w:p w14:paraId="0CE5903B">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系统应提供以规则审核结果卡片为核心的数字化核对工作台，支持审核员对每条AI校验结论作出接受、驳回或挂起决策，驳回时须填写理由，并支持按严重程度、判断结论、处理状态进行筛选；</w:t>
            </w:r>
          </w:p>
        </w:tc>
        <w:tc>
          <w:tcPr>
            <w:tcW w:w="1951" w:type="dxa"/>
          </w:tcPr>
          <w:p w14:paraId="45B3814B">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35E7E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5782EE48">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URS-BRC-05</w:t>
            </w:r>
          </w:p>
        </w:tc>
        <w:tc>
          <w:tcPr>
            <w:tcW w:w="5302" w:type="dxa"/>
          </w:tcPr>
          <w:p w14:paraId="2F8FAD6C">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系统应支持批记录照片的弹出层预览，自动高亮显示规则涉及的字段区域，帮助审核员快速定位和确认现场数据；</w:t>
            </w:r>
          </w:p>
        </w:tc>
        <w:tc>
          <w:tcPr>
            <w:tcW w:w="1951" w:type="dxa"/>
          </w:tcPr>
          <w:p w14:paraId="29E866DF">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2ABB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tcPr>
          <w:p w14:paraId="2B45F838">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URS-BRC-06</w:t>
            </w:r>
          </w:p>
        </w:tc>
        <w:tc>
          <w:tcPr>
            <w:tcW w:w="5302" w:type="dxa"/>
          </w:tcPr>
          <w:p w14:paraId="16EF4A16">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系统应通过规则引擎以异步方式将所有已启用规则的字段名、字段值和规则文本批量发送至大模型接口，自动生成合规判断结果，校验期间不阻塞审核员操作，校验进度实时展示；</w:t>
            </w:r>
          </w:p>
        </w:tc>
        <w:tc>
          <w:tcPr>
            <w:tcW w:w="1951" w:type="dxa"/>
          </w:tcPr>
          <w:p w14:paraId="51BDAF1A">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463F9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7246C04">
            <w:pPr>
              <w:numPr>
                <w:ilvl w:val="0"/>
                <w:numId w:val="0"/>
              </w:numPr>
              <w:ind w:left="0" w:leftChars="0" w:firstLine="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URS-BRC-07</w:t>
            </w:r>
          </w:p>
        </w:tc>
        <w:tc>
          <w:tcPr>
            <w:tcW w:w="5302" w:type="dxa"/>
          </w:tcPr>
          <w:p w14:paraId="53AACCEE">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系统应实现规则版本号隔离机制，审核员签出任务时记录所有启用规则的版本号，规则后续变更不影响已生成的异常记录，保障审核过程的一致性与可重现性；</w:t>
            </w:r>
          </w:p>
        </w:tc>
        <w:tc>
          <w:tcPr>
            <w:tcW w:w="1951" w:type="dxa"/>
          </w:tcPr>
          <w:p w14:paraId="737052F5">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2A04B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7A80F4A7">
            <w:pPr>
              <w:numPr>
                <w:ilvl w:val="0"/>
                <w:numId w:val="0"/>
              </w:numPr>
              <w:ind w:left="0" w:leftChars="0" w:firstLine="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URS-BRC-08</w:t>
            </w:r>
          </w:p>
        </w:tc>
        <w:tc>
          <w:tcPr>
            <w:tcW w:w="5302" w:type="dxa"/>
          </w:tcPr>
          <w:p w14:paraId="4FBFA1EE">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系统应在审核员提交最终审核结论前，对存在未处理的严重级别异常进行拦截提示，展示汇总确认页（含不符合数量、已驳回数量、挂起数量、符合数量），防止遗漏关键问题。</w:t>
            </w:r>
          </w:p>
        </w:tc>
        <w:tc>
          <w:tcPr>
            <w:tcW w:w="1951" w:type="dxa"/>
          </w:tcPr>
          <w:p w14:paraId="3B6A7221">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bl>
    <w:p w14:paraId="070F7F27">
      <w:pPr>
        <w:rPr>
          <w:rFonts w:hint="eastAsia" w:ascii="微软雅黑" w:hAnsi="微软雅黑" w:eastAsia="微软雅黑" w:cs="微软雅黑"/>
          <w:sz w:val="18"/>
          <w:szCs w:val="18"/>
          <w:lang w:val="en-US" w:eastAsia="zh-CN"/>
        </w:rPr>
      </w:pPr>
    </w:p>
    <w:p w14:paraId="1322A66D">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5.3 数据分析模块（BDA）</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5269"/>
        <w:gridCol w:w="1940"/>
      </w:tblGrid>
      <w:tr w14:paraId="22C14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1313" w:type="dxa"/>
          </w:tcPr>
          <w:p w14:paraId="436531EC">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序号</w:t>
            </w:r>
          </w:p>
        </w:tc>
        <w:tc>
          <w:tcPr>
            <w:tcW w:w="5269" w:type="dxa"/>
          </w:tcPr>
          <w:p w14:paraId="139BB6AA">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需求描述</w:t>
            </w:r>
          </w:p>
        </w:tc>
        <w:tc>
          <w:tcPr>
            <w:tcW w:w="1940" w:type="dxa"/>
          </w:tcPr>
          <w:p w14:paraId="07043A88">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必要性</w:t>
            </w:r>
          </w:p>
        </w:tc>
      </w:tr>
      <w:tr w14:paraId="3936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8522" w:type="dxa"/>
            <w:gridSpan w:val="3"/>
          </w:tcPr>
          <w:p w14:paraId="0E7FC1C1">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通用数据分析能力</w:t>
            </w:r>
          </w:p>
        </w:tc>
      </w:tr>
      <w:tr w14:paraId="78253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tcPr>
          <w:p w14:paraId="4E01DA8B">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URS-BDA-01</w:t>
            </w:r>
          </w:p>
        </w:tc>
        <w:tc>
          <w:tcPr>
            <w:tcW w:w="5269" w:type="dxa"/>
          </w:tcPr>
          <w:p w14:paraId="5AB90A6B">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系统应支持从本平台批记录数据及外部系统（通过接口导入）中提取 CPP 和 CQA 数值型数据，作为数据分析模块的统一数据源，数据来源须在分析界面中明确标注；</w:t>
            </w:r>
          </w:p>
        </w:tc>
        <w:tc>
          <w:tcPr>
            <w:tcW w:w="1940" w:type="dxa"/>
          </w:tcPr>
          <w:p w14:paraId="18E5C48C">
            <w:pPr>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2DBC6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tcPr>
          <w:p w14:paraId="16D46FB8">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URS-BDA-02</w:t>
            </w:r>
          </w:p>
        </w:tc>
        <w:tc>
          <w:tcPr>
            <w:tcW w:w="5269" w:type="dxa"/>
          </w:tcPr>
          <w:p w14:paraId="326A0D3A">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系统应支持用户按产品/配方、参数名称、批次范围、时间范围对分析数据集进行筛选，筛选条件须在分析结果页面中持久显示，以保障分析结果的可追溯性；</w:t>
            </w:r>
          </w:p>
        </w:tc>
        <w:tc>
          <w:tcPr>
            <w:tcW w:w="1940" w:type="dxa"/>
          </w:tcPr>
          <w:p w14:paraId="6A39E702">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7FCB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tcPr>
          <w:p w14:paraId="01E093BF">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URS-BDA-03</w:t>
            </w:r>
          </w:p>
        </w:tc>
        <w:tc>
          <w:tcPr>
            <w:tcW w:w="5269" w:type="dxa"/>
          </w:tcPr>
          <w:p w14:paraId="7FE547EA">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系统应在数据导入或提取前需提提前进行数据清洗，本平台不对数值型数据进行校验与处理；</w:t>
            </w:r>
          </w:p>
        </w:tc>
        <w:tc>
          <w:tcPr>
            <w:tcW w:w="1940" w:type="dxa"/>
          </w:tcPr>
          <w:p w14:paraId="14975FB8">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311A8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663EFA22">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SPC统计过程分析</w:t>
            </w:r>
          </w:p>
        </w:tc>
      </w:tr>
      <w:tr w14:paraId="00986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tcPr>
          <w:p w14:paraId="2D0064D9">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URS-BDA-04</w:t>
            </w:r>
          </w:p>
        </w:tc>
        <w:tc>
          <w:tcPr>
            <w:tcW w:w="5269" w:type="dxa"/>
          </w:tcPr>
          <w:p w14:paraId="1840047A">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系统应支持对 CPP 和 CQA 参数自动生成统计过程控制图，控制图类型根据子组大小自动选择：子组大小 n≥2 时生成 XBar-R 图（n≤8）或 XBar-S 图（n&gt;8），子组大小 n=1 时生成 I-MR 图（个值-移动极差图）；</w:t>
            </w:r>
          </w:p>
        </w:tc>
        <w:tc>
          <w:tcPr>
            <w:tcW w:w="1940" w:type="dxa"/>
          </w:tcPr>
          <w:p w14:paraId="4F357CDA">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13CB2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tcPr>
          <w:p w14:paraId="1B20228F">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URS-BDA-05</w:t>
            </w:r>
          </w:p>
        </w:tc>
        <w:tc>
          <w:tcPr>
            <w:tcW w:w="5269" w:type="dxa"/>
          </w:tcPr>
          <w:p w14:paraId="767067F4">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系统应在控制图中自动计算并展示以下控制限：中心线（CL）、控制上限（UCL）、控制下限（LCL），计算方法基于 ±3σ 原则；规格限（USL/LSL）若已在系统中配置则同步展示，若未配置则不展示；</w:t>
            </w:r>
          </w:p>
        </w:tc>
        <w:tc>
          <w:tcPr>
            <w:tcW w:w="1940" w:type="dxa"/>
          </w:tcPr>
          <w:p w14:paraId="37447E42">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162F2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tcPr>
          <w:p w14:paraId="10AE4083">
            <w:pPr>
              <w:numPr>
                <w:ilvl w:val="0"/>
                <w:numId w:val="0"/>
              </w:numPr>
              <w:rPr>
                <w:rFonts w:hint="eastAsia"/>
                <w:vertAlign w:val="baseline"/>
                <w:lang w:val="en-US" w:eastAsia="zh-CN"/>
              </w:rPr>
            </w:pPr>
            <w:r>
              <w:rPr>
                <w:rFonts w:hint="eastAsia" w:ascii="微软雅黑" w:hAnsi="微软雅黑" w:eastAsia="微软雅黑" w:cs="微软雅黑"/>
                <w:sz w:val="18"/>
                <w:szCs w:val="18"/>
                <w:lang w:val="en-US" w:eastAsia="zh-CN"/>
              </w:rPr>
              <w:t>URS-BDA-06</w:t>
            </w:r>
          </w:p>
        </w:tc>
        <w:tc>
          <w:tcPr>
            <w:tcW w:w="5269" w:type="dxa"/>
          </w:tcPr>
          <w:p w14:paraId="39DF9FF8">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系统应自动检测控制图中的失控信号，至少覆盖以下 Nelson 判异规则：单点超出控制限（规则1）、连续9点在中心线同侧（规则2）、连续6点单调递增或递减（规则3）、连续14点交替上下（规则4）；失控点须在图表中以醒目颜色标注；</w:t>
            </w:r>
          </w:p>
        </w:tc>
        <w:tc>
          <w:tcPr>
            <w:tcW w:w="1940" w:type="dxa"/>
          </w:tcPr>
          <w:p w14:paraId="175AB6D3">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7252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vAlign w:val="top"/>
          </w:tcPr>
          <w:p w14:paraId="22202FC1">
            <w:pPr>
              <w:numPr>
                <w:ilvl w:val="0"/>
                <w:numId w:val="0"/>
              </w:numPr>
              <w:ind w:left="0" w:leftChars="0" w:firstLine="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URS-BDA-07</w:t>
            </w:r>
          </w:p>
        </w:tc>
        <w:tc>
          <w:tcPr>
            <w:tcW w:w="5269" w:type="dxa"/>
          </w:tcPr>
          <w:p w14:paraId="4AEA141F">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系统应在 SPC 分析结果中自动计算并展示以下过程能力指数：Cp过程精度指数（仅双侧规格限时计算）、Cpk过程能力指数（考虑均值偏移）、Pp过程性能指数（基于总体标准差）、Ppk过程性能指数（考虑均值偏移，基于总体标准差）。各指数须附带数值结果及对应的能力等级判定（如 Cpk≥1.67 为优秀、1.33≤Cpk&lt;1.67 为良好、1.00≤Cpk&lt;1.33 为合格、Cpk&lt;1.00 为不足）；</w:t>
            </w:r>
          </w:p>
        </w:tc>
        <w:tc>
          <w:tcPr>
            <w:tcW w:w="1940" w:type="dxa"/>
          </w:tcPr>
          <w:p w14:paraId="42524757">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r w14:paraId="10F1C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3" w:type="dxa"/>
            <w:vAlign w:val="top"/>
          </w:tcPr>
          <w:p w14:paraId="648DD623">
            <w:pPr>
              <w:numPr>
                <w:ilvl w:val="0"/>
                <w:numId w:val="0"/>
              </w:numPr>
              <w:ind w:left="0" w:leftChars="0" w:firstLine="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URS-BDA-08</w:t>
            </w:r>
          </w:p>
        </w:tc>
        <w:tc>
          <w:tcPr>
            <w:tcW w:w="5269" w:type="dxa"/>
          </w:tcPr>
          <w:p w14:paraId="698FC182">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系统应支持用户在同一界面内对同一参数的不同时间段或不同批次范围进行对比分析，以折叠/展开方式并排展示多组控制图，便于识别过程漂移；</w:t>
            </w:r>
          </w:p>
        </w:tc>
        <w:tc>
          <w:tcPr>
            <w:tcW w:w="1940" w:type="dxa"/>
          </w:tcPr>
          <w:p w14:paraId="55708F2A">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必需</w:t>
            </w:r>
          </w:p>
        </w:tc>
      </w:tr>
    </w:tbl>
    <w:p w14:paraId="75EFCDDC">
      <w:pPr>
        <w:rPr>
          <w:rFonts w:hint="eastAsia" w:ascii="微软雅黑" w:hAnsi="微软雅黑" w:eastAsia="微软雅黑" w:cs="微软雅黑"/>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69FEC3"/>
    <w:multiLevelType w:val="singleLevel"/>
    <w:tmpl w:val="0469FEC3"/>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NGNkODY5ZWQzZjY2ODk3ZWFmYzA0ZjM1YTJjZDIifQ=="/>
  </w:docVars>
  <w:rsids>
    <w:rsidRoot w:val="5FD700B8"/>
    <w:rsid w:val="09616BBD"/>
    <w:rsid w:val="138C6CFE"/>
    <w:rsid w:val="1FE204B7"/>
    <w:rsid w:val="21057FD3"/>
    <w:rsid w:val="350B2A3E"/>
    <w:rsid w:val="39552501"/>
    <w:rsid w:val="3DB54855"/>
    <w:rsid w:val="587C16A2"/>
    <w:rsid w:val="5FD700B8"/>
    <w:rsid w:val="6F4162E7"/>
    <w:rsid w:val="F5FC32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0"/>
    <w:pPr>
      <w:spacing w:after="12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1752</Words>
  <Characters>2248</Characters>
  <Lines>0</Lines>
  <Paragraphs>0</Paragraphs>
  <TotalTime>14</TotalTime>
  <ScaleCrop>false</ScaleCrop>
  <LinksUpToDate>false</LinksUpToDate>
  <CharactersWithSpaces>2312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2026-04-29T13:12:00Z</dcterms:created>
  <dc:creator>Tracy</dc:creator>
  <cp:lastModifiedBy>.</cp:lastModifiedBy>
  <dcterms:modified xsi:type="dcterms:W3CDTF">2026-05-06T07:39:08Z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07AC57B31FBF4175B288CD7C05C6115E_13</vt:lpwstr>
  </property>
  <property fmtid="{D5CDD505-2E9C-101B-9397-08002B2CF9AE}" pid="4" name="KSOTemplateDocerSaveRecord">
    <vt:lpwstr>eyJoZGlkIjoiNDI1ZWJlNWY3ZmVjMzY4NDEyMWViOTVmM2E4Y2U4YTciLCJ1c2VySWQiOiIzMjkxOTkxNzYifQ==</vt:lpwstr>
  </property>
</Properties>
</file>