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autoSpaceDE w:val="0"/>
        <w:autoSpaceDN w:val="0"/>
        <w:spacing w:after="100" w:line="400"/>
      </w:pPr>
      <w:r>
        <w:rPr>
          <w:rFonts w:ascii="Noto Sans CJK SC" w:cs="Noto Sans CJK SC" w:eastAsia="Noto Sans CJK SC" w:hAnsi="Noto Sans CJK SC"/>
          <w:b/>
          <w:bCs/>
          <w:color w:val="1F2933"/>
          <w:sz w:val="34"/>
          <w:szCs w:val="34"/>
        </w:rPr>
        <w:t xml:space="preserve">中船特气：日本没有停产，利润顶落在价格顶之后</w:t>
      </w:r>
    </w:p>
    <w:p>
      <w:pPr>
        <w:autoSpaceDE w:val="0"/>
        <w:autoSpaceDN w:val="0"/>
        <w:spacing w:after="220"/>
      </w:pPr>
      <w:r>
        <w:rPr>
          <w:rFonts w:ascii="Noto Sans CJK SC" w:cs="Noto Sans CJK SC" w:eastAsia="Noto Sans CJK SC" w:hAnsi="Noto Sans CJK SC"/>
          <w:color w:val="6B7580"/>
          <w:sz w:val="18"/>
          <w:szCs w:val="18"/>
        </w:rPr>
        <w:t xml:space="preserve">笃研究　|　2026年9月30日　|　半导体材料·电子特气</w:t>
      </w:r>
    </w:p>
    <w:p>
      <w:pPr>
        <w:pBdr>
          <w:bottom w:val="single" w:color="3B2FB8" w:sz="6" w:space="8"/>
        </w:pBdr>
        <w:autoSpaceDE w:val="0"/>
        <w:autoSpaceDN w:val="0"/>
        <w:spacing w:after="260" w:line="320"/>
        <w:jc w:val="both"/>
      </w:pP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日本两家六氟化钨厂商仍在供货，缺口大小取决于其残余开工率。价格顶由日本是否进一步减产与中船特气邯郸1,000吨投产两个节点决定。中船按季度议价，国内钨价已从3月高点回落约六成，这使得利润顶落在价格顶之后；中巨芯的收益则受日方销售权约束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今年1月中国收紧对日两用物项出口，此后钨粉对日出口在2月到4月连续为零。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市场据此把日本两家六氟化钨厂商的停产当作定局，全球缺口也随之被定在两千吨以上。6月下旬以后，日方的公告、决算资料与投资者交流陆续给出另一组事实，改变的是这道缺口的计算前提。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市场把一则预警当成了既成事实。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韩国媒体The Elec在4月3日的原始报道只是说，日本供应商已提醒三星电子等客户原料供应可能中断、库存可维持到5月到6月，几轮转述之后才变成“7月1日永久停产”；市场对关东电化事故、价格口径与缺口规模的判断，也与公开信息存在出入（见下表）。六氟化钨的重估方向依然成立，价格也确实处在高位；但日方如果只是减产而没有停产，缺口就要下修，价格见顶的时点也可能提前。本文要回答的，正是这个前提改变之后的问题：日本没有停产，六氟化钨的价格顶由什么决定，中船特气的利润高点又会落在哪里。</w:t>
      </w:r>
    </w:p>
    <w:p>
      <w:pPr>
        <w:autoSpaceDE w:val="0"/>
        <w:autoSpaceDN w:val="0"/>
        <w:spacing w:after="200" w:before="80"/>
        <w:jc w:val="center"/>
      </w:pPr>
      <w:r>
        <w:drawing>
          <wp:inline distT="0" distB="0" distL="0" distR="0">
            <wp:extent cx="6191250" cy="2590800"/>
            <wp:effectExtent t="0" r="0" b="0" l="0"/>
            <wp:docPr id="1" name="ex1" descr="ex1" title="ex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autoSpaceDE w:val="0"/>
        <w:autoSpaceDN w:val="0"/>
        <w:spacing w:after="120" w:before="280" w:line="320"/>
      </w:pPr>
      <w:r>
        <w:rPr>
          <w:rFonts w:ascii="Noto Sans CJK SC" w:cs="Noto Sans CJK SC" w:eastAsia="Noto Sans CJK SC" w:hAnsi="Noto Sans CJK SC"/>
          <w:b/>
          <w:bCs/>
          <w:color w:val="1F2933"/>
          <w:sz w:val="23"/>
          <w:szCs w:val="23"/>
        </w:rPr>
        <w:t xml:space="preserve">一、日本两家仍在供货，缺口大小取决于残余开工率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关东电化与中央硝子的公开材料指向同一个方向：两家仍在供货，并按继续生产安排经营。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中央硝子6月25日公告称，公司在确保与客户订单量相匹配的原材料的同时继续供货，但没有披露开工水平。关东电化5月25日的决算说明会资料则给出了具体数字：上一财年六氟化钨因价格修正与销量增加而增收；本财年母公司单体口径的特殊气体销售额指引为655亿日元，较上一财年的429亿日元增长约53%；其中下半财年销售额比上半财年再增约68亿日元，营业利润却从约44亿日元降到约26亿日元，公司把钨列为减益因素（见下图）。这组指引按继续生产、销量继续增加来编制，同时计入了钨成本上升的压力。</w:t>
      </w:r>
    </w:p>
    <w:p>
      <w:pPr>
        <w:autoSpaceDE w:val="0"/>
        <w:autoSpaceDN w:val="0"/>
        <w:spacing w:after="200" w:before="80"/>
        <w:jc w:val="center"/>
      </w:pPr>
      <w:r>
        <w:drawing>
          <wp:inline distT="0" distB="0" distL="0" distR="0">
            <wp:extent cx="6191250" cy="4067175"/>
            <wp:effectExtent t="0" r="0" b="0" l="0"/>
            <wp:docPr id="1" name="ex2" descr="ex2" title="ex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关东电化自己的表述，也与“负荷只剩一到两成”的市场说法对不上。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公司在5月27日的投资者交流中表示，目前仍能采购中国产品，同时从回收料和其他国家等多种来源采购，不认为会出现无法生产的情况；9月1日的交流中又说明，一季度六氟化钨的价格修正推进顺利，二季度特殊气体销量预计继续增加。日本的钨原料也确实找到了替代来源：据日经亚洲报道，今年1月到3月美国对日本的钨废料出口增至上年同期的约24倍，4月新加坡超过美国成为日本最大的钨废料来源。笔者认为，日本的残余开工率高于市场流传的一到两成，至少关东电化如此；中央硝子披露得较少，但“与订单相匹配地继续供货”的表述同样指向持续生产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特殊气体销售额增长约53%，靠的是价格、库存与三氟化氮的恢复。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这一增幅是母公司单体口径，宣城科地克等子公司的直接销售不在其中。增量来自三个方面。第一，六氟化钨随钨价调整售价，公司5月表示上一财年已随钨的单价急升同步提价；第二，一季度消化了此前低价采购的钨库存，公司9月表示这部分利润贡献会持续到本财年二季度（2026年7月到9月）为止；第三，三氟化氮在2025年8月涩川工厂事故后的低基数上恢复，那次事故发生在三氟化氮装置，公司称其他产品未受大的影响。这使得收入的高增长与本土产量的平稳可以同时成立，缺口测算也就要从日本的实际开工率出发，而开工率本身又取决于日本拿到的钨有多贵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问题由此从“日本还有没有货”转向“谁手里的钨便宜”。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日本仍有货，但它的钨越来越贵：回收料要从美国、新加坡和欧洲采购，三菱综合材料6月起把部分超硬材料用钨的售价提高到原来的三倍以上（日经亚洲）。关东电化下半财年利润指引下降，反映的就是这部分成本开始进入报表。缺口的大小因此取决于日本愿意以多高的成本维持多少产量，而这又回到中日之间的钨价差上。</w:t>
      </w:r>
    </w:p>
    <w:p>
      <w:pPr>
        <w:keepNext/>
        <w:autoSpaceDE w:val="0"/>
        <w:autoSpaceDN w:val="0"/>
        <w:spacing w:after="120" w:before="280" w:line="320"/>
      </w:pPr>
      <w:r>
        <w:rPr>
          <w:rFonts w:ascii="Noto Sans CJK SC" w:cs="Noto Sans CJK SC" w:eastAsia="Noto Sans CJK SC" w:hAnsi="Noto Sans CJK SC"/>
          <w:b/>
          <w:bCs/>
          <w:color w:val="1F2933"/>
          <w:sz w:val="23"/>
          <w:szCs w:val="23"/>
        </w:rPr>
        <w:t xml:space="preserve">二、管制限制的是钨原料进入日本，成本优势落在中国境内产能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对日管制限制的是钨原料流向日本，在中国境内生产的六氟化钨仍可出口。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商务部2026年第1号公告禁止两用物项对日本军事用户、军事用途以及一切有助于提升日本军事实力的最终用户用途出口，并追究第三国转移的责任，但公告没有附物项清单，也没有点名钨或六氟化钨；商务部与海关总署2025年第10号公告列管的钨物项为仲钨酸铵、氧化钨、部分碳化钨与钨合金，同样不包括六氟化钨。结果是钨粉对日出口归零，六氟化钨的出口却在继续：海关数据显示，1月到5月全国六氟化钨出口约211吨，据Fastmarkets统计，其中对日本约28吨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管制把中外钨价的差距，变成了产地之间的成本差距。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国内钨价在一季度冲高后快速回落。章源钨业3月20日公布的3月下半月长单报价中，仲钨酸铵（APT）为每吨150万元，9月下半月降至58万元，回落约六成；同期55%黑钨精矿从每标吨102万元降至40万元。海外价格走的是另一条路：Fastmarkets在7月1日对中国出口APT的评估价为每吨度2,600到3,200美元，按APT含三氧化钨约88.5%、扣除国内价中的增值税并按当日汇率中间价折算，粗略计算显示约为同期国内长单价的三倍（见下图）。关东电化的表述也印证了这一点：一季度它的钨采购价仍在上涨，利润超出预期的一部分原因是消化了此前低价采购的库存。笔者6月15日在《稀土掺杂剂与MLCC》中讨论过稀土的“双轨定价”，同样的机制正在钨上发生。价差的另一面落在国内钨冶炼企业身上，对日出口受限之后，它们少了一部分日本客户。</w:t>
      </w:r>
    </w:p>
    <w:p>
      <w:pPr>
        <w:autoSpaceDE w:val="0"/>
        <w:autoSpaceDN w:val="0"/>
        <w:spacing w:after="200" w:before="80"/>
        <w:jc w:val="center"/>
      </w:pPr>
      <w:r>
        <w:drawing>
          <wp:inline distT="0" distB="0" distL="0" distR="0">
            <wp:extent cx="6191250" cy="4124325"/>
            <wp:effectExtent t="0" r="0" b="0" l="0"/>
            <wp:docPr id="1" name="ex3" descr="ex3" title="ex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这层价差的受益方，也包括日资在华工厂。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关东电化持股98.3%的宣城科地克，二期产品包含六氟化钨，2024年10月开始试运转，本财年销售额指引约40亿日元（上一财年约4亿日元），并已开始对日本销售；公司的特殊气体战略写明，中国工厂与韩国工厂以及涩川、水岛工厂联动生产。中巨芯与中央硝子合资的博瑞中硝拥有600吨6N产能，扩至800吨的方案正处于内部决策，销售由日方控股的中硝商贸负责。笔者认为，两家在华工厂按境内价格取得钨原料，宣城科地克的销售额指引与博瑞中硝的扩产决策都是佐证。而日本本土要取得自有的高纯钨来源，需要等三菱综合材料旗下日本新金属秋田工厂的扩产：公司9月9日宣布投资约80亿日元，把以废料为原料的APT产能扩大约一倍，至每年2,400吨（三氧化钨当量），计划2029年4月投产。这使得在2029年之前，中国境内产能握有约三倍的钨原料价差；价差能转成多少利润，取决于售价跟上现价的速度，以及销售权在谁手里。</w:t>
      </w:r>
    </w:p>
    <w:p>
      <w:pPr>
        <w:keepNext/>
        <w:autoSpaceDE w:val="0"/>
        <w:autoSpaceDN w:val="0"/>
        <w:spacing w:after="120" w:before="280" w:line="320"/>
      </w:pPr>
      <w:r>
        <w:rPr>
          <w:rFonts w:ascii="Noto Sans CJK SC" w:cs="Noto Sans CJK SC" w:eastAsia="Noto Sans CJK SC" w:hAnsi="Noto Sans CJK SC"/>
          <w:b/>
          <w:bCs/>
          <w:color w:val="1F2933"/>
          <w:sz w:val="23"/>
          <w:szCs w:val="23"/>
        </w:rPr>
        <w:t xml:space="preserve">三、中船特气的报表还没有反映现价，三季报是第一个检验点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现价、出口均价与公司报表之间存在时间差。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6N级长协价已由年初的每吨90多万元升至230万到240万元，5N级与HBM用6N5级的涨幅相近（见下表）；散单通常比长协高一到两成，长协约占销量的七成，按月或按双月调整，调整幅度受合同约束。海关出口均价同样在上移，由1月的每千克68.75美元升至4月的149.79美元。韩国SK Specialty与厚成则在2025年10月就已通知客户，2026年报价上调七到九成（据The Elec报道）。笔者认为，本轮涨价在日本断料之前已由钨成本启动，今年的供应冲击是叠加在上面的第二层。</w:t>
      </w:r>
    </w:p>
    <w:p>
      <w:pPr>
        <w:autoSpaceDE w:val="0"/>
        <w:autoSpaceDN w:val="0"/>
        <w:spacing w:after="200" w:before="80"/>
        <w:jc w:val="center"/>
      </w:pPr>
      <w:r>
        <w:drawing>
          <wp:inline distT="0" distB="0" distL="0" distR="0">
            <wp:extent cx="6191250" cy="2009775"/>
            <wp:effectExtent t="0" r="0" b="0" l="0"/>
            <wp:docPr id="1" name="ex4" descr="ex4" title="ex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中船特气的定价方式今年变了两次。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公司从2026年起把年度议价改为季度议价，3月完成成本传导型调价，三季度起转为依据供需关系、产业趋势与竞争格局的自主定价（9月4日上证e互动答复）；9月22日的业绩说明会上，公司表示下次调价时点将视供需状态与竞争格局而定。这意味着上半年报表反映的主要是3月那一轮成本传导，三季度起的自主定价还没有进入报表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二季度报表与现价之间仍有明显差距。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半年报显示，公司上半年营收19.04亿元、归母净利润3.48亿元，同比分别增长83.13%和95.63%，其中六氟化钨收入同比增长近三倍；二季度单季营收12.03亿元、归母净利润2.47亿元；上半年销售毛利率为31.79%，较2025年全年的28.87%回升约3个百分点。粗略计算，2,000吨产能按6N长协价约230万元每吨满负荷销售，六氟化钨单季潜在收入约11.5亿元，与二季度全公司营收相当（见下图）；扣除三氟化氮、三氟甲磺酸等产品之后，已确认的六氟化钨收入明显低于按现价推算的水平。三季度是自主定价的第一个季度，又叠加国内钨价回落，预计单季毛利率继续抬升。这也是全文的第一个检验点：如果三季度利润率没有抬升，利润顶滞后于价格顶的判断就需要修正。</w:t>
      </w:r>
    </w:p>
    <w:p>
      <w:pPr>
        <w:autoSpaceDE w:val="0"/>
        <w:autoSpaceDN w:val="0"/>
        <w:spacing w:after="200" w:before="80"/>
        <w:jc w:val="center"/>
      </w:pPr>
      <w:r>
        <w:drawing>
          <wp:inline distT="0" distB="0" distL="0" distR="0">
            <wp:extent cx="6191250" cy="3933825"/>
            <wp:effectExtent t="0" r="0" b="0" l="0"/>
            <wp:docPr id="1" name="ex5" descr="ex5" title="ex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autoSpaceDE w:val="0"/>
        <w:autoSpaceDN w:val="0"/>
        <w:spacing w:after="120" w:before="280" w:line="320"/>
      </w:pPr>
      <w:r>
        <w:rPr>
          <w:rFonts w:ascii="Noto Sans CJK SC" w:cs="Noto Sans CJK SC" w:eastAsia="Noto Sans CJK SC" w:hAnsi="Noto Sans CJK SC"/>
          <w:b/>
          <w:bCs/>
          <w:color w:val="1F2933"/>
          <w:sz w:val="23"/>
          <w:szCs w:val="23"/>
        </w:rPr>
        <w:t xml:space="preserve">四、涨价收益主要落在中船特气，中巨芯要与日方分成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一家公司能从这轮涨价中留下多少，取决于三件事：产能是否已进入客户供应，定价是否随行就市，销售权在谁手里（见下表）。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中船特气三项条件都已具备：2,000吨产能全部为6N，利用率处于较高水平，预计今年交付量可达2,200吨左右；价格按季度调整；原料在国内钨材供应链内解决；邯郸新增的1,000吨，按半年报口径预计在2027年一季度或二季度达到预定可使用状态。受影响的是六氟化钨业务，量、价与成本三项同时受益；三氟化氮业务上半年收入增长约13%，与这轮六氟化钨涨价没有直接关联。</w:t>
      </w:r>
    </w:p>
    <w:p>
      <w:pPr>
        <w:autoSpaceDE w:val="0"/>
        <w:autoSpaceDN w:val="0"/>
        <w:spacing w:after="200" w:before="80"/>
        <w:jc w:val="center"/>
      </w:pPr>
      <w:r>
        <w:drawing>
          <wp:inline distT="0" distB="0" distL="0" distR="0">
            <wp:extent cx="6191250" cy="3228975"/>
            <wp:effectExtent t="0" r="0" b="0" l="0"/>
            <wp:docPr id="1" name="ex6" descr="ex6" title="ex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中巨芯的收益被两次稀释。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博瑞中硝的600吨6N产能正常供货，但国内客户多把它作为备选供应商；中巨芯持股51%，销售由日方控股的中硝商贸负责，笔者认为涨价收益会有一部分留在销售环节；公司也提示，扩至800吨会带来短期折旧压力。受影响的是中巨芯电子特气中的六氟化钨，湿电子化学品等业务与这轮涨价无关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昊华科技与和远气体的当期受益有限。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昊华科技6月11日公告，2025年六氟化钨收入占公司营收的0.13%；它的600吨产能过去主要以粗品经代理商销售，转为直供后需要逐家认证，四川资阳新增的1,000吨预计要到2028年年中才能投产，所以本轮涨价对集团利润的影响可以忽略，其价值取决于2028年以后能拿到多少份额。和远气体表示六氟化钨仍处于试生产、没有实质订单，预计其产能到2027年二季度可达600吨，放量时点与价格顶相近。华特气体没有合成产能，只按客户要求做纯化，未受直接波及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日方两家同样在涨价，但关东电化的利润高点已经提前出现。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关东电化的六氟化钨采用随钨价调整的公式定价，一季度又消化了低价库存，利润走在前面；公司9月表示，低价库存带来的利润贡献会持续到本财年二季度为止，下半财年特殊气体利润指引随之下降约四成。公司5月还提到，价格下行阶段可能需要把高价库存低价卖出。这使得同一轮涨价中，关东电化的利润高点落在2026年年中前后，而中国境内厂商的利润高点还在后面。</w:t>
      </w:r>
    </w:p>
    <w:p>
      <w:pPr>
        <w:keepNext/>
        <w:autoSpaceDE w:val="0"/>
        <w:autoSpaceDN w:val="0"/>
        <w:spacing w:after="120" w:before="280" w:line="320"/>
      </w:pPr>
      <w:r>
        <w:rPr>
          <w:rFonts w:ascii="Noto Sans CJK SC" w:cs="Noto Sans CJK SC" w:eastAsia="Noto Sans CJK SC" w:hAnsi="Noto Sans CJK SC"/>
          <w:b/>
          <w:bCs/>
          <w:color w:val="1F2933"/>
          <w:sz w:val="23"/>
          <w:szCs w:val="23"/>
        </w:rPr>
        <w:t xml:space="preserve">五、投资含义：价格顶由两个节点决定，中船特气的利润顶在价格顶之后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笔者判断，散单价格顶的时点由两个节点的先后决定：日本残余产能能否维持，以及中船邯郸1,000吨何时投产（见下图）。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基准情景是日本维持现有产量、邯郸按期投产，关东电化的指引与投资者交流都指向这一情景。在这一情景下，预计散单价格在邯郸投产前后见顶，按半年报口径大致落在2027年上半年；中船特气的弹性最大，而邯郸扩产本身也是压低价格的那个节点。如果日本年底进一步减产而邯郸按期，价格顶会抬高，时点大致不变；如果日本维持而邯郸延期，高位平台会延长；两者叠加时，价格顶后移到昊华、和远新增产能完成认证之后。市场对邯郸投产前再涨四到六成的预期，建立在日本继续收缩的前提上；按关东电化的指引，日本产量维持，实际涨幅可能达不到这一预期。</w:t>
      </w:r>
    </w:p>
    <w:p>
      <w:pPr>
        <w:autoSpaceDE w:val="0"/>
        <w:autoSpaceDN w:val="0"/>
        <w:spacing w:after="200" w:before="80"/>
        <w:jc w:val="center"/>
      </w:pPr>
      <w:r>
        <w:drawing>
          <wp:inline distT="0" distB="0" distL="0" distR="0">
            <wp:extent cx="6191250" cy="3724275"/>
            <wp:effectExtent t="0" r="0" b="0" l="0"/>
            <wp:docPr id="1" name="ex7" descr="ex7" title="ex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中船特气的利润顶落在价格顶之后，背后有三条机制。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第一，长协约占七成、按季度追赶现价，报表确认滞后于散单；第二，国内钨价已从3月高点回落约六成，这部分成本下降在售价见顶之后仍会继续进入报表；第三，邯郸新增产能恰好以接近顶部的价格放量。笔者判断，中船特气的利润高点将滞后散单价格顶一个季度以上。日方的节奏正好相反：关东电化的利润高点随低价库存用完而过去，同一个价格顶对应的中日两边利润高点，落在不同的时点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价格见顶之后，钨价差将推动产地逐步向中国境内集中。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境外厂商所用的钨，无论来自回收料还是获许可出口的中国货源，都按海外价格计价，成本底线随之抬高；而中国境内产能在价格回落期仍有利润空间。笔者认为，产地集中主要发生在回落阶段，博瑞中硝扩产与宣城科地克放量都属于这一方向。这一过程会是渐进的：关东电化认为，中国厂商在其客户中的份额不大，半导体用特殊气体的新增认证需要较长时间，客户切换需要时间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落到公司层面，各家的弹性与风险各不相同。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中船特气的利润高点取决于邯郸投产与价格拐点的先后；中巨芯的价格弹性被分成与折旧稀释，但回落期的出货有中央硝子的渠道支撑；昊华科技与和远气体的放量时点与价格回落期重叠，而特种气体价格回落的节奏通常快于上涨。需求端可以承受当前的价格水平：六氟化钨在晶圆厂材料成本中占比很低，台积电也公开表示，不预期日方供应变化会影响其营运；需求侧需要跟踪的变量是钼替代的进度。</w:t>
      </w:r>
    </w:p>
    <w:p>
      <w:pPr>
        <w:keepNext/>
        <w:autoSpaceDE w:val="0"/>
        <w:autoSpaceDN w:val="0"/>
        <w:spacing w:after="120" w:before="280" w:line="320"/>
      </w:pPr>
      <w:r>
        <w:rPr>
          <w:rFonts w:ascii="Noto Sans CJK SC" w:cs="Noto Sans CJK SC" w:eastAsia="Noto Sans CJK SC" w:hAnsi="Noto Sans CJK SC"/>
          <w:b/>
          <w:bCs/>
          <w:color w:val="1F2933"/>
          <w:sz w:val="23"/>
          <w:szCs w:val="23"/>
        </w:rPr>
        <w:t xml:space="preserve">六、可证伪条件：三季报、日方中期决算与邯郸投产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第一个检验点在10月底之前。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中船特气不按季度单独披露六氟化钨收入，可以观察的替代指标是单季毛利率与归母净利润。如果三季度单季毛利率不高于上半年的31.79%，或单季归母净利润不超过二季度的2.47亿元，说明季度议价的传导慢于本文判断，利润顶滞后的幅度需要下修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第二个检验点是11月的日方中期决算，第三个是邯郸项目。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如果关东电化、中央硝子下调特殊气体指引或披露六氟化钨停产，说明日本残余供给少于本文假设，价格顶会后移并抬高；如果维持现有指引，价格顶的时点可能提前。如果到2027年上半年结束仍未见邯郸1,000吨的试生产或投产公告，价格顶相应顺延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需求侧的证伪条件来自钼替代。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笔者8月31日在《钼替代钨的真实进度评估》中判断，钼替代钨“快于预期、窄于预期”，钼在NAND产能中的占比到2027年约为三成。如果实际占比明显超出这一水平，或DRAM出现钼规模量产的官方确认，六氟化钨需求增长的前提将被削弱。日常跟踪可看海关月度出口量与均价、章源钨业每半月的长单报价、中船特气的季度调价、中巨芯800吨扩产决议与韩国两家2027年的报价。</w:t>
      </w:r>
    </w:p>
    <w:p>
      <w:pPr>
        <w:keepNext/>
        <w:autoSpaceDE w:val="0"/>
        <w:autoSpaceDN w:val="0"/>
        <w:spacing w:after="120" w:before="280" w:line="320"/>
      </w:pPr>
      <w:r>
        <w:rPr>
          <w:rFonts w:ascii="Noto Sans CJK SC" w:cs="Noto Sans CJK SC" w:eastAsia="Noto Sans CJK SC" w:hAnsi="Noto Sans CJK SC"/>
          <w:b/>
          <w:bCs/>
          <w:color w:val="1F2933"/>
          <w:sz w:val="23"/>
          <w:szCs w:val="23"/>
        </w:rPr>
        <w:t xml:space="preserve">七、风险因素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上行风险来自供给端的进一步收缩。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日本两家的替代钨源供应不足，年底被迫减产；邯郸投产延期；对日管制在执行层面扩展到第三国转运；存储扩产与堆叠层数提升带来超出预期的需求。以上情形都会抬高价格顶，并推迟见顶时点。</w:t>
      </w:r>
    </w:p>
    <w:p>
      <w:pPr>
        <w:autoSpaceDE w:val="0"/>
        <w:autoSpaceDN w:val="0"/>
        <w:spacing w:after="120" w:line="320"/>
        <w:ind w:firstLine="432"/>
        <w:jc w:val="both"/>
      </w:pPr>
      <w:r>
        <w:rPr>
          <w:rFonts w:ascii="Noto Sans CJK SC" w:cs="Noto Sans CJK SC" w:eastAsia="Noto Sans CJK SC" w:hAnsi="Noto Sans CJK SC"/>
          <w:b/>
          <w:bCs/>
          <w:color w:val="1F2933"/>
          <w:sz w:val="21"/>
          <w:szCs w:val="21"/>
        </w:rPr>
        <w:t xml:space="preserve">下行风险来自供给恢复与需求替代。</w:t>
      </w: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日本经回收料与非中国钨源恢复得快于预期，例如三菱综合材料的APT扩产、H.C. Starck的回收产能扩张以及Almonty韩国桑东矿的放量；中日关系缓和带动管制放松；国内新增产能集中释放，价格快速回落；钼替代的范围扩大；客户在前期备货之后转入去库存。以上情形都会让价格提前见顶，并压缩利润顶滞后的空间。</w:t>
      </w:r>
    </w:p>
    <w:p>
      <w:pPr>
        <w:keepNext/>
        <w:autoSpaceDE w:val="0"/>
        <w:autoSpaceDN w:val="0"/>
        <w:spacing w:after="120" w:before="280" w:line="320"/>
      </w:pPr>
      <w:r>
        <w:rPr>
          <w:rFonts w:ascii="Noto Sans CJK SC" w:cs="Noto Sans CJK SC" w:eastAsia="Noto Sans CJK SC" w:hAnsi="Noto Sans CJK SC"/>
          <w:b/>
          <w:bCs/>
          <w:color w:val="1F2933"/>
          <w:sz w:val="23"/>
          <w:szCs w:val="23"/>
        </w:rPr>
        <w:t xml:space="preserve">八、报告涉及公司</w:t>
      </w:r>
    </w:p>
    <w:p>
      <w:pPr>
        <w:autoSpaceDE w:val="0"/>
        <w:autoSpaceDN w:val="0"/>
        <w:spacing w:after="120" w:line="320"/>
        <w:jc w:val="both"/>
      </w:pPr>
      <w:r>
        <w:rPr>
          <w:rFonts w:ascii="Noto Sans CJK SC" w:cs="Noto Sans CJK SC" w:eastAsia="Noto Sans CJK SC" w:hAnsi="Noto Sans CJK SC"/>
          <w:color w:val="1F2933"/>
          <w:sz w:val="21"/>
          <w:szCs w:val="21"/>
        </w:rPr>
        <w:t xml:space="preserve">中船特气（688146.SH）、中巨芯（688549.SH）、昊华科技（600378.SH）、和远气体（002971.SZ）、华特气体（688268.SH）、章源钨业（002378.SZ）；博瑞中硝、宣城科地克、中硝商贸、买化塑（均未上市）。</w:t>
      </w:r>
    </w:p>
    <w:p>
      <w:pPr>
        <w:autoSpaceDE w:val="0"/>
        <w:autoSpaceDN w:val="0"/>
        <w:spacing w:before="240"/>
      </w:pPr>
      <w:r>
        <w:rPr>
          <w:rFonts w:ascii="Noto Sans CJK SC" w:cs="Noto Sans CJK SC" w:eastAsia="Noto Sans CJK SC" w:hAnsi="Noto Sans CJK SC"/>
          <w:color w:val="6B7580"/>
          <w:sz w:val="18"/>
          <w:szCs w:val="18"/>
        </w:rPr>
        <w:t xml:space="preserve">本文基于公开信息与产业调研，数据截至2026年9月30日。以上内容不构成任何投资建议，请风险自担。</w:t>
      </w:r>
    </w:p>
    <w:sectPr>
      <w:footerReference w:type="default" r:id="rId7"/>
      <w:pgSz w:w="11906" w:h="16838" w:orient="portrait"/>
      <w:pgMar w:top="1224" w:right="1037" w:bottom="1224" w:left="1037" w:header="708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autoSpaceDE w:val="0"/>
      <w:autoSpaceDN w:val="0"/>
      <w:jc w:val="center"/>
    </w:pPr>
    <w:r>
      <w:rPr>
        <w:rFonts w:ascii="Noto Sans CJK SC" w:cs="Noto Sans CJK SC" w:eastAsia="Noto Sans CJK SC" w:hAnsi="Noto Sans CJK SC"/>
        <w:color w:val="6B75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color w:val="1F2933"/>
        <w:sz w:val="21"/>
        <w:szCs w:val="21"/>
      </w:rPr>
    </w:rPrDefault>
    <w:pPrDefault>
      <w:pPr>
        <w:autoSpaceDE w:val="0"/>
        <w:autoSpaceDN w:val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8d8a4497e5319182630184cd4914f58df6b4c34.png"/><Relationship Id="rId9" Type="http://schemas.openxmlformats.org/officeDocument/2006/relationships/image" Target="media/019899c8188cd7c5ff8060416aecd3ac82af177d.png"/><Relationship Id="rId10" Type="http://schemas.openxmlformats.org/officeDocument/2006/relationships/image" Target="media/e7a5ef3239c15900ec429c871ce95ca8c52f2789.png"/><Relationship Id="rId11" Type="http://schemas.openxmlformats.org/officeDocument/2006/relationships/image" Target="media/109bbe038565c397b39902c3523f32b8fa38343f.png"/><Relationship Id="rId12" Type="http://schemas.openxmlformats.org/officeDocument/2006/relationships/image" Target="media/5bb420b53677a64903a4332e59ba3b00f3628530.png"/><Relationship Id="rId13" Type="http://schemas.openxmlformats.org/officeDocument/2006/relationships/image" Target="media/93c6925d591398020506c920f480803f481be14f.png"/><Relationship Id="rId14" Type="http://schemas.openxmlformats.org/officeDocument/2006/relationships/image" Target="media/d5dc656ca427fc6e3c0361ba71efa50160173da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中船特气：日本没有停产，利润顶落在价格顶之后</dc:title>
  <dc:creator>笃研究 ResearchD</dc:creator>
  <cp:lastModifiedBy>Un-named</cp:lastModifiedBy>
  <cp:revision>1</cp:revision>
  <dcterms:created xsi:type="dcterms:W3CDTF">2026-09-30T00:37:33.329Z</dcterms:created>
  <dcterms:modified xsi:type="dcterms:W3CDTF">2026-09-30T00:37:33.333Z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