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面向传统网络的分布式故障与异常分析系统：核心需求列表</w:t>
      </w:r>
    </w:p>
    <w:p>
      <w:pPr>
        <w:pStyle w:val="4"/>
        <w:spacing w:before="260" w:after="120" w:line="288" w:lineRule="auto"/>
        <w:ind w:left="0"/>
        <w:jc w:val="left"/>
        <w:outlineLvl w:val="3"/>
      </w:pPr>
      <w:bookmarkStart w:name="heading_0" w:id="0"/>
      <w:r>
        <w:rPr>
          <w:rFonts w:eastAsia="等线" w:ascii="Arial" w:cs="Arial" w:hAnsi="Arial"/>
          <w:b w:val="true"/>
          <w:sz w:val="28"/>
        </w:rPr>
        <w:t>第一部分：分布式边缘节点（硬件探针）核心能力</w:t>
      </w:r>
      <w:bookmarkEnd w:id="0"/>
    </w:p>
    <w:p>
      <w:pPr>
        <w:spacing w:before="120" w:after="120" w:line="288" w:lineRule="auto"/>
        <w:ind w:left="0"/>
        <w:jc w:val="left"/>
      </w:pPr>
    </w:p>
    <w:p>
      <w:pPr>
        <w:spacing w:before="120" w:after="120" w:line="288" w:lineRule="auto"/>
        <w:ind w:left="0"/>
        <w:jc w:val="left"/>
      </w:pPr>
      <w:r>
        <w:rPr>
          <w:rFonts w:eastAsia="等线" w:ascii="Arial" w:cs="Arial" w:hAnsi="Arial"/>
          <w:sz w:val="22"/>
        </w:rPr>
        <w:t>此部分定义了部署在网络关键节点上的独立硬件设备（盒子）所需具备的核心功能，强调数据采集的保真度与边缘处理的效率。</w:t>
      </w:r>
    </w:p>
    <w:p>
      <w:pPr>
        <w:numPr>
          <w:numId w:val="1"/>
        </w:numPr>
        <w:spacing w:before="120" w:after="120" w:line="288" w:lineRule="auto"/>
        <w:ind w:left="0"/>
        <w:jc w:val="left"/>
      </w:pPr>
      <w:r>
        <w:rPr>
          <w:rFonts w:eastAsia="等线" w:ascii="Arial" w:cs="Arial" w:hAnsi="Arial"/>
          <w:b w:val="true"/>
          <w:sz w:val="22"/>
        </w:rPr>
        <w:t>高性能全流量采集与存储</w:t>
      </w:r>
    </w:p>
    <w:p>
      <w:pPr>
        <w:numPr>
          <w:numId w:val="2"/>
        </w:numPr>
        <w:spacing w:before="120" w:after="120" w:line="288" w:lineRule="auto"/>
        <w:ind w:left="453"/>
        <w:jc w:val="left"/>
      </w:pPr>
      <w:r>
        <w:rPr>
          <w:rFonts w:eastAsia="等线" w:ascii="Arial" w:cs="Arial" w:hAnsi="Arial"/>
          <w:b w:val="true"/>
          <w:sz w:val="22"/>
        </w:rPr>
        <w:t>线速捕获</w:t>
      </w:r>
      <w:r>
        <w:rPr>
          <w:rFonts w:eastAsia="等线" w:ascii="Arial" w:cs="Arial" w:hAnsi="Arial"/>
          <w:sz w:val="22"/>
        </w:rPr>
        <w:t>: 支持在高速链路（例如10G/40G/100G）上无丢包地进行全流量数据包（Full Packet Capture）的实时捕获 (1)。</w:t>
      </w:r>
    </w:p>
    <w:p>
      <w:pPr>
        <w:numPr>
          <w:numId w:val="3"/>
        </w:numPr>
        <w:spacing w:before="120" w:after="120" w:line="288" w:lineRule="auto"/>
        <w:ind w:left="453"/>
        <w:jc w:val="left"/>
      </w:pPr>
      <w:r>
        <w:rPr>
          <w:rFonts w:eastAsia="等线" w:ascii="Arial" w:cs="Arial" w:hAnsi="Arial"/>
          <w:b w:val="true"/>
          <w:sz w:val="22"/>
        </w:rPr>
        <w:t>大容量本地存储</w:t>
      </w:r>
      <w:r>
        <w:rPr>
          <w:rFonts w:eastAsia="等线" w:ascii="Arial" w:cs="Arial" w:hAnsi="Arial"/>
          <w:sz w:val="22"/>
        </w:rPr>
        <w:t>: 内置高容量、高读写性能的存储介质，能够将原始数据包在本地进行长时间（数天至数周）的完整留存，为深度故障追溯提供无可辩驳的原始证据 (2)。</w:t>
      </w:r>
    </w:p>
    <w:p>
      <w:pPr>
        <w:numPr>
          <w:numId w:val="4"/>
        </w:numPr>
        <w:spacing w:before="120" w:after="120" w:line="288" w:lineRule="auto"/>
        <w:ind w:left="453"/>
        <w:jc w:val="left"/>
      </w:pPr>
      <w:r>
        <w:rPr>
          <w:rFonts w:eastAsia="等线" w:ascii="Arial" w:cs="Arial" w:hAnsi="Arial"/>
          <w:b w:val="true"/>
          <w:sz w:val="22"/>
        </w:rPr>
        <w:t>高可靠性</w:t>
      </w:r>
      <w:r>
        <w:rPr>
          <w:rFonts w:eastAsia="等线" w:ascii="Arial" w:cs="Arial" w:hAnsi="Arial"/>
          <w:sz w:val="22"/>
        </w:rPr>
        <w:t>: 硬件设计应具备高稳定性，支持旁路部署（通过TAP/端口镜像），确保不影响主干网络的正常运行 (3)。</w:t>
      </w:r>
    </w:p>
    <w:p>
      <w:pPr>
        <w:numPr>
          <w:numId w:val="5"/>
        </w:numPr>
        <w:spacing w:before="120" w:after="120" w:line="288" w:lineRule="auto"/>
        <w:ind w:left="0"/>
        <w:jc w:val="left"/>
      </w:pPr>
      <w:r>
        <w:rPr>
          <w:rFonts w:eastAsia="等线" w:ascii="Arial" w:cs="Arial" w:hAnsi="Arial"/>
          <w:b w:val="true"/>
          <w:sz w:val="22"/>
        </w:rPr>
        <w:t>边缘实时数据预处理与指标提取</w:t>
      </w:r>
    </w:p>
    <w:p>
      <w:pPr>
        <w:numPr>
          <w:numId w:val="6"/>
        </w:numPr>
        <w:spacing w:before="120" w:after="120" w:line="288" w:lineRule="auto"/>
        <w:ind w:left="453"/>
        <w:jc w:val="left"/>
      </w:pPr>
      <w:r>
        <w:rPr>
          <w:rFonts w:eastAsia="等线" w:ascii="Arial" w:cs="Arial" w:hAnsi="Arial"/>
          <w:b w:val="true"/>
          <w:sz w:val="22"/>
        </w:rPr>
        <w:t>深度协议解码</w:t>
      </w:r>
      <w:r>
        <w:rPr>
          <w:rFonts w:eastAsia="等线" w:ascii="Arial" w:cs="Arial" w:hAnsi="Arial"/>
          <w:sz w:val="22"/>
        </w:rPr>
        <w:t>: 具备强大的协议解析能力，能实时解码数百种网络协议和主流应用协议 (1)。</w:t>
      </w:r>
    </w:p>
    <w:p>
      <w:pPr>
        <w:numPr>
          <w:numId w:val="7"/>
        </w:numPr>
        <w:spacing w:before="120" w:after="120" w:line="288" w:lineRule="auto"/>
        <w:ind w:left="453"/>
        <w:jc w:val="left"/>
      </w:pPr>
      <w:r>
        <w:rPr>
          <w:rFonts w:eastAsia="等线" w:ascii="Arial" w:cs="Arial" w:hAnsi="Arial"/>
          <w:b w:val="true"/>
          <w:sz w:val="22"/>
        </w:rPr>
        <w:t>关键性能指标（KPI）提取</w:t>
      </w:r>
      <w:r>
        <w:rPr>
          <w:rFonts w:eastAsia="等线" w:ascii="Arial" w:cs="Arial" w:hAnsi="Arial"/>
          <w:sz w:val="22"/>
        </w:rPr>
        <w:t>: 在捕获流量的同时，实时计算并提取超过200项关键性能与故障指标，如网络时延、服务器响应时延、TCP重传、丢包率、应用交易成功率等，并将这些轻量化的指标数据发送至中心平台 (2)。</w:t>
      </w:r>
    </w:p>
    <w:p>
      <w:pPr>
        <w:numPr>
          <w:numId w:val="8"/>
        </w:numPr>
        <w:spacing w:before="120" w:after="120" w:line="288" w:lineRule="auto"/>
        <w:ind w:left="453"/>
        <w:jc w:val="left"/>
      </w:pPr>
      <w:r>
        <w:rPr>
          <w:rFonts w:eastAsia="等线" w:ascii="Arial" w:cs="Arial" w:hAnsi="Arial"/>
          <w:b w:val="true"/>
          <w:sz w:val="22"/>
        </w:rPr>
        <w:t>元数据生成</w:t>
      </w:r>
      <w:r>
        <w:rPr>
          <w:rFonts w:eastAsia="等线" w:ascii="Arial" w:cs="Arial" w:hAnsi="Arial"/>
          <w:sz w:val="22"/>
        </w:rPr>
        <w:t>: 生成会话、数据流、日志等结构化的元数据，为中心的快速检索和大数据分析提供基础 (2)。</w:t>
      </w:r>
    </w:p>
    <w:p>
      <w:pPr>
        <w:spacing w:before="120" w:after="120" w:line="288" w:lineRule="auto"/>
        <w:ind w:left="0"/>
        <w:jc w:val="left"/>
      </w:pPr>
    </w:p>
    <w:p>
      <w:pPr>
        <w:pStyle w:val="4"/>
        <w:spacing w:before="260" w:after="120" w:line="288" w:lineRule="auto"/>
        <w:ind w:left="0"/>
        <w:jc w:val="left"/>
        <w:outlineLvl w:val="3"/>
      </w:pPr>
      <w:bookmarkStart w:name="heading_1" w:id="1"/>
      <w:r>
        <w:rPr>
          <w:rFonts w:eastAsia="等线" w:ascii="Arial" w:cs="Arial" w:hAnsi="Arial"/>
          <w:b w:val="true"/>
          <w:sz w:val="28"/>
        </w:rPr>
        <w:t>第二部分：中心管理与分析平台核心能力</w:t>
      </w:r>
      <w:bookmarkEnd w:id="1"/>
    </w:p>
    <w:p>
      <w:pPr>
        <w:spacing w:before="120" w:after="120" w:line="288" w:lineRule="auto"/>
        <w:ind w:left="0"/>
        <w:jc w:val="left"/>
      </w:pPr>
    </w:p>
    <w:p>
      <w:pPr>
        <w:spacing w:before="120" w:after="120" w:line="288" w:lineRule="auto"/>
        <w:ind w:left="0"/>
        <w:jc w:val="left"/>
      </w:pPr>
      <w:r>
        <w:rPr>
          <w:rFonts w:eastAsia="等线" w:ascii="Arial" w:cs="Arial" w:hAnsi="Arial"/>
          <w:sz w:val="22"/>
        </w:rPr>
        <w:t>此部分定义了中心平台的功能，强调对分布式节点的统一管控、全局态势的可视化以及实时分析能力。</w:t>
      </w:r>
    </w:p>
    <w:p>
      <w:pPr>
        <w:numPr>
          <w:numId w:val="9"/>
        </w:numPr>
        <w:spacing w:before="120" w:after="120" w:line="288" w:lineRule="auto"/>
        <w:ind w:left="0"/>
        <w:jc w:val="left"/>
      </w:pPr>
      <w:r>
        <w:rPr>
          <w:rFonts w:eastAsia="等线" w:ascii="Arial" w:cs="Arial" w:hAnsi="Arial"/>
          <w:b w:val="true"/>
          <w:sz w:val="22"/>
        </w:rPr>
        <w:t>分布式节点统一管控</w:t>
      </w:r>
    </w:p>
    <w:p>
      <w:pPr>
        <w:numPr>
          <w:numId w:val="10"/>
        </w:numPr>
        <w:spacing w:before="120" w:after="120" w:line="288" w:lineRule="auto"/>
        <w:ind w:left="453"/>
        <w:jc w:val="left"/>
      </w:pPr>
      <w:r>
        <w:rPr>
          <w:rFonts w:eastAsia="等线" w:ascii="Arial" w:cs="Arial" w:hAnsi="Arial"/>
          <w:b w:val="true"/>
          <w:sz w:val="22"/>
        </w:rPr>
        <w:t>集中配置与管理</w:t>
      </w:r>
      <w:r>
        <w:rPr>
          <w:rFonts w:eastAsia="等线" w:ascii="Arial" w:cs="Arial" w:hAnsi="Arial"/>
          <w:sz w:val="22"/>
        </w:rPr>
        <w:t>: 能够对全网所有分布式硬件探针进行统一的策略下发、状态监控、版本升级和远程维护 (3)。</w:t>
      </w:r>
    </w:p>
    <w:p>
      <w:pPr>
        <w:numPr>
          <w:numId w:val="11"/>
        </w:numPr>
        <w:spacing w:before="120" w:after="120" w:line="288" w:lineRule="auto"/>
        <w:ind w:left="453"/>
        <w:jc w:val="left"/>
      </w:pPr>
      <w:r>
        <w:rPr>
          <w:rFonts w:eastAsia="等线" w:ascii="Arial" w:cs="Arial" w:hAnsi="Arial"/>
          <w:b w:val="true"/>
          <w:sz w:val="22"/>
        </w:rPr>
        <w:t>数据汇聚与查询</w:t>
      </w:r>
      <w:r>
        <w:rPr>
          <w:rFonts w:eastAsia="等线" w:ascii="Arial" w:cs="Arial" w:hAnsi="Arial"/>
          <w:sz w:val="22"/>
        </w:rPr>
        <w:t>: 集中汇聚所有边缘节点上传的KPI指标和元数据，并提供统一的查询入口 (4)。</w:t>
      </w:r>
    </w:p>
    <w:p>
      <w:pPr>
        <w:numPr>
          <w:numId w:val="12"/>
        </w:numPr>
        <w:spacing w:before="120" w:after="120" w:line="288" w:lineRule="auto"/>
        <w:ind w:left="453"/>
        <w:jc w:val="left"/>
      </w:pPr>
      <w:r>
        <w:rPr>
          <w:rFonts w:eastAsia="等线" w:ascii="Arial" w:cs="Arial" w:hAnsi="Arial"/>
          <w:b w:val="true"/>
          <w:sz w:val="22"/>
        </w:rPr>
        <w:t>按需数据回溯</w:t>
      </w:r>
      <w:r>
        <w:rPr>
          <w:rFonts w:eastAsia="等线" w:ascii="Arial" w:cs="Arial" w:hAnsi="Arial"/>
          <w:sz w:val="22"/>
        </w:rPr>
        <w:t>: 当需要深度分析时，允许管理员从中心平台发起请求，快速检索并调取存储在任意边缘节点上的特定历史时段的原始数据包 (2)。</w:t>
      </w:r>
    </w:p>
    <w:p>
      <w:pPr>
        <w:numPr>
          <w:numId w:val="13"/>
        </w:numPr>
        <w:spacing w:before="120" w:after="120" w:line="288" w:lineRule="auto"/>
        <w:ind w:left="0"/>
        <w:jc w:val="left"/>
      </w:pPr>
      <w:r>
        <w:rPr>
          <w:rFonts w:eastAsia="等线" w:ascii="Arial" w:cs="Arial" w:hAnsi="Arial"/>
          <w:b w:val="true"/>
          <w:sz w:val="22"/>
        </w:rPr>
        <w:t>网络全局态势可视化</w:t>
      </w:r>
    </w:p>
    <w:p>
      <w:pPr>
        <w:numPr>
          <w:numId w:val="14"/>
        </w:numPr>
        <w:spacing w:before="120" w:after="120" w:line="288" w:lineRule="auto"/>
        <w:ind w:left="453"/>
        <w:jc w:val="left"/>
      </w:pPr>
      <w:r>
        <w:rPr>
          <w:rFonts w:eastAsia="等线" w:ascii="Arial" w:cs="Arial" w:hAnsi="Arial"/>
          <w:b w:val="true"/>
          <w:sz w:val="22"/>
        </w:rPr>
        <w:t>自动化网络拓扑发现</w:t>
      </w:r>
      <w:r>
        <w:rPr>
          <w:rFonts w:eastAsia="等线" w:ascii="Arial" w:cs="Arial" w:hAnsi="Arial"/>
          <w:sz w:val="22"/>
        </w:rPr>
        <w:t>: 能够自动发现网络中的设备和链路，并生成动态、可交互的全局网络拓扑图，直观展示网络结构 (5)。</w:t>
      </w:r>
    </w:p>
    <w:p>
      <w:pPr>
        <w:numPr>
          <w:numId w:val="15"/>
        </w:numPr>
        <w:spacing w:before="120" w:after="120" w:line="288" w:lineRule="auto"/>
        <w:ind w:left="453"/>
        <w:jc w:val="left"/>
      </w:pPr>
      <w:r>
        <w:rPr>
          <w:rFonts w:eastAsia="等线" w:ascii="Arial" w:cs="Arial" w:hAnsi="Arial"/>
          <w:b w:val="true"/>
          <w:sz w:val="22"/>
        </w:rPr>
        <w:t>多维度性能仪表盘</w:t>
      </w:r>
      <w:r>
        <w:rPr>
          <w:rFonts w:eastAsia="等线" w:ascii="Arial" w:cs="Arial" w:hAnsi="Arial"/>
          <w:sz w:val="22"/>
        </w:rPr>
        <w:t>: 提供可定制的仪表盘，通过图形、图表等方式，从全局、区域、链路、应用等多个维度实时展示网络健康状况和关键性能指标 (4)。</w:t>
      </w:r>
    </w:p>
    <w:p>
      <w:pPr>
        <w:numPr>
          <w:numId w:val="16"/>
        </w:numPr>
        <w:spacing w:before="120" w:after="120" w:line="288" w:lineRule="auto"/>
        <w:ind w:left="453"/>
        <w:jc w:val="left"/>
      </w:pPr>
      <w:r>
        <w:rPr>
          <w:rFonts w:eastAsia="等线" w:ascii="Arial" w:cs="Arial" w:hAnsi="Arial"/>
          <w:b w:val="true"/>
          <w:sz w:val="22"/>
        </w:rPr>
        <w:t>链路健康度监控</w:t>
      </w:r>
      <w:r>
        <w:rPr>
          <w:rFonts w:eastAsia="等线" w:ascii="Arial" w:cs="Arial" w:hAnsi="Arial"/>
          <w:sz w:val="22"/>
        </w:rPr>
        <w:t>: 实时监控关键链路的带宽利用率、流量组成、延迟、抖动和丢包情况，快速识别拥塞或质量下降的链路 (6)。</w:t>
      </w:r>
    </w:p>
    <w:p>
      <w:pPr>
        <w:spacing w:before="120" w:after="120" w:line="288" w:lineRule="auto"/>
        <w:ind w:left="0"/>
        <w:jc w:val="left"/>
      </w:pPr>
    </w:p>
    <w:p>
      <w:pPr>
        <w:pStyle w:val="4"/>
        <w:spacing w:before="260" w:after="120" w:line="288" w:lineRule="auto"/>
        <w:ind w:left="0"/>
        <w:jc w:val="left"/>
        <w:outlineLvl w:val="3"/>
      </w:pPr>
      <w:bookmarkStart w:name="heading_2" w:id="2"/>
      <w:r>
        <w:rPr>
          <w:rFonts w:eastAsia="等线" w:ascii="Arial" w:cs="Arial" w:hAnsi="Arial"/>
          <w:b w:val="true"/>
          <w:sz w:val="28"/>
        </w:rPr>
        <w:t>第三部分：AI驱动的智能故障定性与根因分析</w:t>
      </w:r>
      <w:bookmarkEnd w:id="2"/>
    </w:p>
    <w:p>
      <w:pPr>
        <w:spacing w:before="120" w:after="120" w:line="288" w:lineRule="auto"/>
        <w:ind w:left="0"/>
        <w:jc w:val="left"/>
      </w:pPr>
    </w:p>
    <w:p>
      <w:pPr>
        <w:spacing w:before="120" w:after="120" w:line="288" w:lineRule="auto"/>
        <w:ind w:left="0"/>
        <w:jc w:val="left"/>
      </w:pPr>
      <w:r>
        <w:rPr>
          <w:rFonts w:eastAsia="等线" w:ascii="Arial" w:cs="Arial" w:hAnsi="Arial"/>
          <w:sz w:val="22"/>
        </w:rPr>
        <w:t>这是解决方案的核心竞争力所在，强调利用AI/机器学习能力，将海量数据转化为可操作的、精准的故障洞察，实现从“告警”到“答案”的转变。</w:t>
      </w:r>
    </w:p>
    <w:p>
      <w:pPr>
        <w:numPr>
          <w:numId w:val="17"/>
        </w:numPr>
        <w:spacing w:before="120" w:after="120" w:line="288" w:lineRule="auto"/>
        <w:ind w:left="0"/>
        <w:jc w:val="left"/>
      </w:pPr>
      <w:r>
        <w:rPr>
          <w:rFonts w:eastAsia="等线" w:ascii="Arial" w:cs="Arial" w:hAnsi="Arial"/>
          <w:b w:val="true"/>
          <w:sz w:val="22"/>
        </w:rPr>
        <w:t>动态基线与智能异常检测</w:t>
      </w:r>
    </w:p>
    <w:p>
      <w:pPr>
        <w:numPr>
          <w:numId w:val="18"/>
        </w:numPr>
        <w:spacing w:before="120" w:after="120" w:line="288" w:lineRule="auto"/>
        <w:ind w:left="453"/>
        <w:jc w:val="left"/>
      </w:pPr>
      <w:r>
        <w:rPr>
          <w:rFonts w:eastAsia="等线" w:ascii="Arial" w:cs="Arial" w:hAnsi="Arial"/>
          <w:b w:val="true"/>
          <w:sz w:val="22"/>
        </w:rPr>
        <w:t>自适应基线学习</w:t>
      </w:r>
      <w:r>
        <w:rPr>
          <w:rFonts w:eastAsia="等线" w:ascii="Arial" w:cs="Arial" w:hAnsi="Arial"/>
          <w:sz w:val="22"/>
        </w:rPr>
        <w:t>: 系统能自动学习网络中各项指标（如流量、时延、应用交易量）在不同时间（如工作日、节假日）的正常行为模式，形成动态的、多周期的性能基线 (7)。</w:t>
      </w:r>
    </w:p>
    <w:p>
      <w:pPr>
        <w:numPr>
          <w:numId w:val="19"/>
        </w:numPr>
        <w:spacing w:before="120" w:after="120" w:line="288" w:lineRule="auto"/>
        <w:ind w:left="453"/>
        <w:jc w:val="left"/>
      </w:pPr>
      <w:r>
        <w:rPr>
          <w:rFonts w:eastAsia="等线" w:ascii="Arial" w:cs="Arial" w:hAnsi="Arial"/>
          <w:b w:val="true"/>
          <w:sz w:val="22"/>
        </w:rPr>
        <w:t>多维异常检测</w:t>
      </w:r>
      <w:r>
        <w:rPr>
          <w:rFonts w:eastAsia="等线" w:ascii="Arial" w:cs="Arial" w:hAnsi="Arial"/>
          <w:sz w:val="22"/>
        </w:rPr>
        <w:t>: 基于机器学习算法，而非简单的静态阈值，对偏离正常基线的行为进行检测，能够发现包括突刺、整体抬升/下降、周期性失效等复杂模式的异常 (9)。</w:t>
      </w:r>
    </w:p>
    <w:p>
      <w:pPr>
        <w:numPr>
          <w:numId w:val="20"/>
        </w:numPr>
        <w:spacing w:before="120" w:after="120" w:line="288" w:lineRule="auto"/>
        <w:ind w:left="0"/>
        <w:jc w:val="left"/>
      </w:pPr>
      <w:r>
        <w:rPr>
          <w:rFonts w:eastAsia="等线" w:ascii="Arial" w:cs="Arial" w:hAnsi="Arial"/>
          <w:b w:val="true"/>
          <w:sz w:val="22"/>
        </w:rPr>
        <w:t>智能告警降噪与事件关联</w:t>
      </w:r>
    </w:p>
    <w:p>
      <w:pPr>
        <w:numPr>
          <w:numId w:val="21"/>
        </w:numPr>
        <w:spacing w:before="120" w:after="120" w:line="288" w:lineRule="auto"/>
        <w:ind w:left="453"/>
        <w:jc w:val="left"/>
      </w:pPr>
      <w:r>
        <w:rPr>
          <w:rFonts w:eastAsia="等线" w:ascii="Arial" w:cs="Arial" w:hAnsi="Arial"/>
          <w:b w:val="true"/>
          <w:sz w:val="22"/>
        </w:rPr>
        <w:t>告警风暴抑制</w:t>
      </w:r>
      <w:r>
        <w:rPr>
          <w:rFonts w:eastAsia="等线" w:ascii="Arial" w:cs="Arial" w:hAnsi="Arial"/>
          <w:sz w:val="22"/>
        </w:rPr>
        <w:t>: 当一个底层故障（如核心交换机故障）引发大量相关告警时，AI引擎能够自动将这些告警聚合成一个根本性事件，大幅减少告警噪音，帮助运维人员聚焦核心问题 (11)。</w:t>
      </w:r>
    </w:p>
    <w:p>
      <w:pPr>
        <w:numPr>
          <w:numId w:val="22"/>
        </w:numPr>
        <w:spacing w:before="120" w:after="120" w:line="288" w:lineRule="auto"/>
        <w:ind w:left="453"/>
        <w:jc w:val="left"/>
      </w:pPr>
      <w:r>
        <w:rPr>
          <w:rFonts w:eastAsia="等线" w:ascii="Arial" w:cs="Arial" w:hAnsi="Arial"/>
          <w:b w:val="true"/>
          <w:sz w:val="22"/>
        </w:rPr>
        <w:t>跨域事件关联</w:t>
      </w:r>
      <w:r>
        <w:rPr>
          <w:rFonts w:eastAsia="等线" w:ascii="Arial" w:cs="Arial" w:hAnsi="Arial"/>
          <w:sz w:val="22"/>
        </w:rPr>
        <w:t>: 能够分析不同节点、不同指标之间的因果关系，将看似孤立的异常现象（如A应用的响应变慢和B数据库的CPU升高）关联起来，构建故障传播链 (11)。</w:t>
      </w:r>
    </w:p>
    <w:p>
      <w:pPr>
        <w:numPr>
          <w:numId w:val="23"/>
        </w:numPr>
        <w:spacing w:before="120" w:after="120" w:line="288" w:lineRule="auto"/>
        <w:ind w:left="0"/>
        <w:jc w:val="left"/>
      </w:pPr>
      <w:r>
        <w:rPr>
          <w:rFonts w:eastAsia="等线" w:ascii="Arial" w:cs="Arial" w:hAnsi="Arial"/>
          <w:b w:val="true"/>
          <w:sz w:val="22"/>
        </w:rPr>
        <w:t>自动化故障诊断与定性</w:t>
      </w:r>
    </w:p>
    <w:p>
      <w:pPr>
        <w:numPr>
          <w:numId w:val="24"/>
        </w:numPr>
        <w:spacing w:before="120" w:after="120" w:line="288" w:lineRule="auto"/>
        <w:ind w:left="453"/>
        <w:jc w:val="left"/>
      </w:pPr>
      <w:r>
        <w:rPr>
          <w:rFonts w:eastAsia="等线" w:ascii="Arial" w:cs="Arial" w:hAnsi="Arial"/>
          <w:b w:val="true"/>
          <w:sz w:val="22"/>
        </w:rPr>
        <w:t>内置专家诊断模型</w:t>
      </w:r>
      <w:r>
        <w:rPr>
          <w:rFonts w:eastAsia="等线" w:ascii="Arial" w:cs="Arial" w:hAnsi="Arial"/>
          <w:sz w:val="22"/>
        </w:rPr>
        <w:t>: 将常见的网络故障排查逻辑（如MTU不匹配、TCP连接慢、设备延迟、DNS解析慢、负载均衡配置错误等）模型化，系统可自动进行匹配诊断，并给出明确的定性结论 (14)。</w:t>
      </w:r>
    </w:p>
    <w:p>
      <w:pPr>
        <w:numPr>
          <w:numId w:val="25"/>
        </w:numPr>
        <w:spacing w:before="120" w:after="120" w:line="288" w:lineRule="auto"/>
        <w:ind w:left="453"/>
        <w:jc w:val="left"/>
      </w:pPr>
      <w:r>
        <w:rPr>
          <w:rFonts w:eastAsia="等线" w:ascii="Arial" w:cs="Arial" w:hAnsi="Arial"/>
          <w:b w:val="true"/>
          <w:sz w:val="22"/>
        </w:rPr>
        <w:t>根因推荐</w:t>
      </w:r>
      <w:r>
        <w:rPr>
          <w:rFonts w:eastAsia="等线" w:ascii="Arial" w:cs="Arial" w:hAnsi="Arial"/>
          <w:sz w:val="22"/>
        </w:rPr>
        <w:t>: 在识别故障后，系统能自动分析并推荐最可能的根本原因，并按可能性进行排序，极大地缩短人工排查时间 (15)。</w:t>
      </w:r>
    </w:p>
    <w:p>
      <w:pPr>
        <w:numPr>
          <w:numId w:val="26"/>
        </w:numPr>
        <w:spacing w:before="120" w:after="120" w:line="288" w:lineRule="auto"/>
        <w:ind w:left="453"/>
        <w:jc w:val="left"/>
      </w:pPr>
      <w:r>
        <w:rPr>
          <w:rFonts w:eastAsia="等线" w:ascii="Arial" w:cs="Arial" w:hAnsi="Arial"/>
          <w:b w:val="true"/>
          <w:sz w:val="22"/>
        </w:rPr>
        <w:t>引导式排错建议</w:t>
      </w:r>
      <w:r>
        <w:rPr>
          <w:rFonts w:eastAsia="等线" w:ascii="Arial" w:cs="Arial" w:hAnsi="Arial"/>
          <w:sz w:val="22"/>
        </w:rPr>
        <w:t>: 针对已定位的故障，系统能提供清晰、可操作的修复建议或下一步排查指引，赋能初级运维人员处理复杂问题 (12)。</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杨东冬 1116"/>
          <v:fill opacity="0.3"/>
        </v:shape>
      </w:pict>
    </w:r>
  </w:p>
</w:hdr>
</file>

<file path=word/numbering.xml><?xml version="1.0" encoding="utf-8"?>
<w:numbering xmlns:w="http://schemas.openxmlformats.org/wordprocessingml/2006/main">
  <w:abstractNum w:abstractNumId="15549">
    <w:lvl>
      <w:start w:val="1"/>
      <w:numFmt w:val="decimal"/>
      <w:suff w:val="tab"/>
      <w:lvlText w:val="%1."/>
      <w:rPr>
        <w:color w:val="3370ff"/>
      </w:rPr>
    </w:lvl>
  </w:abstractNum>
  <w:abstractNum w:abstractNumId="15550">
    <w:lvl>
      <w:numFmt w:val="bullet"/>
      <w:suff w:val="tab"/>
      <w:lvlText w:val="￮"/>
      <w:rPr>
        <w:color w:val="3370ff"/>
      </w:rPr>
    </w:lvl>
  </w:abstractNum>
  <w:abstractNum w:abstractNumId="15551">
    <w:lvl>
      <w:numFmt w:val="bullet"/>
      <w:suff w:val="tab"/>
      <w:lvlText w:val="￮"/>
      <w:rPr>
        <w:color w:val="3370ff"/>
      </w:rPr>
    </w:lvl>
  </w:abstractNum>
  <w:abstractNum w:abstractNumId="15552">
    <w:lvl>
      <w:numFmt w:val="bullet"/>
      <w:suff w:val="tab"/>
      <w:lvlText w:val="￮"/>
      <w:rPr>
        <w:color w:val="3370ff"/>
      </w:rPr>
    </w:lvl>
  </w:abstractNum>
  <w:abstractNum w:abstractNumId="15553">
    <w:lvl>
      <w:start w:val="2"/>
      <w:numFmt w:val="decimal"/>
      <w:suff w:val="tab"/>
      <w:lvlText w:val="%1."/>
      <w:rPr>
        <w:color w:val="3370ff"/>
      </w:rPr>
    </w:lvl>
  </w:abstractNum>
  <w:abstractNum w:abstractNumId="15554">
    <w:lvl>
      <w:numFmt w:val="bullet"/>
      <w:suff w:val="tab"/>
      <w:lvlText w:val="￮"/>
      <w:rPr>
        <w:color w:val="3370ff"/>
      </w:rPr>
    </w:lvl>
  </w:abstractNum>
  <w:abstractNum w:abstractNumId="15555">
    <w:lvl>
      <w:numFmt w:val="bullet"/>
      <w:suff w:val="tab"/>
      <w:lvlText w:val="￮"/>
      <w:rPr>
        <w:color w:val="3370ff"/>
      </w:rPr>
    </w:lvl>
  </w:abstractNum>
  <w:abstractNum w:abstractNumId="15556">
    <w:lvl>
      <w:numFmt w:val="bullet"/>
      <w:suff w:val="tab"/>
      <w:lvlText w:val="￮"/>
      <w:rPr>
        <w:color w:val="3370ff"/>
      </w:rPr>
    </w:lvl>
  </w:abstractNum>
  <w:abstractNum w:abstractNumId="15557">
    <w:lvl>
      <w:start w:val="1"/>
      <w:numFmt w:val="decimal"/>
      <w:suff w:val="tab"/>
      <w:lvlText w:val="%1."/>
      <w:rPr>
        <w:color w:val="3370ff"/>
      </w:rPr>
    </w:lvl>
  </w:abstractNum>
  <w:abstractNum w:abstractNumId="15558">
    <w:lvl>
      <w:numFmt w:val="bullet"/>
      <w:suff w:val="tab"/>
      <w:lvlText w:val="￮"/>
      <w:rPr>
        <w:color w:val="3370ff"/>
      </w:rPr>
    </w:lvl>
  </w:abstractNum>
  <w:abstractNum w:abstractNumId="15559">
    <w:lvl>
      <w:numFmt w:val="bullet"/>
      <w:suff w:val="tab"/>
      <w:lvlText w:val="￮"/>
      <w:rPr>
        <w:color w:val="3370ff"/>
      </w:rPr>
    </w:lvl>
  </w:abstractNum>
  <w:abstractNum w:abstractNumId="15560">
    <w:lvl>
      <w:numFmt w:val="bullet"/>
      <w:suff w:val="tab"/>
      <w:lvlText w:val="￮"/>
      <w:rPr>
        <w:color w:val="3370ff"/>
      </w:rPr>
    </w:lvl>
  </w:abstractNum>
  <w:abstractNum w:abstractNumId="15561">
    <w:lvl>
      <w:start w:val="2"/>
      <w:numFmt w:val="decimal"/>
      <w:suff w:val="tab"/>
      <w:lvlText w:val="%1."/>
      <w:rPr>
        <w:color w:val="3370ff"/>
      </w:rPr>
    </w:lvl>
  </w:abstractNum>
  <w:abstractNum w:abstractNumId="15562">
    <w:lvl>
      <w:numFmt w:val="bullet"/>
      <w:suff w:val="tab"/>
      <w:lvlText w:val="￮"/>
      <w:rPr>
        <w:color w:val="3370ff"/>
      </w:rPr>
    </w:lvl>
  </w:abstractNum>
  <w:abstractNum w:abstractNumId="15563">
    <w:lvl>
      <w:numFmt w:val="bullet"/>
      <w:suff w:val="tab"/>
      <w:lvlText w:val="￮"/>
      <w:rPr>
        <w:color w:val="3370ff"/>
      </w:rPr>
    </w:lvl>
  </w:abstractNum>
  <w:abstractNum w:abstractNumId="15564">
    <w:lvl>
      <w:numFmt w:val="bullet"/>
      <w:suff w:val="tab"/>
      <w:lvlText w:val="￮"/>
      <w:rPr>
        <w:color w:val="3370ff"/>
      </w:rPr>
    </w:lvl>
  </w:abstractNum>
  <w:abstractNum w:abstractNumId="15565">
    <w:lvl>
      <w:start w:val="1"/>
      <w:numFmt w:val="decimal"/>
      <w:suff w:val="tab"/>
      <w:lvlText w:val="%1."/>
      <w:rPr>
        <w:color w:val="3370ff"/>
      </w:rPr>
    </w:lvl>
  </w:abstractNum>
  <w:abstractNum w:abstractNumId="15566">
    <w:lvl>
      <w:numFmt w:val="bullet"/>
      <w:suff w:val="tab"/>
      <w:lvlText w:val="￮"/>
      <w:rPr>
        <w:color w:val="3370ff"/>
      </w:rPr>
    </w:lvl>
  </w:abstractNum>
  <w:abstractNum w:abstractNumId="15567">
    <w:lvl>
      <w:numFmt w:val="bullet"/>
      <w:suff w:val="tab"/>
      <w:lvlText w:val="￮"/>
      <w:rPr>
        <w:color w:val="3370ff"/>
      </w:rPr>
    </w:lvl>
  </w:abstractNum>
  <w:abstractNum w:abstractNumId="15568">
    <w:lvl>
      <w:start w:val="2"/>
      <w:numFmt w:val="decimal"/>
      <w:suff w:val="tab"/>
      <w:lvlText w:val="%1."/>
      <w:rPr>
        <w:color w:val="3370ff"/>
      </w:rPr>
    </w:lvl>
  </w:abstractNum>
  <w:abstractNum w:abstractNumId="15569">
    <w:lvl>
      <w:numFmt w:val="bullet"/>
      <w:suff w:val="tab"/>
      <w:lvlText w:val="￮"/>
      <w:rPr>
        <w:color w:val="3370ff"/>
      </w:rPr>
    </w:lvl>
  </w:abstractNum>
  <w:abstractNum w:abstractNumId="15570">
    <w:lvl>
      <w:numFmt w:val="bullet"/>
      <w:suff w:val="tab"/>
      <w:lvlText w:val="￮"/>
      <w:rPr>
        <w:color w:val="3370ff"/>
      </w:rPr>
    </w:lvl>
  </w:abstractNum>
  <w:abstractNum w:abstractNumId="15571">
    <w:lvl>
      <w:start w:val="3"/>
      <w:numFmt w:val="decimal"/>
      <w:suff w:val="tab"/>
      <w:lvlText w:val="%1."/>
      <w:rPr>
        <w:color w:val="3370ff"/>
      </w:rPr>
    </w:lvl>
  </w:abstractNum>
  <w:abstractNum w:abstractNumId="15572">
    <w:lvl>
      <w:numFmt w:val="bullet"/>
      <w:suff w:val="tab"/>
      <w:lvlText w:val="￮"/>
      <w:rPr>
        <w:color w:val="3370ff"/>
      </w:rPr>
    </w:lvl>
  </w:abstractNum>
  <w:abstractNum w:abstractNumId="15573">
    <w:lvl>
      <w:numFmt w:val="bullet"/>
      <w:suff w:val="tab"/>
      <w:lvlText w:val="￮"/>
      <w:rPr>
        <w:color w:val="3370ff"/>
      </w:rPr>
    </w:lvl>
  </w:abstractNum>
  <w:abstractNum w:abstractNumId="15574">
    <w:lvl>
      <w:numFmt w:val="bullet"/>
      <w:suff w:val="tab"/>
      <w:lvlText w:val="￮"/>
      <w:rPr>
        <w:color w:val="3370ff"/>
      </w:rPr>
    </w:lvl>
  </w:abstractNum>
  <w:num w:numId="1">
    <w:abstractNumId w:val="15549"/>
  </w:num>
  <w:num w:numId="2">
    <w:abstractNumId w:val="15550"/>
  </w:num>
  <w:num w:numId="3">
    <w:abstractNumId w:val="15551"/>
  </w:num>
  <w:num w:numId="4">
    <w:abstractNumId w:val="15552"/>
  </w:num>
  <w:num w:numId="5">
    <w:abstractNumId w:val="15553"/>
  </w:num>
  <w:num w:numId="6">
    <w:abstractNumId w:val="15554"/>
  </w:num>
  <w:num w:numId="7">
    <w:abstractNumId w:val="15555"/>
  </w:num>
  <w:num w:numId="8">
    <w:abstractNumId w:val="15556"/>
  </w:num>
  <w:num w:numId="9">
    <w:abstractNumId w:val="15557"/>
  </w:num>
  <w:num w:numId="10">
    <w:abstractNumId w:val="15558"/>
  </w:num>
  <w:num w:numId="11">
    <w:abstractNumId w:val="15559"/>
  </w:num>
  <w:num w:numId="12">
    <w:abstractNumId w:val="15560"/>
  </w:num>
  <w:num w:numId="13">
    <w:abstractNumId w:val="15561"/>
  </w:num>
  <w:num w:numId="14">
    <w:abstractNumId w:val="15562"/>
  </w:num>
  <w:num w:numId="15">
    <w:abstractNumId w:val="15563"/>
  </w:num>
  <w:num w:numId="16">
    <w:abstractNumId w:val="15564"/>
  </w:num>
  <w:num w:numId="17">
    <w:abstractNumId w:val="15565"/>
  </w:num>
  <w:num w:numId="18">
    <w:abstractNumId w:val="15566"/>
  </w:num>
  <w:num w:numId="19">
    <w:abstractNumId w:val="15567"/>
  </w:num>
  <w:num w:numId="20">
    <w:abstractNumId w:val="15568"/>
  </w:num>
  <w:num w:numId="21">
    <w:abstractNumId w:val="15569"/>
  </w:num>
  <w:num w:numId="22">
    <w:abstractNumId w:val="15570"/>
  </w:num>
  <w:num w:numId="23">
    <w:abstractNumId w:val="15571"/>
  </w:num>
  <w:num w:numId="24">
    <w:abstractNumId w:val="15572"/>
  </w:num>
  <w:num w:numId="25">
    <w:abstractNumId w:val="15573"/>
  </w:num>
  <w:num w:numId="26">
    <w:abstractNumId w:val="1557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2025-10-12T10:52:13Z</dcterms:created>
  <dc:creator>Apache POI</dc:creator>
</cp:coreProperties>
</file>