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第2章 相关理论与技术</w:t>
      </w:r>
    </w:p>
    <w:p>
      <w:pPr/>
      <w:r>
        <w:rPr>
          <w:rFonts w:ascii="Times New Roman" w:hAnsi="Times New Roman" w:eastAsia="宋体"/>
          <w:b w:val="0"/>
          <w:sz w:val="24"/>
        </w:rPr>
        <w:t>本章给出跨域工程工件追溯与变更影响分析系统所依赖的理论和技术基础。内容包括工程工件与可追溯性的基本概念、变更影响分析及有限图遍历方法、AEB场景中的关键变量与标准约束，以及ODS原型采用的前后端分离、模块化单体、安全认证和数据持久化技术。相关概念将在第三章转化为需求，在第四章转化为数据模型、接口和分析规则。</w:t>
      </w:r>
    </w:p>
    <w:p>
      <w:pPr>
        <w:pStyle w:val="Heading2"/>
      </w:pPr>
      <w:r>
        <w:t>2.1 工程工件与可追溯性</w:t>
      </w:r>
    </w:p>
    <w:p>
      <w:pPr>
        <w:spacing w:before="60" w:after="60"/>
        <w:shd w:fill="F2F2F2"/>
        <w:pBdr>
          <w:top w:val="single" w:sz="4" w:color="B7B7B7" w:space="4"/>
          <w:left w:val="single" w:sz="4" w:color="B7B7B7" w:space="4"/>
          <w:bottom w:val="single" w:sz="4" w:color="B7B7B7" w:space="4"/>
          <w:right w:val="single" w:sz="4" w:color="B7B7B7" w:space="4"/>
        </w:pBdr>
      </w:pPr>
      <w:r>
        <w:rPr>
          <w:rFonts w:ascii="Times New Roman" w:hAnsi="Times New Roman" w:eastAsia="黑体"/>
          <w:b/>
          <w:color w:val="464646"/>
          <w:sz w:val="21"/>
        </w:rPr>
        <w:t>写作说明（定稿时删除）：</w:t>
      </w:r>
      <w:r>
        <w:rPr>
          <w:rFonts w:ascii="Times New Roman" w:hAnsi="Times New Roman" w:eastAsia="宋体"/>
          <w:b w:val="0"/>
          <w:color w:val="464646"/>
          <w:sz w:val="21"/>
        </w:rPr>
        <w:t>本节先统一“工件”“追溯关系”和“追溯路径”的含义，再说明传统追溯矩阵与图结构的差别。这样安排可以为后续统一工件模型提供概念依据，并避免把“工件”误解为汽车零部件。正文需要给出真实文献依据，同时把ODS中的项目、车型配置、市场说明、培训课程、操作指南和工单纳入同一概念范围。建议配一张跨域工件关系示意图，图中只展示对象类型与关系，不提前写数据库表结构。</w:t>
      </w:r>
    </w:p>
    <w:p>
      <w:pPr>
        <w:spacing w:before="60" w:after="60"/>
        <w:shd w:fill="EAF2F8"/>
        <w:pBdr>
          <w:top w:val="single" w:sz="4" w:color="9FBAD0" w:space="4"/>
          <w:left w:val="single" w:sz="4" w:color="9FBAD0" w:space="4"/>
          <w:bottom w:val="single" w:sz="4" w:color="9FBAD0" w:space="4"/>
          <w:right w:val="single" w:sz="4" w:color="9FBAD0" w:space="4"/>
        </w:pBdr>
      </w:pPr>
      <w:r>
        <w:rPr>
          <w:rFonts w:ascii="Times New Roman" w:hAnsi="Times New Roman" w:eastAsia="黑体"/>
          <w:b/>
          <w:color w:val="464646"/>
          <w:sz w:val="21"/>
        </w:rPr>
        <w:t>AI续写提示词（定稿时删除）：</w:t>
      </w:r>
      <w:r>
        <w:rPr>
          <w:rFonts w:ascii="Times New Roman" w:hAnsi="Times New Roman" w:eastAsia="宋体"/>
          <w:b w:val="0"/>
          <w:color w:val="464646"/>
          <w:sz w:val="21"/>
        </w:rPr>
        <w:t>请续写软件工程硕士论文《自动驾驶跨域工件追溯与变更分析系统设计与实现》的“工程工件与可追溯性”小节。采用客观、紧凑的IEEE论文风格，不使用疑问句、自问自答或写作过程表述。先依据ISO/IEC/IEEE 29148和需求追溯研究定义工程工件、追溯关系、方向、关系语义和版本，再比较追溯矩阵与图结构。结合ODS现有项目管理、Vehicle Market、Academy、My Ticket、Video Guideline等模块说明跨域工件范围。不要声称统一追溯层已经实现，不要把工件解释为汽车物理零件。保留真实引用，并给出一处跨域关系图占位说明。</w:t>
      </w:r>
    </w:p>
    <w:p>
      <w:pPr/>
      <w:r>
        <w:rPr>
          <w:rFonts w:ascii="Times New Roman" w:hAnsi="Times New Roman" w:eastAsia="宋体"/>
          <w:b w:val="0"/>
          <w:sz w:val="24"/>
        </w:rPr>
        <w:t>软件工程中的工件是研发活动产生、使用或维护的可识别信息对象。需求规范将需求、设计、实现和验证信息视为生命周期工作产品，并要求在这些工作产品之间建立可检查的联系[1]。本研究采用广义工件定义，将需求条目、算法或硬件配置、车型配置、项目记录、市场分析说明、培训课程、操作指南、工单和验证记录均视为工程工件。该定义关注数字化记录及其研发语义，不涉及汽车生产线上的物理零部件。</w:t>
      </w:r>
    </w:p>
    <w:p>
      <w:pPr/>
      <w:r>
        <w:rPr>
          <w:rFonts w:ascii="Times New Roman" w:hAnsi="Times New Roman" w:eastAsia="宋体"/>
          <w:b w:val="0"/>
          <w:sz w:val="24"/>
        </w:rPr>
        <w:t>可追溯性表示工件之间可被记录、查询和解释的关联。Gotel和Finkelstein将需求追溯概括为描述需求从产生到后续开发和使用过程的能力，并指出人员、信息和组织因素会影响追溯链的完整性[2]。Ramesh和Jarke进一步将参与者、来源、决策理由及其关系纳入参考模型[3]。因此，一条有效追溯关系至少需要保存源工件、目标工件、关系类型和建立依据；当工件允许修改时，还需要记录版本或时间信息，以避免把不同状态的对象混为一体。</w:t>
      </w:r>
    </w:p>
    <w:p>
      <w:pPr/>
      <w:r>
        <w:rPr>
          <w:rFonts w:ascii="Times New Roman" w:hAnsi="Times New Roman" w:eastAsia="宋体"/>
          <w:b w:val="0"/>
          <w:sz w:val="24"/>
        </w:rPr>
        <w:t>追溯关系具有方向和语义。例如，需求可以“分解为”软件要求，测试用例可以“验证”需求，培训课程可以“说明”某项功能，工单可以“处理”某次变更。正向追溯沿关系方向查找下游对象，反向追溯沿相反方向查找上游依据。多条连续关系构成追溯路径，路径既给出受影响对象，也说明对象之间的因果或依赖链。Winkler和von Pilgrim的综述表明，追溯方法已经覆盖需求工程与模型驱动开发的多个阶段，但关系建立和长期维护仍是主要困难[4]。</w:t>
      </w:r>
    </w:p>
    <w:p>
      <w:pPr/>
      <w:r>
        <w:rPr>
          <w:rFonts w:ascii="Times New Roman" w:hAnsi="Times New Roman" w:eastAsia="宋体"/>
          <w:b w:val="0"/>
          <w:sz w:val="24"/>
        </w:rPr>
        <w:t>追溯矩阵适合表示少量、类型固定的对应关系，但跨域工件具有多种对象类型和多跳关系，矩阵数量会随工件类型组合增加。图结构把工件表示为节点，把关系表示为有向边，可在同一模型中描述一对一、一对多和多跳依赖。图结构在概念上适合追溯查询，但并不要求使用专用图数据库。对于小规模Demo，关系数据库中的节点表与关系表同样可以保存图结构，并通过受限查询完成遍历。</w:t>
      </w:r>
    </w:p>
    <w:p>
      <w:pPr/>
      <w:r>
        <w:rPr>
          <w:rFonts w:ascii="Times New Roman" w:hAnsi="Times New Roman" w:eastAsia="宋体"/>
          <w:b w:val="0"/>
          <w:sz w:val="24"/>
        </w:rPr>
        <w:t>ODS当前包含项目、PMO、汽车市场、培训课程、工单、视频指南和知识节点等业务记录。这些模块并非追溯分析之外的附属内容。以AEB参数变更为例，车型ADAS说明、市场分析口径、培训材料、操作指南和待办工单均可能进入复核范围。统一追溯层的作用是在不改变原有业务记录含义的前提下，为不同模块对象提供稳定引用和显式关系。受控实验显示，开发者在维护任务中使用追溯关系能够提高任务完成的完整性，且未必增加完成时间[5]。</w:t>
      </w:r>
    </w:p>
    <w:p>
      <w:pPr>
        <w:spacing w:before="120" w:after="120"/>
        <w:jc w:val="center"/>
      </w:pPr>
      <w:r>
        <w:rPr>
          <w:rFonts w:ascii="Times New Roman" w:hAnsi="Times New Roman" w:eastAsia="楷体"/>
          <w:b w:val="0"/>
          <w:color w:val="5A5A5A"/>
          <w:sz w:val="21"/>
        </w:rPr>
        <w:t>【此处需要增加图2.1“ODS跨域工程工件关系示意图”。图中以AEB需求为中心，连接算法或硬件配置、车型配置、测试记录、市场说明、培训课程、操作指南和工单；边上标注“分解”“依赖”“验证”“说明”“处理”等关系类型。】</w:t>
      </w:r>
    </w:p>
    <w:p>
      <w:pPr>
        <w:pStyle w:val="Heading2"/>
      </w:pPr>
      <w:r>
        <w:t>2.2 变更影响分析与有限图遍历</w:t>
      </w:r>
    </w:p>
    <w:p>
      <w:pPr>
        <w:spacing w:before="60" w:after="60"/>
        <w:shd w:fill="F2F2F2"/>
        <w:pBdr>
          <w:top w:val="single" w:sz="4" w:color="B7B7B7" w:space="4"/>
          <w:left w:val="single" w:sz="4" w:color="B7B7B7" w:space="4"/>
          <w:bottom w:val="single" w:sz="4" w:color="B7B7B7" w:space="4"/>
          <w:right w:val="single" w:sz="4" w:color="B7B7B7" w:space="4"/>
        </w:pBdr>
      </w:pPr>
      <w:r>
        <w:rPr>
          <w:rFonts w:ascii="Times New Roman" w:hAnsi="Times New Roman" w:eastAsia="黑体"/>
          <w:b/>
          <w:color w:val="464646"/>
          <w:sz w:val="21"/>
        </w:rPr>
        <w:t>写作说明（定稿时删除）：</w:t>
      </w:r>
      <w:r>
        <w:rPr>
          <w:rFonts w:ascii="Times New Roman" w:hAnsi="Times New Roman" w:eastAsia="宋体"/>
          <w:b w:val="0"/>
          <w:color w:val="464646"/>
          <w:sz w:val="21"/>
        </w:rPr>
        <w:t>本节说明系统如何从一个发生变化的工件查找可能需要复核的对象。正文先给出变更影响分析定义，再用有向图描述正向、反向和多跳查询，最后给出轻量影响分值的理论形式。该分值只能用于排序，不能写成安全风险概率。需要说明最大深度、最大访问节点数和去重机制，因为这些限制既便于Demo实现，也能防止循环关系导致查询失控。建议增加一张遍历过程图，并在正文中给出符号含义。</w:t>
      </w:r>
    </w:p>
    <w:p>
      <w:pPr>
        <w:spacing w:before="60" w:after="60"/>
        <w:shd w:fill="EAF2F8"/>
        <w:pBdr>
          <w:top w:val="single" w:sz="4" w:color="9FBAD0" w:space="4"/>
          <w:left w:val="single" w:sz="4" w:color="9FBAD0" w:space="4"/>
          <w:bottom w:val="single" w:sz="4" w:color="9FBAD0" w:space="4"/>
          <w:right w:val="single" w:sz="4" w:color="9FBAD0" w:space="4"/>
        </w:pBdr>
      </w:pPr>
      <w:r>
        <w:rPr>
          <w:rFonts w:ascii="Times New Roman" w:hAnsi="Times New Roman" w:eastAsia="黑体"/>
          <w:b/>
          <w:color w:val="464646"/>
          <w:sz w:val="21"/>
        </w:rPr>
        <w:t>AI续写提示词（定稿时删除）：</w:t>
      </w:r>
      <w:r>
        <w:rPr>
          <w:rFonts w:ascii="Times New Roman" w:hAnsi="Times New Roman" w:eastAsia="宋体"/>
          <w:b w:val="0"/>
          <w:color w:val="464646"/>
          <w:sz w:val="21"/>
        </w:rPr>
        <w:t>请续写论文第二章的“变更影响分析与有限图遍历”小节。使用IEEE式客观表述。依据软件变更影响分析文献定义影响集合，把追溯网络写成有向图G=(V,E)，说明正向、反向和双向查询。给出最大深度D、最大访问节点数N和已访问集合的受限广度优先遍历过程。使用简单可解释的路径分值：变更类型系数、关系权重和路径衰减共同决定候选排序，多个路径可取最大值。明确分值不是事故概率或安全风险概率。说明正确率、完整率、响应时间和路径可解释性的含义，但不虚构实验数值。加入一处遍历图占位。不要引入Neo4j、Kafka或复杂机器学习模型。</w:t>
      </w:r>
    </w:p>
    <w:p>
      <w:pPr/>
      <w:r>
        <w:rPr>
          <w:rFonts w:ascii="Times New Roman" w:hAnsi="Times New Roman" w:eastAsia="宋体"/>
          <w:b w:val="0"/>
          <w:sz w:val="24"/>
        </w:rPr>
        <w:t>变更影响分析用于识别某项修改可能影响的其他软件或工程对象。Bohner和Arnold将其概括为根据变更信息确定潜在后果，并估计完成变更所需工作范围的过程[6]。现有研究既包括源代码级依赖分析，也包括需求、设计和测试之间的高层关系分析。Li等对基于代码的影响分析技术进行了系统总结，指出依赖关系、分析粒度和结果精度是影响分析的核心因素[7]。本研究处理的是跨域工程工件，不分析程序语句或函数调用，而是使用人工建立或规则生成的工件关系。</w:t>
      </w:r>
    </w:p>
    <w:p>
      <w:pPr/>
      <w:r>
        <w:rPr>
          <w:rFonts w:ascii="Times New Roman" w:hAnsi="Times New Roman" w:eastAsia="宋体"/>
          <w:b w:val="0"/>
          <w:sz w:val="24"/>
        </w:rPr>
        <w:t>设追溯网络为有向图G=(V,E)，其中V表示工件集合，E表示带类型的关系集合。给定发生变更的源工件s和最大深度D，正向影响集合由从s出发且路径长度不超过D的可达节点组成；反向集合由沿关系反方向可达的节点组成；双向查询则合并两类结果。广度优先搜索按路径长度逐层访问节点，适合输出从近到远的候选对象；深度优先搜索也可完成可达性判断，但其输出顺序不直接反映与源工件的距离。两种遍历方法的基本性质可由经典算法理论得到[8]。</w:t>
      </w:r>
    </w:p>
    <w:p>
      <w:pPr/>
      <w:r>
        <w:rPr>
          <w:rFonts w:ascii="Times New Roman" w:hAnsi="Times New Roman" w:eastAsia="宋体"/>
          <w:b w:val="0"/>
          <w:sz w:val="24"/>
        </w:rPr>
        <w:t>有限遍历需要设置最大深度D、最大访问节点数N和已访问集合visited。查询开始时将源工件加入队列和visited；每次取出一个节点后，根据查询方向取得相邻关系；尚未访问且满足深度限制的目标节点被加入队列；访问数量达到N时停止扩展。visited用于消除重复节点并阻止环路造成无限遍历。系统还应保留每个结果的前驱节点和关系类型，以便重建完整路径。</w:t>
      </w:r>
    </w:p>
    <w:p>
      <w:pPr/>
      <w:r>
        <w:rPr>
          <w:rFonts w:ascii="Times New Roman" w:hAnsi="Times New Roman" w:eastAsia="宋体"/>
          <w:b w:val="0"/>
          <w:sz w:val="24"/>
        </w:rPr>
        <w:t>影响候选可以采用轻量规则进行排序。设变更类型系数为c，路径p上的关系权重为w(e)，路径衰减系数为lambda，且0小于lambda且lambda不大于1，则路径分值可写为：</w:t>
      </w:r>
    </w:p>
    <w:p>
      <w:pPr>
        <w:ind w:firstLine="0"/>
        <w:jc w:val="center"/>
      </w:pPr>
      <w:r>
        <w:rPr>
          <w:rFonts w:ascii="Times New Roman" w:hAnsi="Times New Roman" w:eastAsia="宋体"/>
          <w:b w:val="0"/>
          <w:sz w:val="24"/>
        </w:rPr>
        <w:t>score(p) = c × lambda^(|p|-1) × Π w(e)</w:t>
      </w:r>
    </w:p>
    <w:p>
      <w:pPr/>
      <w:r>
        <w:rPr>
          <w:rFonts w:ascii="Times New Roman" w:hAnsi="Times New Roman" w:eastAsia="宋体"/>
          <w:b w:val="0"/>
          <w:sz w:val="24"/>
        </w:rPr>
        <w:t>同一工件由多条路径到达时，可取最高路径分值作为该工件的排序分值，同时保留其他路径供用户检查。关系越间接，路径衰减通常越明显；与特定变更无关的关系可被规则过滤。该分值用于组织复核顺序，不表示故障概率、事故概率或真实安全风险。权重与阈值应在第四章作为可配置规则给出，并在第六章通过构造答案集检查其排序结果。</w:t>
      </w:r>
    </w:p>
    <w:p>
      <w:pPr/>
      <w:r>
        <w:rPr>
          <w:rFonts w:ascii="Times New Roman" w:hAnsi="Times New Roman" w:eastAsia="宋体"/>
          <w:b w:val="0"/>
          <w:sz w:val="24"/>
        </w:rPr>
        <w:t>影响分析结果可从四个方面验证。正确率表示系统返回的候选中属于人工答案集的比例；完整率表示人工答案集中被系统找到的比例；响应时间表示单次查询的后端耗时；路径可解释性表示每个候选是否同时给出源工件、关系链和目标工件。上述指标适用于几十到一百个工件的小规模实验，不需要构造企业级并发量或不可验证的效率提升数据。</w:t>
      </w:r>
    </w:p>
    <w:p>
      <w:pPr>
        <w:spacing w:before="120" w:after="120"/>
        <w:jc w:val="center"/>
      </w:pPr>
      <w:r>
        <w:rPr>
          <w:rFonts w:ascii="Times New Roman" w:hAnsi="Times New Roman" w:eastAsia="楷体"/>
          <w:b w:val="0"/>
          <w:color w:val="5A5A5A"/>
          <w:sz w:val="21"/>
        </w:rPr>
        <w:t>【此处需要增加图2.2“受限追溯遍历与影响排序过程图”。依次展示变更源输入、方向选择、队列遍历、深度与节点数限制、路径重建、规则评分、候选结果展示和用户复核。】</w:t>
      </w:r>
    </w:p>
    <w:p>
      <w:pPr>
        <w:pStyle w:val="Heading2"/>
      </w:pPr>
      <w:r>
        <w:t>2.3 AEB场景中的变更对象与约束</w:t>
      </w:r>
    </w:p>
    <w:p>
      <w:pPr>
        <w:spacing w:before="60" w:after="60"/>
        <w:shd w:fill="F2F2F2"/>
        <w:pBdr>
          <w:top w:val="single" w:sz="4" w:color="B7B7B7" w:space="4"/>
          <w:left w:val="single" w:sz="4" w:color="B7B7B7" w:space="4"/>
          <w:bottom w:val="single" w:sz="4" w:color="B7B7B7" w:space="4"/>
          <w:right w:val="single" w:sz="4" w:color="B7B7B7" w:space="4"/>
        </w:pBdr>
      </w:pPr>
      <w:r>
        <w:rPr>
          <w:rFonts w:ascii="Times New Roman" w:hAnsi="Times New Roman" w:eastAsia="黑体"/>
          <w:b/>
          <w:color w:val="464646"/>
          <w:sz w:val="21"/>
        </w:rPr>
        <w:t>写作说明（定稿时删除）：</w:t>
      </w:r>
      <w:r>
        <w:rPr>
          <w:rFonts w:ascii="Times New Roman" w:hAnsi="Times New Roman" w:eastAsia="宋体"/>
          <w:b w:val="0"/>
          <w:color w:val="464646"/>
          <w:sz w:val="21"/>
        </w:rPr>
        <w:t>本节把抽象的追溯和影响分析落到AEB场景。正文需要解释AEB、TTC、传感器配置和安全制动距离之间的基本关系，但不能写成车辆控制算法论文。三类变更只作为追溯功能的输入，不用于证明制动性能。标准部分用于说明配置、变更、验证和文档需要保持一致，不能将标准解读为已经完成合规认证。建议配置一张AEB工件链图和一张三类变更对照表占位。</w:t>
      </w:r>
    </w:p>
    <w:p>
      <w:pPr>
        <w:spacing w:before="60" w:after="60"/>
        <w:shd w:fill="EAF2F8"/>
        <w:pBdr>
          <w:top w:val="single" w:sz="4" w:color="9FBAD0" w:space="4"/>
          <w:left w:val="single" w:sz="4" w:color="9FBAD0" w:space="4"/>
          <w:bottom w:val="single" w:sz="4" w:color="9FBAD0" w:space="4"/>
          <w:right w:val="single" w:sz="4" w:color="9FBAD0" w:space="4"/>
        </w:pBdr>
      </w:pPr>
      <w:r>
        <w:rPr>
          <w:rFonts w:ascii="Times New Roman" w:hAnsi="Times New Roman" w:eastAsia="黑体"/>
          <w:b/>
          <w:color w:val="464646"/>
          <w:sz w:val="21"/>
        </w:rPr>
        <w:t>AI续写提示词（定稿时删除）：</w:t>
      </w:r>
      <w:r>
        <w:rPr>
          <w:rFonts w:ascii="Times New Roman" w:hAnsi="Times New Roman" w:eastAsia="宋体"/>
          <w:b w:val="0"/>
          <w:color w:val="464646"/>
          <w:sz w:val="21"/>
        </w:rPr>
        <w:t>请续写论文第二章的“AEB场景中的变更对象与约束”小节。使用客观、简洁的IEEE论文风格。说明AEB的基本作用、TTC=d/v_rel的简化含义及适用条件，说明传感器探测距离、视场角、延迟和制动距离目标如何影响需求、配置和测试工件。使用三类案例：TTC阈值由2.0 s调整为2.5 s、前向雷达或硬件配置变化、安全制动距离目标变化。引用ISO 26262、ISO 21448、Automotive SPICE和UN R152，并说明这些标准提供过程和功能约束，不代表ODS已经通过认证。不得虚构实车试验或算法性能数据；加入AEB跨域工件链图和案例对照表占位。</w:t>
      </w:r>
    </w:p>
    <w:p>
      <w:pPr/>
      <w:r>
        <w:rPr>
          <w:rFonts w:ascii="Times New Roman" w:hAnsi="Times New Roman" w:eastAsia="宋体"/>
          <w:b w:val="0"/>
          <w:sz w:val="24"/>
        </w:rPr>
        <w:t>自动紧急制动系统通过环境感知、风险判断和制动执行，在驾驶员未及时采取措施时降低碰撞风险或减轻碰撞后果。公开研究表明，前向碰撞预警、制动辅助和自动制动在追尾场景中具有潜在安全作用[13]，基于真实事故数据的研究也报告了低速AEB对追尾事故的有效性[14]。这些研究用于说明AEB场景具有工程研究价值，不作为ODS原型性能的实验结果。</w:t>
      </w:r>
    </w:p>
    <w:p>
      <w:pPr/>
      <w:r>
        <w:rPr>
          <w:rFonts w:ascii="Times New Roman" w:hAnsi="Times New Roman" w:eastAsia="宋体"/>
          <w:b w:val="0"/>
          <w:sz w:val="24"/>
        </w:rPr>
        <w:t>碰撞时间TTC是AEB风险判断中常见的时间尺度。在目标距离为d、相对接近速度为v_rel且v_rel大于0的简化条件下，可写为TTC=d/v_rel。该表达式假设短时间内相对速度保持稳定，未包含目标横向运动、道路坡度、轮胎附着、感知误差和执行器延迟等因素。因此，论文中的TTC阈值仅作为需求和配置工件中的可变参数，不用于代替完整车辆动力学模型。</w:t>
      </w:r>
    </w:p>
    <w:p>
      <w:pPr/>
      <w:r>
        <w:rPr>
          <w:rFonts w:ascii="Times New Roman" w:hAnsi="Times New Roman" w:eastAsia="宋体"/>
          <w:b w:val="0"/>
          <w:sz w:val="24"/>
        </w:rPr>
        <w:t>安全制动距离同时受车速、系统延迟和有效减速度影响。在恒定减速度的简化假设下，可用d_stop=v×t_delay+v^2/(2a_eff)+d_margin说明各因素的方向性关系，其中t_delay表示感知、计算和执行总延迟，a_eff表示有效减速度，d_margin表示安全余量。该关系表明，提高安全距离目标可能要求复核传感器探测能力、算法触发策略、制动执行能力和测试场景。公式只用于解释工件之间的依赖，不用于生成车辆控制指令。</w:t>
      </w:r>
    </w:p>
    <w:p>
      <w:pPr/>
      <w:r>
        <w:rPr>
          <w:rFonts w:ascii="Times New Roman" w:hAnsi="Times New Roman" w:eastAsia="宋体"/>
          <w:b w:val="0"/>
          <w:sz w:val="24"/>
        </w:rPr>
        <w:t>本研究设置三类变更输入。第一类是TTC阈值由2.0 s调整为2.5 s，重点检查需求、算法参数、测试预期、车型ADAS说明、培训材料和工单。第二类是前向雷达或其他感知硬件发生变化，相关属性包括探测距离、视场角、接口和延迟，重点检查硬件配置、算法接口、车型配置和验证场景。第三类是安全制动距离目标变化，需要从安全或功能目标反向查找支撑需求与硬件，再向下查找需要重新验证的内容。三类输入分别覆盖参数、硬件和目标驱动的传播方向。</w:t>
      </w:r>
    </w:p>
    <w:p>
      <w:pPr/>
      <w:r>
        <w:rPr>
          <w:rFonts w:ascii="Times New Roman" w:hAnsi="Times New Roman" w:eastAsia="宋体"/>
          <w:b w:val="0"/>
          <w:sz w:val="24"/>
        </w:rPr>
        <w:t>ISO 26262第8部分将配置管理、变更管理和文档管理列为功能安全支持过程[9]。Automotive SPICE 4.0要求系统和软件工作产品之间保持一致性与双向追溯[10]。ISO 21448关注预期功能在已知与未知场景中的风险处理[11]，UN R152规定了M1和N1类车辆先进紧急制动系统的型式批准要求[12]。这些标准共同说明AEB相关需求、配置和验证证据需要保持一致，但不会直接规定ODS的数据表、接口或影响算法。论文引用这些标准不表示原型已经完成合规认证。</w:t>
      </w:r>
    </w:p>
    <w:p>
      <w:pPr/>
      <w:r>
        <w:rPr>
          <w:rFonts w:ascii="Times New Roman" w:hAnsi="Times New Roman" w:eastAsia="宋体"/>
          <w:b w:val="0"/>
          <w:sz w:val="24"/>
        </w:rPr>
        <w:t>汽车市场模块中的历史销量是已经发生的业务事实，不属于可随AEB变更修改的工程配置。影响分析只能把车型配置、ADAS标签、市场分析说明或展示口径标记为待复核。该边界防止追溯传播被错误解释为对历史记录的自动改写。所有影响结果均先展示给用户，再由用户决定是否创建工单。</w:t>
      </w:r>
    </w:p>
    <w:p>
      <w:pPr>
        <w:spacing w:before="120" w:after="120"/>
        <w:jc w:val="center"/>
      </w:pPr>
      <w:r>
        <w:rPr>
          <w:rFonts w:ascii="Times New Roman" w:hAnsi="Times New Roman" w:eastAsia="楷体"/>
          <w:b w:val="0"/>
          <w:color w:val="5A5A5A"/>
          <w:sz w:val="21"/>
        </w:rPr>
        <w:t>【此处需要增加图2.3“AEB变更的跨域工件链”。展示功能目标、TTC或安全距离参数、雷达配置、算法配置、测试场景、车型ADAS说明、市场说明、培训材料、操作指南和工单之间的有向关系。另增加表2.1“三类AEB变更输入、预期影响范围与验证方式”，不填写尚未运行的实验结果。】</w:t>
      </w:r>
    </w:p>
    <w:p>
      <w:pPr>
        <w:pStyle w:val="Heading2"/>
      </w:pPr>
      <w:r>
        <w:t>2.4 ODS系统架构基础</w:t>
      </w:r>
    </w:p>
    <w:p>
      <w:pPr>
        <w:spacing w:before="60" w:after="60"/>
        <w:shd w:fill="F2F2F2"/>
        <w:pBdr>
          <w:top w:val="single" w:sz="4" w:color="B7B7B7" w:space="4"/>
          <w:left w:val="single" w:sz="4" w:color="B7B7B7" w:space="4"/>
          <w:bottom w:val="single" w:sz="4" w:color="B7B7B7" w:space="4"/>
          <w:right w:val="single" w:sz="4" w:color="B7B7B7" w:space="4"/>
        </w:pBdr>
      </w:pPr>
      <w:r>
        <w:rPr>
          <w:rFonts w:ascii="Times New Roman" w:hAnsi="Times New Roman" w:eastAsia="黑体"/>
          <w:b/>
          <w:color w:val="464646"/>
          <w:sz w:val="21"/>
        </w:rPr>
        <w:t>写作说明（定稿时删除）：</w:t>
      </w:r>
      <w:r>
        <w:rPr>
          <w:rFonts w:ascii="Times New Roman" w:hAnsi="Times New Roman" w:eastAsia="宋体"/>
          <w:b w:val="0"/>
          <w:color w:val="464646"/>
          <w:sz w:val="21"/>
        </w:rPr>
        <w:t>本节只描述代码中已经存在的总体架构，不提前描述统一工件表、关系表和影响分析服务的实现细节。正文需要区分前后端分离与微服务：ODS前后端独立构建，但后端业务模块部署在一个Spring Boot进程中，因此属于模块化单体。建议架构图使用实线表示已实现部分，虚线表示论文后续拟增加的追溯层，避免读者把计划功能当成当前功能。</w:t>
      </w:r>
    </w:p>
    <w:p>
      <w:pPr>
        <w:spacing w:before="60" w:after="60"/>
        <w:shd w:fill="EAF2F8"/>
        <w:pBdr>
          <w:top w:val="single" w:sz="4" w:color="9FBAD0" w:space="4"/>
          <w:left w:val="single" w:sz="4" w:color="9FBAD0" w:space="4"/>
          <w:bottom w:val="single" w:sz="4" w:color="9FBAD0" w:space="4"/>
          <w:right w:val="single" w:sz="4" w:color="9FBAD0" w:space="4"/>
        </w:pBdr>
      </w:pPr>
      <w:r>
        <w:rPr>
          <w:rFonts w:ascii="Times New Roman" w:hAnsi="Times New Roman" w:eastAsia="黑体"/>
          <w:b/>
          <w:color w:val="464646"/>
          <w:sz w:val="21"/>
        </w:rPr>
        <w:t>AI续写提示词（定稿时删除）：</w:t>
      </w:r>
      <w:r>
        <w:rPr>
          <w:rFonts w:ascii="Times New Roman" w:hAnsi="Times New Roman" w:eastAsia="宋体"/>
          <w:b w:val="0"/>
          <w:color w:val="464646"/>
          <w:sz w:val="21"/>
        </w:rPr>
        <w:t>请续写论文第二章的“ODS系统架构基础”小节。基于实际代码说明：React Web前端通过JSON REST API调用Spring Boot后端；后端采用模块化单体，一个应用进程和一个关系数据库；现有模块包括项目、PMO、Vehicle Market、Academy、My Ticket、Video Guideline、知识节点和用户权限。引用Fielding的REST架构研究。明确前后端分离不等于微服务，不得加入Spring Cloud、Nacos、Gateway、Kafka、Neo4j、Redis、Docker或Kubernetes等未使用组件。统一工件、追溯关系和影响分析属于后续拟增加能力。加入现状与目标边界清楚的架构图占位。</w:t>
      </w:r>
    </w:p>
    <w:p>
      <w:pPr/>
      <w:r>
        <w:rPr>
          <w:rFonts w:ascii="Times New Roman" w:hAnsi="Times New Roman" w:eastAsia="宋体"/>
          <w:b w:val="0"/>
          <w:sz w:val="24"/>
        </w:rPr>
        <w:t>ODS采用前后端分离形式。React Web负责路由、页面状态和用户交互，Spring Boot负责业务规则、身份验证、数据访问和REST接口。前端使用HTTP方法和JSON数据调用/api/v1下的资源接口，后端以统一响应结构返回业务数据。Fielding提出的REST架构强调统一接口、无状态交互和可识别资源[15]。ODS接口采用资源路径和标准HTTP方法组织操作，但论文中的“REST API”主要描述其接口风格，不表示系统实现了REST的全部约束。</w:t>
      </w:r>
    </w:p>
    <w:p>
      <w:pPr/>
      <w:r>
        <w:rPr>
          <w:rFonts w:ascii="Times New Roman" w:hAnsi="Times New Roman" w:eastAsia="宋体"/>
          <w:b w:val="0"/>
          <w:sz w:val="24"/>
        </w:rPr>
        <w:t>前后端分离与微服务属于不同维度。前后端分离表示浏览器应用与服务端应用独立构建并通过网络接口交互；微服务要求后端业务能力拆分为可独立部署和演化的服务。ODS后端中的控制器、服务、仓储和实体运行在同一个Spring Boot应用进程中，并访问同一关系数据库，因此其部署形态属于模块化单体，而不是微服务集群。模块化单体减少了分布式通信、服务发现、跨服务事务和运维环境的额外成本，适合个人完成的原型系统。</w:t>
      </w:r>
    </w:p>
    <w:p>
      <w:pPr/>
      <w:r>
        <w:rPr>
          <w:rFonts w:ascii="Times New Roman" w:hAnsi="Times New Roman" w:eastAsia="宋体"/>
          <w:b w:val="0"/>
          <w:sz w:val="24"/>
        </w:rPr>
        <w:t>现有业务能力包括项目与PMO管理、汽车市场数据展示、培训课程、个人工单、视频指南、知识节点和用户权限。各模块在业务上承担不同职责，但共享认证、异常处理和数据访问基础设施。跨域追溯需要引用这些模块的业务记录，而不是复制或替代原有记录。例如，追溯节点可保存工件类型和业务对象标识，通过该标识定位培训课程或工单。</w:t>
      </w:r>
    </w:p>
    <w:p>
      <w:pPr/>
      <w:r>
        <w:rPr>
          <w:rFonts w:ascii="Times New Roman" w:hAnsi="Times New Roman" w:eastAsia="宋体"/>
          <w:b w:val="0"/>
          <w:sz w:val="24"/>
        </w:rPr>
        <w:t>当前代码尚未包含统一工件、追溯关系和变更影响分析功能。后续设计将在模块化单体内部增加独立的追溯能力，并通过应用服务访问现有业务对象。该扩展仍保持单进程和单数据库部署，不引入服务间消息总线或分布式事务。现状模块与目标追溯层在论文中需要分别标识，以保证实现范围可核查。</w:t>
      </w:r>
    </w:p>
    <w:p>
      <w:pPr>
        <w:spacing w:before="120" w:after="120"/>
        <w:jc w:val="center"/>
      </w:pPr>
      <w:r>
        <w:rPr>
          <w:rFonts w:ascii="Times New Roman" w:hAnsi="Times New Roman" w:eastAsia="楷体"/>
          <w:b w:val="0"/>
          <w:color w:val="5A5A5A"/>
          <w:sz w:val="21"/>
        </w:rPr>
        <w:t>【此处需要增加图2.4“ODS现有架构与追溯扩展边界图”。自上而下展示React Web、JSON REST API、Spring Security、业务控制器与服务、Spring Data JPA、PostgreSQL/Flyway；用实线表示现有组件，用虚线框表示后续增加的统一工件、追溯关系和影响分析能力。】</w:t>
      </w:r>
    </w:p>
    <w:p>
      <w:pPr>
        <w:pStyle w:val="Heading2"/>
      </w:pPr>
      <w:r>
        <w:t>2.5 ODS关键实现技术</w:t>
      </w:r>
    </w:p>
    <w:p>
      <w:pPr>
        <w:spacing w:before="60" w:after="60"/>
        <w:shd w:fill="F2F2F2"/>
        <w:pBdr>
          <w:top w:val="single" w:sz="4" w:color="B7B7B7" w:space="4"/>
          <w:left w:val="single" w:sz="4" w:color="B7B7B7" w:space="4"/>
          <w:bottom w:val="single" w:sz="4" w:color="B7B7B7" w:space="4"/>
          <w:right w:val="single" w:sz="4" w:color="B7B7B7" w:space="4"/>
        </w:pBdr>
      </w:pPr>
      <w:r>
        <w:rPr>
          <w:rFonts w:ascii="Times New Roman" w:hAnsi="Times New Roman" w:eastAsia="黑体"/>
          <w:b/>
          <w:color w:val="464646"/>
          <w:sz w:val="21"/>
        </w:rPr>
        <w:t>写作说明（定稿时删除）：</w:t>
      </w:r>
      <w:r>
        <w:rPr>
          <w:rFonts w:ascii="Times New Roman" w:hAnsi="Times New Roman" w:eastAsia="宋体"/>
          <w:b w:val="0"/>
          <w:color w:val="464646"/>
          <w:sz w:val="21"/>
        </w:rPr>
        <w:t>本节按照前端、后端、安全和数据库四个方面说明实际技术，不写成框架产品说明书。每一种技术都需要回答其在ODS中承担什么职责，以及它与追溯功能有什么联系。版本号应来自pom.xml和package.json。安全部分只陈述现有JWT与角色授权，不宣称达到生产级安全。数据库部分需要说明PostgreSQL与Flyway用于正式配置，H2只用于本地快速启动和测试。建议增加一张技术栈职责表占位。</w:t>
      </w:r>
    </w:p>
    <w:p>
      <w:pPr>
        <w:spacing w:before="60" w:after="60"/>
        <w:shd w:fill="EAF2F8"/>
        <w:pBdr>
          <w:top w:val="single" w:sz="4" w:color="9FBAD0" w:space="4"/>
          <w:left w:val="single" w:sz="4" w:color="9FBAD0" w:space="4"/>
          <w:bottom w:val="single" w:sz="4" w:color="9FBAD0" w:space="4"/>
          <w:right w:val="single" w:sz="4" w:color="9FBAD0" w:space="4"/>
        </w:pBdr>
      </w:pPr>
      <w:r>
        <w:rPr>
          <w:rFonts w:ascii="Times New Roman" w:hAnsi="Times New Roman" w:eastAsia="黑体"/>
          <w:b/>
          <w:color w:val="464646"/>
          <w:sz w:val="21"/>
        </w:rPr>
        <w:t>AI续写提示词（定稿时删除）：</w:t>
      </w:r>
      <w:r>
        <w:rPr>
          <w:rFonts w:ascii="Times New Roman" w:hAnsi="Times New Roman" w:eastAsia="宋体"/>
          <w:b w:val="0"/>
          <w:color w:val="464646"/>
          <w:sz w:val="21"/>
        </w:rPr>
        <w:t>请续写论文第二章的“ODS关键实现技术”小节。必须以代码为准：前端React 18.3.1、React Router 6.28.0、TypeScript 5.6.3、Vite 6.0.5；后端Java 21、Spring Boot 3.4.5、Spring Web、Validation、Spring Data JPA；安全使用Spring Security、无状态会话、JWT Bearer令牌、JJWT 0.12.6、BCrypt和方法级角色授权；正式数据库为PostgreSQL并由Flyway管理迁移，H2仅用于本地快速启动和测试。说明每项技术的职责及其对追溯模块的支持。不得宣称使用微服务、Spring Cloud、图数据库或消息队列。引用官方规范或文档，加入技术栈职责表占位。</w:t>
      </w:r>
    </w:p>
    <w:p>
      <w:pPr/>
      <w:r>
        <w:rPr>
          <w:rFonts w:ascii="Times New Roman" w:hAnsi="Times New Roman" w:eastAsia="宋体"/>
          <w:b w:val="0"/>
          <w:sz w:val="24"/>
        </w:rPr>
        <w:t>前端采用React 18.3.1构建单页应用。React以组件和状态组织用户界面，适合把追溯查询条件、结果列表和路径详情划分为独立视图[19]。React Router 6.28.0负责登录页、项目页、市场页、培训页、工单页和指南页之间的客户端路由[20]。TypeScript 5.6.3为接口数据、查询参数和页面状态提供静态类型检查，Vite 6.0.5负责开发服务器和生产构建。当前前端通过统一API客户端发送请求，并在Authorization请求头中附加Bearer令牌。</w:t>
      </w:r>
    </w:p>
    <w:p>
      <w:pPr/>
      <w:r>
        <w:rPr>
          <w:rFonts w:ascii="Times New Roman" w:hAnsi="Times New Roman" w:eastAsia="宋体"/>
          <w:b w:val="0"/>
          <w:sz w:val="24"/>
        </w:rPr>
        <w:t>后端采用Java 21和Spring Boot 3.4.5。Spring Boot提供依赖管理、自动配置和应用启动机制[16]；Spring Web用于实现REST控制器；Jakarta Validation用于检查请求字段；统一异常处理将校验或业务错误转换为HTTP响应。后端按照控制器、服务、仓储和实体分层：控制器处理协议，服务执行规则，仓储访问数据库，实体映射持久化结构。该分层允许追溯查询和影响规则集中在服务层，减少页面逻辑与数据访问逻辑的耦合。</w:t>
      </w:r>
    </w:p>
    <w:p>
      <w:pPr/>
      <w:r>
        <w:rPr>
          <w:rFonts w:ascii="Times New Roman" w:hAnsi="Times New Roman" w:eastAsia="宋体"/>
          <w:b w:val="0"/>
          <w:sz w:val="24"/>
        </w:rPr>
        <w:t>Spring Data JPA用于定义仓储接口和实体关系，Jakarta Persistence规范提供实体、主键和持久化生命周期等标准语义[21]。ODS现有实体使用UUID作为标识，并通过创建时间和更新时间记录基本生命周期信息。统一工件模型可延续UUID标识方式，通过工件类型和业务对象标识引用既有记录；追溯关系可采用独立实体保存源节点、目标节点、关系类型和必要的审计字段。具体表结构属于第四章设计内容，本章仅说明技术可行性。</w:t>
      </w:r>
    </w:p>
    <w:p>
      <w:pPr/>
      <w:r>
        <w:rPr>
          <w:rFonts w:ascii="Times New Roman" w:hAnsi="Times New Roman" w:eastAsia="宋体"/>
          <w:b w:val="0"/>
          <w:sz w:val="24"/>
        </w:rPr>
        <w:t>身份认证和授权由Spring Security负责。安全过滤链将服务端会话设置为无状态，仅允许登录、健康检查和接口文档等指定路径匿名访问，其余请求必须完成身份认证。JWT是由点分隔的紧凑声明格式，RFC 7519规定了其声明与签名结构[18]。ODS登录成功后生成带主题、角色、签发时间和过期时间的签名令牌；请求过滤器校验签名、用户状态和有效期，再把用户权限写入安全上下文。Spring Security的方法级授权用于限制项目、培训和内容管理等写操作[17]。</w:t>
      </w:r>
    </w:p>
    <w:p>
      <w:pPr/>
      <w:r>
        <w:rPr>
          <w:rFonts w:ascii="Times New Roman" w:hAnsi="Times New Roman" w:eastAsia="宋体"/>
          <w:b w:val="0"/>
          <w:sz w:val="24"/>
        </w:rPr>
        <w:t>ODS采用基于角色的访问控制。现有角色包括ADMIN、TPJM、PJM、LPM、TRAINER、COORDINATOR和USER等，控制器使用角色表达式限制创建、修改或删除操作。追溯查询可复用当前认证上下文，但新增接口仍需在第三章明确读取关系、维护关系、执行分析和确认创建工单的权限。JWT和角色控制只构成原型的访问控制基础，不等同于完成生产环境威胁建模、安全审计或密钥管理。</w:t>
      </w:r>
    </w:p>
    <w:p>
      <w:pPr/>
      <w:r>
        <w:rPr>
          <w:rFonts w:ascii="Times New Roman" w:hAnsi="Times New Roman" w:eastAsia="宋体"/>
          <w:b w:val="0"/>
          <w:sz w:val="24"/>
        </w:rPr>
        <w:t>正式数据库采用PostgreSQL。PostgreSQL提供事务、外键、索引、递归查询和JSON等能力[22]，能够保存小规模工件图及其关系。Flyway按照带版本号的迁移脚本管理数据库结构，使开发、测试和部署环境能够按相同顺序演进[23]。当前PostgreSQL配置将JPA结构策略设为validate并启用Flyway，避免由运行时自动修改正式数据库结构。</w:t>
      </w:r>
    </w:p>
    <w:p>
      <w:pPr/>
      <w:r>
        <w:rPr>
          <w:rFonts w:ascii="Times New Roman" w:hAnsi="Times New Roman" w:eastAsia="宋体"/>
          <w:b w:val="0"/>
          <w:sz w:val="24"/>
        </w:rPr>
        <w:t>H2仅用于本地快速启动和自动化测试。ODS默认本地配置使用H2的PostgreSQL兼容模式，测试配置使用内存数据库并在测试结束后清理[24]。兼容模式不能保证所有SQL行为与PostgreSQL完全相同，因此涉及迁移脚本、约束或数据库特性的测试仍需要在PostgreSQL环境中执行。现有项目已配置PostgreSQL Testcontainers集成测试依赖，可用于验证Flyway迁移，但不需要在论文中虚构尚未运行的测试结果。</w:t>
      </w:r>
    </w:p>
    <w:p>
      <w:pPr>
        <w:spacing w:before="120" w:after="120"/>
        <w:jc w:val="center"/>
      </w:pPr>
      <w:r>
        <w:rPr>
          <w:rFonts w:ascii="Times New Roman" w:hAnsi="Times New Roman" w:eastAsia="楷体"/>
          <w:b w:val="0"/>
          <w:color w:val="5A5A5A"/>
          <w:sz w:val="21"/>
        </w:rPr>
        <w:t>【此处需要增加表2.2“ODS实际技术栈及职责”。列出React、React Router、TypeScript、Vite、Java、Spring Boot、Spring Security、JWT、Spring Data JPA、PostgreSQL、Flyway和H2，并分别填写代码中的版本、系统职责、使用环境及与追溯功能的关系。】</w:t>
      </w:r>
    </w:p>
    <w:p>
      <w:pPr>
        <w:pStyle w:val="Heading2"/>
      </w:pPr>
      <w:r>
        <w:t>2.6 技术适用性与研究边界</w:t>
      </w:r>
    </w:p>
    <w:p>
      <w:pPr>
        <w:spacing w:before="60" w:after="60"/>
        <w:shd w:fill="F2F2F2"/>
        <w:pBdr>
          <w:top w:val="single" w:sz="4" w:color="B7B7B7" w:space="4"/>
          <w:left w:val="single" w:sz="4" w:color="B7B7B7" w:space="4"/>
          <w:bottom w:val="single" w:sz="4" w:color="B7B7B7" w:space="4"/>
          <w:right w:val="single" w:sz="4" w:color="B7B7B7" w:space="4"/>
        </w:pBdr>
      </w:pPr>
      <w:r>
        <w:rPr>
          <w:rFonts w:ascii="Times New Roman" w:hAnsi="Times New Roman" w:eastAsia="黑体"/>
          <w:b/>
          <w:color w:val="464646"/>
          <w:sz w:val="21"/>
        </w:rPr>
        <w:t>写作说明（定稿时删除）：</w:t>
      </w:r>
      <w:r>
        <w:rPr>
          <w:rFonts w:ascii="Times New Roman" w:hAnsi="Times New Roman" w:eastAsia="宋体"/>
          <w:b w:val="0"/>
          <w:color w:val="464646"/>
          <w:sz w:val="21"/>
        </w:rPr>
        <w:t>本节用于收束技术选型，说明所选方案为什么适合个人Demo，同时主动限定其适用范围。正文需要强调关系数据库足以支撑当前小规模图数据，模块化单体降低实现成本；同时说明该选择不证明其适合百万级图或企业级高并发。还要区分框架能力与论文贡献，避免把使用React或Spring Boot本身写成创新点。</w:t>
      </w:r>
    </w:p>
    <w:p>
      <w:pPr>
        <w:spacing w:before="60" w:after="60"/>
        <w:shd w:fill="EAF2F8"/>
        <w:pBdr>
          <w:top w:val="single" w:sz="4" w:color="9FBAD0" w:space="4"/>
          <w:left w:val="single" w:sz="4" w:color="9FBAD0" w:space="4"/>
          <w:bottom w:val="single" w:sz="4" w:color="9FBAD0" w:space="4"/>
          <w:right w:val="single" w:sz="4" w:color="9FBAD0" w:space="4"/>
        </w:pBdr>
      </w:pPr>
      <w:r>
        <w:rPr>
          <w:rFonts w:ascii="Times New Roman" w:hAnsi="Times New Roman" w:eastAsia="黑体"/>
          <w:b/>
          <w:color w:val="464646"/>
          <w:sz w:val="21"/>
        </w:rPr>
        <w:t>AI续写提示词（定稿时删除）：</w:t>
      </w:r>
      <w:r>
        <w:rPr>
          <w:rFonts w:ascii="Times New Roman" w:hAnsi="Times New Roman" w:eastAsia="宋体"/>
          <w:b w:val="0"/>
          <w:color w:val="464646"/>
          <w:sz w:val="21"/>
        </w:rPr>
        <w:t>请续写论文第二章的“技术适用性与研究边界”小节。基于个人Demo的真实条件，说明模块化单体、关系数据库邻接关系、有限图遍历和规则评分为什么能够支持30至100个构造工件及三类AEB案例。说明未采用微服务、Neo4j、Kafka和复杂工作流引擎的原因是研究目标与规模不需要，而不是否定这些技术。明确当前方案未证明百万级图查询、高并发、企业可用性或功能安全合规。指出React、Spring Boot和PostgreSQL是实现手段，论文工作的重点是跨域工件建模、可解释追溯和人工确认的变更处理流程。</w:t>
      </w:r>
    </w:p>
    <w:p>
      <w:pPr/>
      <w:r>
        <w:rPr>
          <w:rFonts w:ascii="Times New Roman" w:hAnsi="Times New Roman" w:eastAsia="宋体"/>
          <w:b w:val="0"/>
          <w:sz w:val="24"/>
        </w:rPr>
        <w:t>ODS的研究目标是验证跨域工件统一引用、有限追溯查询和可解释影响分析，不是构建企业级研发基础设施。模块化单体可以在一个代码库和数据库中完成接口、事务、权限和测试，减少网络通信与部署环境对研究结果的干扰。关系数据库通过节点表、关系表和索引即可保存几十到一百个构造工件，应用层广度优先遍历能够完成三类AEB案例的路径查询。</w:t>
      </w:r>
    </w:p>
    <w:p>
      <w:pPr/>
      <w:r>
        <w:rPr>
          <w:rFonts w:ascii="Times New Roman" w:hAnsi="Times New Roman" w:eastAsia="宋体"/>
          <w:b w:val="0"/>
          <w:sz w:val="24"/>
        </w:rPr>
        <w:t>专用图数据库在大规模关联查询和图算法方面具有优势，但引入新的查询语言、驱动、部署和数据同步机制会扩大Demo实现范围。微服务、消息队列和复杂工作流引擎也会增加服务治理、消息一致性与运维工作。当前未采用这些技术是由研究问题、数据规模和个人实现条件决定的，并不表示这些技术不适用于更大规模系统。</w:t>
      </w:r>
    </w:p>
    <w:p>
      <w:pPr/>
      <w:r>
        <w:rPr>
          <w:rFonts w:ascii="Times New Roman" w:hAnsi="Times New Roman" w:eastAsia="宋体"/>
          <w:b w:val="0"/>
          <w:sz w:val="24"/>
        </w:rPr>
        <w:t>现有技术路线存在明确边界。小规模构造数据不能证明百万级节点查询性能；单机测试不能证明高并发能力和生产可用性；H2测试不能完全替代PostgreSQL验证；JWT与角色授权不能证明系统满足完整网络安全要求；引用ISO 26262、ISO 21448和Automotive SPICE也不能证明系统已经通过流程评估或功能安全认证。后续实验只报告实际运行的功能结果、正确率、完整率、响应时间和路径可解释性。</w:t>
      </w:r>
    </w:p>
    <w:p>
      <w:pPr/>
      <w:r>
        <w:rPr>
          <w:rFonts w:ascii="Times New Roman" w:hAnsi="Times New Roman" w:eastAsia="宋体"/>
          <w:b w:val="0"/>
          <w:sz w:val="24"/>
        </w:rPr>
        <w:t>React、Spring Boot、Spring Security、JPA和PostgreSQL属于实现工具，不构成论文的独立创新。论文工作的技术重点是把不同ODS业务记录抽象为可引用工件，以有向关系保存跨域依赖，以受限遍历和轻量规则输出可解释影响路径，并在用户确认后创建工单。该边界使系统贡献能够由数据模型、接口、代码和实验结果共同验证。</w:t>
      </w:r>
    </w:p>
    <w:p>
      <w:pPr>
        <w:spacing w:before="120" w:after="120"/>
        <w:jc w:val="center"/>
      </w:pPr>
      <w:r>
        <w:rPr>
          <w:rFonts w:ascii="Times New Roman" w:hAnsi="Times New Roman" w:eastAsia="楷体"/>
          <w:b w:val="0"/>
          <w:color w:val="5A5A5A"/>
          <w:sz w:val="21"/>
        </w:rPr>
        <w:t>【此处需要增加图2.5“技术选择与研究目标对应关系”。左侧列出统一工件、有限追溯、影响排序、权限复用和数据库演进等目标，右侧连接模块化单体、关系数据库、广度优先遍历、Spring Security和Flyway；图下注明不覆盖企业级分布式能力。】</w:t>
      </w:r>
    </w:p>
    <w:p>
      <w:pPr>
        <w:pStyle w:val="Heading2"/>
      </w:pPr>
      <w:r>
        <w:t>2.7 本章小结</w:t>
      </w:r>
    </w:p>
    <w:p>
      <w:pPr>
        <w:spacing w:before="60" w:after="60"/>
        <w:shd w:fill="F2F2F2"/>
        <w:pBdr>
          <w:top w:val="single" w:sz="4" w:color="B7B7B7" w:space="4"/>
          <w:left w:val="single" w:sz="4" w:color="B7B7B7" w:space="4"/>
          <w:bottom w:val="single" w:sz="4" w:color="B7B7B7" w:space="4"/>
          <w:right w:val="single" w:sz="4" w:color="B7B7B7" w:space="4"/>
        </w:pBdr>
      </w:pPr>
      <w:r>
        <w:rPr>
          <w:rFonts w:ascii="Times New Roman" w:hAnsi="Times New Roman" w:eastAsia="黑体"/>
          <w:b/>
          <w:color w:val="464646"/>
          <w:sz w:val="21"/>
        </w:rPr>
        <w:t>写作说明（定稿时删除）：</w:t>
      </w:r>
      <w:r>
        <w:rPr>
          <w:rFonts w:ascii="Times New Roman" w:hAnsi="Times New Roman" w:eastAsia="宋体"/>
          <w:b w:val="0"/>
          <w:color w:val="464646"/>
          <w:sz w:val="21"/>
        </w:rPr>
        <w:t>本节只归纳本章已经建立的概念和技术基础，并自然引出第三章需求分析。不得增加新方法、新指标或实验结论。总结应同时覆盖追溯模型、影响分析、AEB场景和ODS技术路线，并再次明确统一追溯能力尚待后续章节设计与实现。</w:t>
      </w:r>
    </w:p>
    <w:p>
      <w:pPr>
        <w:spacing w:before="60" w:after="60"/>
        <w:shd w:fill="EAF2F8"/>
        <w:pBdr>
          <w:top w:val="single" w:sz="4" w:color="9FBAD0" w:space="4"/>
          <w:left w:val="single" w:sz="4" w:color="9FBAD0" w:space="4"/>
          <w:bottom w:val="single" w:sz="4" w:color="9FBAD0" w:space="4"/>
          <w:right w:val="single" w:sz="4" w:color="9FBAD0" w:space="4"/>
        </w:pBdr>
      </w:pPr>
      <w:r>
        <w:rPr>
          <w:rFonts w:ascii="Times New Roman" w:hAnsi="Times New Roman" w:eastAsia="黑体"/>
          <w:b/>
          <w:color w:val="464646"/>
          <w:sz w:val="21"/>
        </w:rPr>
        <w:t>AI续写提示词（定稿时删除）：</w:t>
      </w:r>
      <w:r>
        <w:rPr>
          <w:rFonts w:ascii="Times New Roman" w:hAnsi="Times New Roman" w:eastAsia="宋体"/>
          <w:b w:val="0"/>
          <w:color w:val="464646"/>
          <w:sz w:val="21"/>
        </w:rPr>
        <w:t>请续写论文第二章“本章小结”。使用一段约250至350字的客观学术表述，依次概括工程工件与追溯关系、有向图和有限遍历、AEB三类变更、ODS前后端分离与模块化单体、JWT/RBAC、PostgreSQL/Flyway及H2的使用边界。结尾引出第三章需求分析。不要引入新引用，不要写实验结果，不要宣称追溯功能已经实现，不使用疑问句或自我评价。</w:t>
      </w:r>
    </w:p>
    <w:p>
      <w:pPr/>
      <w:r>
        <w:rPr>
          <w:rFonts w:ascii="Times New Roman" w:hAnsi="Times New Roman" w:eastAsia="宋体"/>
          <w:b w:val="0"/>
          <w:sz w:val="24"/>
        </w:rPr>
        <w:t>本章说明了工程工件、追溯关系和追溯路径的基本含义，并将跨域追溯表示为由工件节点和有向关系组成的图结构。在此基础上，给出了正向、反向和双向的有限遍历方法，以及由变更类型、关系权重和路径衰减组成的可解释排序思路。AEB场景中的TTC阈值、感知硬件配置和安全制动距离目标构成三类变更输入，其影响可扩展至算法配置、测试记录、车型说明、市场内容、培训材料和工单。ODS当前采用React与Spring Boot构成前后端分离系统，后端保持模块化单体部署，使用Spring Security实现JWT身份认证和角色授权，使用Spring Data JPA访问数据库，正式配置采用PostgreSQL与Flyway，H2仅服务于本地启动和测试。上述理论与技术为第三章的角色、用例、功能需求、非功能需求和研究边界分析提供基础。</w:t>
      </w:r>
    </w:p>
    <w:p>
      <w:r>
        <w:br w:type="page"/>
      </w:r>
    </w:p>
    <w:p>
      <w:pPr>
        <w:keepNext/>
        <w:spacing w:after="240"/>
        <w:jc w:val="center"/>
      </w:pPr>
      <w:r>
        <w:rPr>
          <w:rFonts w:ascii="Times New Roman" w:hAnsi="Times New Roman" w:eastAsia="黑体"/>
          <w:b/>
          <w:sz w:val="32"/>
        </w:rPr>
        <w:t>参考文献</w:t>
      </w:r>
    </w:p>
    <w:p>
      <w:pPr>
        <w:pStyle w:val="Reference"/>
      </w:pPr>
      <w:r>
        <w:rPr>
          <w:rFonts w:ascii="Times New Roman" w:hAnsi="Times New Roman" w:eastAsia="宋体"/>
          <w:b w:val="0"/>
          <w:sz w:val="21"/>
        </w:rPr>
        <w:t>[1] ISO/IEC/IEEE. ISO/IEC/IEEE 29148:2018 Systems and software engineering—Life cycle processes—Requirements engineering[S]. Geneva: ISO, 2018.</w:t>
      </w:r>
    </w:p>
    <w:p>
      <w:pPr>
        <w:pStyle w:val="Reference"/>
      </w:pPr>
      <w:r>
        <w:rPr>
          <w:rFonts w:ascii="Times New Roman" w:hAnsi="Times New Roman" w:eastAsia="宋体"/>
          <w:b w:val="0"/>
          <w:sz w:val="21"/>
        </w:rPr>
        <w:t>[2] GOTEL O C Z, FINKELSTEIN A C W. An analysis of the requirements traceability problem[C]//Proceedings of IEEE International Conference on Requirements Engineering. Colorado Springs: IEEE, 1994: 94-101. DOI:10.1109/ICRE.1994.292398.</w:t>
      </w:r>
    </w:p>
    <w:p>
      <w:pPr>
        <w:pStyle w:val="Reference"/>
      </w:pPr>
      <w:r>
        <w:rPr>
          <w:rFonts w:ascii="Times New Roman" w:hAnsi="Times New Roman" w:eastAsia="宋体"/>
          <w:b w:val="0"/>
          <w:sz w:val="21"/>
        </w:rPr>
        <w:t>[3] RAMESH B, JARKE M. Toward reference models for requirements traceability[J]. IEEE Transactions on Software Engineering, 2001, 27(1): 58-93. DOI:10.1109/32.895989.</w:t>
      </w:r>
    </w:p>
    <w:p>
      <w:pPr>
        <w:pStyle w:val="Reference"/>
      </w:pPr>
      <w:r>
        <w:rPr>
          <w:rFonts w:ascii="Times New Roman" w:hAnsi="Times New Roman" w:eastAsia="宋体"/>
          <w:b w:val="0"/>
          <w:sz w:val="21"/>
        </w:rPr>
        <w:t>[4] WINKLER S, VON PILGRIM J. A survey of traceability in requirements engineering and model-driven development[J]. Software &amp; Systems Modeling, 2010, 9(4): 529-565. DOI:10.1007/s10270-009-0145-0.</w:t>
      </w:r>
    </w:p>
    <w:p>
      <w:pPr>
        <w:pStyle w:val="Reference"/>
      </w:pPr>
      <w:r>
        <w:rPr>
          <w:rFonts w:ascii="Times New Roman" w:hAnsi="Times New Roman" w:eastAsia="宋体"/>
          <w:b w:val="0"/>
          <w:sz w:val="21"/>
        </w:rPr>
        <w:t>[5] MÄDER P, EGYED A. Do developers benefit from requirements traceability when evolving and maintaining a software system?[J]. Empirical Software Engineering, 2015, 20(2): 413-441. DOI:10.1007/s10664-014-9314-z.</w:t>
      </w:r>
    </w:p>
    <w:p>
      <w:pPr>
        <w:pStyle w:val="Reference"/>
      </w:pPr>
      <w:r>
        <w:rPr>
          <w:rFonts w:ascii="Times New Roman" w:hAnsi="Times New Roman" w:eastAsia="宋体"/>
          <w:b w:val="0"/>
          <w:sz w:val="21"/>
        </w:rPr>
        <w:t>[6] BOHNER S A, ARNOLD R S, eds. Software Change Impact Analysis[M]. Los Alamitos: IEEE Computer Society Press, 1996.</w:t>
      </w:r>
    </w:p>
    <w:p>
      <w:pPr>
        <w:pStyle w:val="Reference"/>
      </w:pPr>
      <w:r>
        <w:rPr>
          <w:rFonts w:ascii="Times New Roman" w:hAnsi="Times New Roman" w:eastAsia="宋体"/>
          <w:b w:val="0"/>
          <w:sz w:val="21"/>
        </w:rPr>
        <w:t>[7] LI B, SUN X, LEUNG H, et al. A survey of code-based change impact analysis techniques[J]. Software Testing, Verification and Reliability, 2013, 23(8): 613-646. DOI:10.1002/stvr.1475.</w:t>
      </w:r>
    </w:p>
    <w:p>
      <w:pPr>
        <w:pStyle w:val="Reference"/>
      </w:pPr>
      <w:r>
        <w:rPr>
          <w:rFonts w:ascii="Times New Roman" w:hAnsi="Times New Roman" w:eastAsia="宋体"/>
          <w:b w:val="0"/>
          <w:sz w:val="21"/>
        </w:rPr>
        <w:t>[8] CORMEN T H, LEISERSON C E, RIVEST R L, et al. Introduction to Algorithms[M]. 4th ed. Cambridge: MIT Press, 2022.</w:t>
      </w:r>
    </w:p>
    <w:p>
      <w:pPr>
        <w:pStyle w:val="Reference"/>
      </w:pPr>
      <w:r>
        <w:rPr>
          <w:rFonts w:ascii="Times New Roman" w:hAnsi="Times New Roman" w:eastAsia="宋体"/>
          <w:b w:val="0"/>
          <w:sz w:val="21"/>
        </w:rPr>
        <w:t>[9] ISO. ISO 26262-8:2018 Road vehicles—Functional safety—Part 8: Supporting processes[S]. Geneva: ISO, 2018.</w:t>
      </w:r>
    </w:p>
    <w:p>
      <w:pPr>
        <w:pStyle w:val="Reference"/>
      </w:pPr>
      <w:r>
        <w:rPr>
          <w:rFonts w:ascii="Times New Roman" w:hAnsi="Times New Roman" w:eastAsia="宋体"/>
          <w:b w:val="0"/>
          <w:sz w:val="21"/>
        </w:rPr>
        <w:t>[10] VDA QMC. Automotive SPICE Process Assessment / Reference Model, Version 4.0[S]. Berlin: Verband der Automobilindustrie, 2023.</w:t>
      </w:r>
    </w:p>
    <w:p>
      <w:pPr>
        <w:pStyle w:val="Reference"/>
      </w:pPr>
      <w:r>
        <w:rPr>
          <w:rFonts w:ascii="Times New Roman" w:hAnsi="Times New Roman" w:eastAsia="宋体"/>
          <w:b w:val="0"/>
          <w:sz w:val="21"/>
        </w:rPr>
        <w:t>[11] ISO. ISO 21448:2022 Road vehicles—Safety of the intended functionality[S]. Geneva: ISO, 2022.</w:t>
      </w:r>
    </w:p>
    <w:p>
      <w:pPr>
        <w:pStyle w:val="Reference"/>
      </w:pPr>
      <w:r>
        <w:rPr>
          <w:rFonts w:ascii="Times New Roman" w:hAnsi="Times New Roman" w:eastAsia="宋体"/>
          <w:b w:val="0"/>
          <w:sz w:val="21"/>
        </w:rPr>
        <w:t>[12] UNITED NATIONS. UN Regulation No. 152—Uniform provisions concerning the approval of motor vehicles with regard to the Advanced Emergency Braking System (AEBS) for M1 and N1 vehicles[S]. Geneva: UNECE, 2024.</w:t>
      </w:r>
    </w:p>
    <w:p>
      <w:pPr>
        <w:pStyle w:val="Reference"/>
      </w:pPr>
      <w:r>
        <w:rPr>
          <w:rFonts w:ascii="Times New Roman" w:hAnsi="Times New Roman" w:eastAsia="宋体"/>
          <w:b w:val="0"/>
          <w:sz w:val="21"/>
        </w:rPr>
        <w:t>[13] KUSANO K D, GABLER H C. Safety benefits of forward collision warning, brake assist, and autonomous braking systems in rear-end collisions[J]. IEEE Transactions on Intelligent Transportation Systems, 2012, 13(4): 1546-1555. DOI:10.1109/TITS.2012.2191542.</w:t>
      </w:r>
    </w:p>
    <w:p>
      <w:pPr>
        <w:pStyle w:val="Reference"/>
      </w:pPr>
      <w:r>
        <w:rPr>
          <w:rFonts w:ascii="Times New Roman" w:hAnsi="Times New Roman" w:eastAsia="宋体"/>
          <w:b w:val="0"/>
          <w:sz w:val="21"/>
        </w:rPr>
        <w:t>[14] FILDES B, KEALL M, BOS N, et al. Effectiveness of low speed autonomous emergency braking in real-world rear-end crashes[J]. Accident Analysis &amp; Prevention, 2015, 81: 24-29. DOI:10.1016/j.aap.2015.03.029.</w:t>
      </w:r>
    </w:p>
    <w:p>
      <w:pPr>
        <w:pStyle w:val="Reference"/>
      </w:pPr>
      <w:r>
        <w:rPr>
          <w:rFonts w:ascii="Times New Roman" w:hAnsi="Times New Roman" w:eastAsia="宋体"/>
          <w:b w:val="0"/>
          <w:sz w:val="21"/>
        </w:rPr>
        <w:t>[15] FIELDING R T. Architectural Styles and the Design of Network-based Software Architectures[D]. Irvine: University of California, Irvine, 2000.</w:t>
      </w:r>
    </w:p>
    <w:p>
      <w:pPr>
        <w:pStyle w:val="Reference"/>
      </w:pPr>
      <w:r>
        <w:rPr>
          <w:rFonts w:ascii="Times New Roman" w:hAnsi="Times New Roman" w:eastAsia="宋体"/>
          <w:b w:val="0"/>
          <w:sz w:val="21"/>
        </w:rPr>
        <w:t>[16] VMWARE. Spring Boot Reference Documentation 3.4.5[EB/OL]. https://docs.spring.io/spring-boot/3.4/index.html, 2026-08-05.</w:t>
      </w:r>
    </w:p>
    <w:p>
      <w:pPr>
        <w:pStyle w:val="Reference"/>
      </w:pPr>
      <w:r>
        <w:rPr>
          <w:rFonts w:ascii="Times New Roman" w:hAnsi="Times New Roman" w:eastAsia="宋体"/>
          <w:b w:val="0"/>
          <w:sz w:val="21"/>
        </w:rPr>
        <w:t>[17] VMWARE. Spring Security Reference[EB/OL]. https://docs.spring.io/spring-security/reference/, 2026-08-05.</w:t>
      </w:r>
    </w:p>
    <w:p>
      <w:pPr>
        <w:pStyle w:val="Reference"/>
      </w:pPr>
      <w:r>
        <w:rPr>
          <w:rFonts w:ascii="Times New Roman" w:hAnsi="Times New Roman" w:eastAsia="宋体"/>
          <w:b w:val="0"/>
          <w:sz w:val="21"/>
        </w:rPr>
        <w:t>[18] JONES M, BRADLEY J, SAKIMURA N. JSON Web Token (JWT): RFC 7519[S]. Fremont: Internet Engineering Task Force, 2015. DOI:10.17487/RFC7519.</w:t>
      </w:r>
    </w:p>
    <w:p>
      <w:pPr>
        <w:pStyle w:val="Reference"/>
      </w:pPr>
      <w:r>
        <w:rPr>
          <w:rFonts w:ascii="Times New Roman" w:hAnsi="Times New Roman" w:eastAsia="宋体"/>
          <w:b w:val="0"/>
          <w:sz w:val="21"/>
        </w:rPr>
        <w:t>[19] META OPEN SOURCE. React Documentation[EB/OL]. https://react.dev/, 2026-08-05.</w:t>
      </w:r>
    </w:p>
    <w:p>
      <w:pPr>
        <w:pStyle w:val="Reference"/>
      </w:pPr>
      <w:r>
        <w:rPr>
          <w:rFonts w:ascii="Times New Roman" w:hAnsi="Times New Roman" w:eastAsia="宋体"/>
          <w:b w:val="0"/>
          <w:sz w:val="21"/>
        </w:rPr>
        <w:t>[20] REMIX SOFTWARE. React Router Documentation[EB/OL]. https://reactrouter.com/, 2026-08-05.</w:t>
      </w:r>
    </w:p>
    <w:p>
      <w:pPr>
        <w:pStyle w:val="Reference"/>
      </w:pPr>
      <w:r>
        <w:rPr>
          <w:rFonts w:ascii="Times New Roman" w:hAnsi="Times New Roman" w:eastAsia="宋体"/>
          <w:b w:val="0"/>
          <w:sz w:val="21"/>
        </w:rPr>
        <w:t>[21] ECLIPSE FOUNDATION. Jakarta Persistence 3.1 Specification[S/OL]. https://jakarta.ee/specifications/persistence/3.1/, 2026-08-05.</w:t>
      </w:r>
    </w:p>
    <w:p>
      <w:pPr>
        <w:pStyle w:val="Reference"/>
      </w:pPr>
      <w:r>
        <w:rPr>
          <w:rFonts w:ascii="Times New Roman" w:hAnsi="Times New Roman" w:eastAsia="宋体"/>
          <w:b w:val="0"/>
          <w:sz w:val="21"/>
        </w:rPr>
        <w:t>[22] POSTGRESQL GLOBAL DEVELOPMENT GROUP. PostgreSQL 17 Documentation[EB/OL]. https://www.postgresql.org/docs/17/, 2026-08-05.</w:t>
      </w:r>
    </w:p>
    <w:p>
      <w:pPr>
        <w:pStyle w:val="Reference"/>
      </w:pPr>
      <w:r>
        <w:rPr>
          <w:rFonts w:ascii="Times New Roman" w:hAnsi="Times New Roman" w:eastAsia="宋体"/>
          <w:b w:val="0"/>
          <w:sz w:val="21"/>
        </w:rPr>
        <w:t>[23] REDGATE SOFTWARE. Flyway Documentation[EB/OL]. https://documentation.red-gate.com/flyway, 2026-08-05.</w:t>
      </w:r>
    </w:p>
    <w:p>
      <w:pPr>
        <w:pStyle w:val="Reference"/>
      </w:pPr>
      <w:r>
        <w:rPr>
          <w:rFonts w:ascii="Times New Roman" w:hAnsi="Times New Roman" w:eastAsia="宋体"/>
          <w:b w:val="0"/>
          <w:sz w:val="21"/>
        </w:rPr>
        <w:t>[24] H2 GROUP. H2 Database Engine Documentation[EB/OL]. https://www.h2database.com/html/main.html, 2026-08-05.</w:t>
      </w:r>
    </w:p>
    <w:sectPr w:rsidR="00FC693F" w:rsidRPr="0006063C" w:rsidSect="00034616">
      <w:footerReference w:type="default" r:id="rId9"/>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21"/>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0" w:lineRule="auto" w:before="0" w:after="160"/>
      <w:ind w:firstLine="420"/>
      <w:jc w:val="both"/>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ind w:firstLine="0"/>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line="276" w:lineRule="auto" w:after="60"/>
      <w:ind w:left="420" w:hanging="420"/>
      <w:jc w:val="both"/>
    </w:pPr>
    <w:rPr>
      <w:rFonts w:ascii="Times New Roman" w:hAnsi="Times New Roman" w:eastAsia="宋体"/>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