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第3章 系统需求分析</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章承担从研究问题到系统设计的转换任务。内容按照需求依据、业务场景、功能需求、核心用例、非功能需求和可行性逐层展开。所有需求均需在第四章找到设计对象，并在第六章找到测试或案例证据。正文只描述系统应具备的能力，不提前叙述数据库表、类名或具体算法实现。</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请撰写硕士论文第3章“系统需求分析”的章节导语。论文题目为《自动驾驶跨域工件追溯与变更分析系统设计与实现》。ODS是React与Spring Boot构成的模块化单体Demo，追溯与影响分析尚待实现。采用客观、紧凑的IEEE论文风格，说明本章分析范围及与后续设计、测试章节的对应关系，不虚构企业部署和实验结果。</w:t>
      </w:r>
    </w:p>
    <w:p>
      <w:pPr>
        <w:ind w:firstLine="420"/>
        <w:jc w:val="both"/>
      </w:pPr>
      <w:r>
        <w:t>本章基于公开标准、相关研究、ODS原型代码和AEB构造场景，对跨域工程工件追溯与变更影响分析功能进行需求建模。分析范围覆盖工程工件登记、关系维护、双向追溯、变更影响计算、结果复核和工单创建，并复用现有身份认证、项目、市场、培训、指南与工单模块。需求描述区分现有平台能力、论文拟新增能力和明确排除项，为后续总体设计、功能实现及测试验证提供可追踪的输入。</w:t>
      </w:r>
    </w:p>
    <w:p>
      <w:pPr>
        <w:pStyle w:val="Heading2"/>
      </w:pPr>
      <w:r>
        <w:t>3.1 需求分析依据与系统边界</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本节首先说明需求从何而来，再给出建设目标和研究边界。该顺序能够避免把个人设想直接写成业务事实，也能使读者理解哪些内容来自公开标准、哪些来自现有代码、哪些是论文为验证追溯能力而构造的需求。</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请撰写“3.1 需求分析依据与系统边界”的引导段。围绕公开标准、ODS代码核对和AEB构造案例三类来源展开，强调需求分析关注系统做什么，不进入实现细节。语言客观，不使用反问句和自我评价。</w:t>
      </w:r>
    </w:p>
    <w:p>
      <w:pPr>
        <w:ind w:firstLine="420"/>
        <w:jc w:val="both"/>
      </w:pPr>
      <w:r>
        <w:t>需求分析以可验证性和边界一致性为基本原则。需求来源包括软件与系统需求工程标准、汽车功能安全支持过程、ODS现有业务与技术基线，以及为论文验证而构造的AEB变更案例。每项需求均采用唯一编号，后续设计对象、实现接口和测试用例应引用相同编号，从而形成从需求到验证的对应关系。</w:t>
      </w:r>
    </w:p>
    <w:p>
      <w:pPr>
        <w:pStyle w:val="Heading3"/>
      </w:pPr>
      <w:r>
        <w:t>3.1.1 需求来源与分析方法</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本小节需要交代需求证据，避免将行业通用要求、ODS现状和论文目标混为一体。建议按“标准与文献—代码与数据结构—构造案例”三类来源叙述，并说明采用场景分析、角色分析和用例分析形成需求。</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请撰写“3.1.1 需求来源与分析方法”，约500字。引用ISO/IEC/IEEE 29148、ISO 26262支持过程和Automotive SPICE，结合ODS现有React、Spring Boot、JWT、JPA、PostgreSQL、Flyway代码基线，说明使用场景分析、角色分析、用例分析和需求追踪矩阵。不得声称进行了企业访谈或真实道路试验。</w:t>
      </w:r>
    </w:p>
    <w:p>
      <w:pPr>
        <w:ind w:firstLine="420"/>
        <w:jc w:val="both"/>
      </w:pPr>
      <w:r>
        <w:t>ISO/IEC/IEEE 29148要求需求具有必要性、无歧义性、可行性和可验证性，并强调需求应与其来源及后续生命周期工作产品保持联系[1]。ISO 26262将配置管理、变更管理和文档管理列为功能安全支持过程[2]；Automotive SPICE进一步要求系统需求、软件需求、设计与验证结果之间建立双向一致性[3]。上述公开要求构成本章确定工件关系、变更记录和验证闭环的规范依据。</w:t>
      </w:r>
    </w:p>
    <w:p>
      <w:pPr>
        <w:ind w:firstLine="420"/>
        <w:jc w:val="both"/>
      </w:pPr>
      <w:r>
        <w:t>需求追溯研究表明，追溯信息不仅包含对象之间的连接，还涉及信息来源、参与者和决策依据[6][7]。因此，本章除定义工件和关系外，还要求记录关系建立依据、操作者和复核结论，使系统输出能够由后续设计与测试验证。</w:t>
      </w:r>
    </w:p>
    <w:p>
      <w:pPr>
        <w:ind w:firstLine="420"/>
        <w:jc w:val="both"/>
      </w:pPr>
      <w:r>
        <w:t>对ODS代码仓库的静态核对表明，平台当前采用React前端和Spring Boot后端，通过JSON REST API交互，已经包含项目、PMO、Vehicle Market、Academy、My Ticket和Video Guideline等模块。数据库迁移脚本定义了项目、车型销量、培训课程、工单、指南和知识节点等业务记录，Spring Security提供JWT身份校验和角色授权。代码中尚不存在统一工件、追溯关系、变更记录及影响分析相关实体和接口，因此这些能力在本章中定义为拟新增需求，而非既有功能。</w:t>
      </w:r>
    </w:p>
    <w:p>
      <w:pPr>
        <w:ind w:firstLine="420"/>
        <w:jc w:val="both"/>
      </w:pPr>
      <w:r>
        <w:t>本章采用场景分析识别AEB变更的输入和影响对象，采用角色分析明确操作权限与责任边界，采用用例分析描述系统与参与者的交互，并通过需求编号建立后续追踪。由于项目未在企业中实施，业务数据采用公开资料约束下的构造数据，数据生成规则和人工预期答案应在第六章公开说明。需求结论不依赖企业访谈、客户数据或实车试验。</w:t>
      </w:r>
    </w:p>
    <w:p>
      <w:pPr>
        <w:pStyle w:val="Heading3"/>
      </w:pPr>
      <w:r>
        <w:t>3.1.2 系统建设目标</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本小节用于把绪论中的研究目标转换为系统层面的可验收目标。目标数量应有限，且每一项都能由Demo功能或简单实验验证。不要写企业效率提升、事故降低率或高并发等无法获得证据的指标。</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请撰写“3.1.2 系统建设目标”，约400字。目标包括统一引用跨模块工件、维护有向关系、正反向多跳查询、可解释影响分析、人工确认创建工单和小规模案例验证。明确影响分值仅用于排序，不代表安全风险概率。采用IEEE式陈述。</w:t>
      </w:r>
    </w:p>
    <w:p>
      <w:pPr>
        <w:ind w:firstLine="420"/>
        <w:jc w:val="both"/>
      </w:pPr>
      <w:r>
        <w:t>系统建设目标是在ODS现有业务记录之上增加轻量追溯能力，使不同模块中的对象能够使用统一标识参与关联和查询。系统应支持登记工件引用及其版本信息，维护具有方向和类型的关系，从任一工件执行正向、反向或限定深度的多跳追溯，并返回完整关系路径。该目标不要求迁移或重写现有业务模块，而是在其上建立统一引用层。</w:t>
      </w:r>
    </w:p>
    <w:p>
      <w:pPr>
        <w:ind w:firstLine="420"/>
        <w:jc w:val="both"/>
      </w:pPr>
      <w:r>
        <w:t>在变更处理方面，系统应接收变更对象、变更类型和说明，基于显式关系生成候选受影响工件、影响等级和传播路径。影响结果先由用户复核，只有用户确认后才能创建工单。影响分值用于候选项排序，不表示事故概率或真实安全风险。系统验证限定为30至100个构造工件和三类AEB变更案例，评价内容包括功能正确性、追溯正确率、追溯完整率、响应时间和路径可解释性。</w:t>
      </w:r>
    </w:p>
    <w:p>
      <w:pPr>
        <w:pStyle w:val="Heading3"/>
      </w:pPr>
      <w:r>
        <w:t>3.1.3 研究范围与需求编号</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本小节明确纳入与排除的内容，同时解释需求编号。此前出现的FR、NFR等缩写容易造成阅读障碍，因此正文第一次出现时必须给出中文含义，后续表格同时保留编号和中文名称。</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请撰写“3.1.3 研究范围与需求编号”，说明FR表示功能需求、NFR表示非功能需求，并解释ART、REL、QRY、IMP、TKT、SEC等分类缩写。列明不建设微服务、Neo4j、Kafka、复杂审批和实车仿真，不修改历史销量。语言简洁清楚。</w:t>
      </w:r>
    </w:p>
    <w:p>
      <w:pPr>
        <w:ind w:firstLine="420"/>
        <w:jc w:val="both"/>
      </w:pPr>
      <w:r>
        <w:t>本章使用“类别缩写—顺序号”标识需求。FR表示功能需求（Functional Requirement），NFR表示非功能需求（Non-functional Requirement）；ART表示工件，REL表示关系，QRY表示查询，IMP表示影响分析，TKT表示工单，SEC表示安全，PERF表示性能。例如，FR-QRY-01表示第一项追溯查询功能需求，NFR-PERF-01表示第一项性能需求。编号仅用于建立章节间的对应关系，不代表需求优先级。</w:t>
      </w:r>
    </w:p>
    <w:p>
      <w:pPr>
        <w:pStyle w:val="Caption"/>
        <w:keepNext/>
        <w:jc w:val="center"/>
      </w:pPr>
      <w:r>
        <w:t>表3.1 需求编号分类说明</w:t>
      </w:r>
    </w:p>
    <w:tbl>
      <w:tblPr>
        <w:tblStyle w:val="TableGrid"/>
        <w:tblW w:type="dxa" w:w="9000"/>
        <w:jc w:val="center"/>
        <w:tblLayout w:type="fixed"/>
        <w:tblLook w:firstColumn="1" w:firstRow="1" w:lastColumn="0" w:lastRow="0" w:noHBand="0" w:noVBand="1" w:val="04A0"/>
        <w:tblInd w:w="120" w:type="dxa"/>
      </w:tblPr>
      <w:tblGrid>
        <w:gridCol w:w="1500"/>
        <w:gridCol w:w="2100"/>
        <w:gridCol w:w="5400"/>
      </w:tblGrid>
      <w:tr>
        <w:trPr>
          <w:tblHeader w:val="true"/>
        </w:trPr>
        <w:tc>
          <w:tcPr>
            <w:tcW w:type="dxa" w:w="15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编号前缀</w:t>
            </w:r>
          </w:p>
        </w:tc>
        <w:tc>
          <w:tcPr>
            <w:tcW w:type="dxa" w:w="21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中文含义</w:t>
            </w:r>
          </w:p>
        </w:tc>
        <w:tc>
          <w:tcPr>
            <w:tcW w:type="dxa" w:w="54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主要内容</w:t>
            </w:r>
          </w:p>
        </w:tc>
      </w:tr>
      <w:tr>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FR-ART</w:t>
            </w:r>
          </w:p>
        </w:tc>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工件功能需求</w:t>
            </w:r>
          </w:p>
        </w:tc>
        <w:tc>
          <w:tcPr>
            <w:tcW w:type="dxa" w:w="5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统一登记、业务引用和版本信息</w:t>
            </w:r>
          </w:p>
        </w:tc>
      </w:tr>
      <w:tr>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FR-REL</w:t>
            </w:r>
          </w:p>
        </w:tc>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关系功能需求</w:t>
            </w:r>
          </w:p>
        </w:tc>
        <w:tc>
          <w:tcPr>
            <w:tcW w:type="dxa" w:w="5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有向关系的建立、校验、修改和停用</w:t>
            </w:r>
          </w:p>
        </w:tc>
      </w:tr>
      <w:tr>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FR-QRY</w:t>
            </w:r>
          </w:p>
        </w:tc>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追溯查询需求</w:t>
            </w:r>
          </w:p>
        </w:tc>
        <w:tc>
          <w:tcPr>
            <w:tcW w:type="dxa" w:w="5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正向、反向和有限深度多跳查询</w:t>
            </w:r>
          </w:p>
        </w:tc>
      </w:tr>
      <w:tr>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FR-IMP</w:t>
            </w:r>
          </w:p>
        </w:tc>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影响分析需求</w:t>
            </w:r>
          </w:p>
        </w:tc>
        <w:tc>
          <w:tcPr>
            <w:tcW w:type="dxa" w:w="5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变更输入、候选结果、等级和解释路径</w:t>
            </w:r>
          </w:p>
        </w:tc>
      </w:tr>
      <w:tr>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FR-TKT</w:t>
            </w:r>
          </w:p>
        </w:tc>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工单协同需求</w:t>
            </w:r>
          </w:p>
        </w:tc>
        <w:tc>
          <w:tcPr>
            <w:tcW w:type="dxa" w:w="5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人工复核、确认创建和来源关联</w:t>
            </w:r>
          </w:p>
        </w:tc>
      </w:tr>
      <w:tr>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FR-SEC</w:t>
            </w:r>
          </w:p>
        </w:tc>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身份与权限需求</w:t>
            </w:r>
          </w:p>
        </w:tc>
        <w:tc>
          <w:tcPr>
            <w:tcW w:type="dxa" w:w="5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JWT身份、角色授权和操作留痕</w:t>
            </w:r>
          </w:p>
        </w:tc>
      </w:tr>
      <w:tr>
        <w:tc>
          <w:tcPr>
            <w:tcW w:type="dxa" w:w="1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NFR-*</w:t>
            </w:r>
          </w:p>
        </w:tc>
        <w:tc>
          <w:tcPr>
            <w:tcW w:type="dxa" w:w="2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非功能需求</w:t>
            </w:r>
          </w:p>
        </w:tc>
        <w:tc>
          <w:tcPr>
            <w:tcW w:type="dxa" w:w="54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性能、安全、可靠性、可维护性和易用性</w:t>
            </w:r>
          </w:p>
        </w:tc>
      </w:tr>
    </w:tbl>
    <w:p>
      <w:pPr>
        <w:ind w:firstLine="420"/>
        <w:jc w:val="both"/>
      </w:pPr>
      <w:r>
        <w:t>研究范围限于单代码库、单关系数据库中的模块化单体原型。系统不建设微服务集群、Neo4j图数据库、Kafka消息总线、复杂审批引擎、自动化模型训练平台或车辆动力学仿真环境。Vehicle Market中的历史销量记录属于既成事实，不参与变更写入；车型配置、ADAS标签和市场分析说明可以作为受影响对象被提示复核。</w:t>
      </w:r>
    </w:p>
    <w:p>
      <w:pPr>
        <w:pStyle w:val="FigurePlaceholder"/>
        <w:jc w:val="center"/>
      </w:pPr>
      <w:r>
        <w:t>【此处需要增加系统需求边界图，中心为新增追溯与影响分析模块，左侧连接ODS现有项目、市场、培训、指南和工单模块，外侧标注企业部署、实车试验、图数据库和复杂工作流为范围外内容】</w:t>
      </w:r>
    </w:p>
    <w:p>
      <w:pPr>
        <w:pStyle w:val="Caption"/>
        <w:jc w:val="center"/>
      </w:pPr>
      <w:r>
        <w:t>图3.1 系统需求范围与外部边界</w:t>
      </w:r>
    </w:p>
    <w:p>
      <w:pPr>
        <w:pStyle w:val="Heading2"/>
      </w:pPr>
      <w:r>
        <w:t>3.2 业务场景与参与者分析</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本节从业务对象和操作人员两个角度建立需求上下文。先说明哪些现有模块可以产生工件，再定义参与者，最后使用三类AEB变更展示跨域传播。该部分为功能需求和用例图提供来源。</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请撰写“3.2 业务场景与参与者分析”的引导段。说明项目、市场、培训、指南、工单均可能处于AEB变更链上，并将现有14个角色标识按职责聚合成少量用例参与者。不得把这些模块描述为无关功能。</w:t>
      </w:r>
    </w:p>
    <w:p>
      <w:pPr>
        <w:ind w:firstLine="420"/>
        <w:jc w:val="both"/>
      </w:pPr>
      <w:r>
        <w:t>ODS中的业务记录分布于多个模块。单个AEB参数或硬件配置的变化可能影响项目要求、车型说明、市场分析内容、培训材料、操作指南和待办工单。需求分析采用跨域场景而非单模块页面作为基本单位，并根据操作职责对现有角色进行聚合，以保持用例模型清晰。</w:t>
      </w:r>
    </w:p>
    <w:p>
      <w:pPr>
        <w:pStyle w:val="Heading3"/>
      </w:pPr>
      <w:r>
        <w:t>3.2.1 现有业务域与工件范围</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需要逐项说明现有模块为什么能进入追溯链，同时区分“引用现有记录”和“修改原业务数据”。工件范围应与真实数据库表和前端页面一致，不增加当前代码中不存在的大规模数据集、模型仓库或实车记录。</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请撰写“3.2.1 现有业务域与工件范围”，约600字。依据ODS现有Project、PMO、Vehicle Market、Academy、My Ticket、Video Guideline和Knowledge模块，说明其对象如何作为追溯工件。强调历史销量只读，追溯层保存引用，不替代原业务表。</w:t>
      </w:r>
    </w:p>
    <w:p>
      <w:pPr>
        <w:ind w:firstLine="420"/>
        <w:jc w:val="both"/>
      </w:pPr>
      <w:r>
        <w:t>项目与PMO域保存项目编号、产品、责任人、团队、里程碑、风险和Acquisition状态等信息，可用于表示AEB相关项目、车型任务和管理节点。Vehicle Market域保存按年月、整车企业和车型组织的销量记录及ADAS等级字段。追溯层可以引用车型和ADAS说明，但不得因技术变更改写历史销量。市场分析内容需要复核时，系统只记录受影响状态和对应路径。</w:t>
      </w:r>
    </w:p>
    <w:p>
      <w:pPr>
        <w:ind w:firstLine="420"/>
        <w:jc w:val="both"/>
      </w:pPr>
      <w:r>
        <w:t>Academy域包含培训课程、培训部门、讲师、协调员、材料位置和课程状态，可表示与AEB功能说明、维修培训或使用限制相关的知识工件。Video Guideline与Knowledge模块可表示操作指南、视频入口和层级知识节点。My Ticket域保存工单编号、摘要、状态、优先级、负责人和项目标识，可承接经人工确认的变更处理任务。上述对象共同构成跨域追溯范围。</w:t>
      </w:r>
    </w:p>
    <w:p>
      <w:pPr>
        <w:ind w:firstLine="420"/>
        <w:jc w:val="both"/>
      </w:pPr>
      <w:r>
        <w:t>新增追溯层不复制全部业务字段，而是保存工件类型、业务对象标识、显示名称、版本状态和来源模块。业务详情仍由原模块维护。该方式能够减少对现有表结构和服务逻辑的侵入，并使追溯关系在业务对象更新后仍能指向明确来源。</w:t>
      </w:r>
    </w:p>
    <w:p>
      <w:pPr>
        <w:pStyle w:val="Heading3"/>
      </w:pPr>
      <w:r>
        <w:t>3.2.2 参与者与职责</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本小节不直接把代码中的每个角色枚举都画成一个参与者，而是根据追溯活动聚合职责。表格应说明角色组、主要任务和权限边界，后续用例只引用这些角色组。</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请撰写“3.2.2 参与者与职责”。将ODS角色聚合为普通查询用户、项目与工程维护者、内容与培训维护者、影响复核与工单处理者、系统管理员五类。说明实际授权继续由Spring Security角色控制，角色聚合仅用于需求建模。</w:t>
      </w:r>
    </w:p>
    <w:p>
      <w:pPr>
        <w:ind w:firstLine="420"/>
        <w:jc w:val="both"/>
      </w:pPr>
      <w:r>
        <w:t>ODS代码中定义了ADMIN、TPJM、PCB、SCP、PJM、LPM、TRAINER、COORDINATOR和USER等多个角色标识。用例分析按照追溯任务将其聚合为五类参与者，实际接口授权仍使用Spring Security中的具体角色。角色聚合只减少用例图复杂度，不改变现有权限定义。</w:t>
      </w:r>
    </w:p>
    <w:p>
      <w:pPr>
        <w:pStyle w:val="Caption"/>
        <w:keepNext/>
        <w:jc w:val="center"/>
      </w:pPr>
      <w:r>
        <w:t>表3.2 需求分析中的参与者及职责</w:t>
      </w:r>
    </w:p>
    <w:tbl>
      <w:tblPr>
        <w:tblStyle w:val="TableGrid"/>
        <w:tblW w:type="dxa" w:w="9000"/>
        <w:jc w:val="center"/>
        <w:tblLayout w:type="fixed"/>
        <w:tblLook w:firstColumn="1" w:firstRow="1" w:lastColumn="0" w:lastRow="0" w:noHBand="0" w:noVBand="1" w:val="04A0"/>
        <w:tblInd w:w="120" w:type="dxa"/>
      </w:tblPr>
      <w:tblGrid>
        <w:gridCol w:w="1900"/>
        <w:gridCol w:w="3600"/>
        <w:gridCol w:w="3500"/>
      </w:tblGrid>
      <w:tr>
        <w:trPr>
          <w:tblHeader w:val="true"/>
        </w:trPr>
        <w:tc>
          <w:tcPr>
            <w:tcW w:type="dxa" w:w="19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参与者</w:t>
            </w:r>
          </w:p>
        </w:tc>
        <w:tc>
          <w:tcPr>
            <w:tcW w:type="dxa" w:w="36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对应职责</w:t>
            </w:r>
          </w:p>
        </w:tc>
        <w:tc>
          <w:tcPr>
            <w:tcW w:type="dxa" w:w="35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主要权限边界</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普通查询用户</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查看有权访问的工件、关系和追溯路径</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不得修改关系、影响结论或他人工单</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项目与工程维护者</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登记项目或技术工件，维护关系，发起变更分析</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只能维护职责范围内的业务对象和关系</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内容与培训维护者</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复核课程、知识节点、指南及说明材料</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不能修改项目主数据和历史销量</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影响复核与工单处理者</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检查候选影响、确认或排除结果、处理工单</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工单必须由人工确认后创建</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系统管理员</w:t>
            </w:r>
          </w:p>
        </w:tc>
        <w:tc>
          <w:tcPr>
            <w:tcW w:type="dxa" w:w="3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维护工件类型、关系类型和角色授权</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不替代业务负责人作出影响结论</w:t>
            </w:r>
          </w:p>
        </w:tc>
      </w:tr>
    </w:tbl>
    <w:p>
      <w:pPr>
        <w:pStyle w:val="Heading3"/>
      </w:pPr>
      <w:r>
        <w:t>3.2.3 AEB构造变更场景</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本小节用三个规模较小但方向不同的案例覆盖参数、硬件和安全目标变化。每个案例要写清变更起点、候选影响对象和人工预期答案的形成方式，不评价真实制动算法性能。</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请撰写“3.2.3 AEB构造变更场景”。包含TTC阈值2.0 s变为2.5 s、前向雷达配置变化、安全制动距离目标提高三类案例。说明它们仅用于验证追溯和影响分析，不代表真实车辆标定，不提供虚构事故或制动性能数据。引用公开AEB法规和研究。</w:t>
      </w:r>
    </w:p>
    <w:p>
      <w:pPr>
        <w:ind w:firstLine="420"/>
        <w:jc w:val="both"/>
      </w:pPr>
      <w:r>
        <w:t>UN R152对M1和N1类车辆的先进紧急制动系统规定了型式批准相关要求[5]。已有研究分别从碰撞预警、制动辅助、自动制动和真实追尾事故数据角度分析了AEB的潜在安全作用[8][9]。本研究据此选择AEB作为跨域追溯示例，但不复现车辆控制实验。构造案例中的参数值、关系和预期影响集合只用于检验软件系统能否找到相关工件并给出解释路径。</w:t>
      </w:r>
    </w:p>
    <w:p>
      <w:pPr>
        <w:pStyle w:val="Caption"/>
        <w:keepNext/>
        <w:jc w:val="center"/>
      </w:pPr>
      <w:r>
        <w:t>表3.3 AEB构造变更场景及预期影响范围</w:t>
      </w:r>
    </w:p>
    <w:tbl>
      <w:tblPr>
        <w:tblStyle w:val="TableGrid"/>
        <w:tblW w:type="dxa" w:w="9000"/>
        <w:jc w:val="center"/>
        <w:tblLayout w:type="fixed"/>
        <w:tblLook w:firstColumn="1" w:firstRow="1" w:lastColumn="0" w:lastRow="0" w:noHBand="0" w:noVBand="1" w:val="04A0"/>
        <w:tblInd w:w="120" w:type="dxa"/>
      </w:tblPr>
      <w:tblGrid>
        <w:gridCol w:w="1250"/>
        <w:gridCol w:w="2250"/>
        <w:gridCol w:w="3300"/>
        <w:gridCol w:w="2200"/>
      </w:tblGrid>
      <w:tr>
        <w:trPr>
          <w:tblHeader w:val="true"/>
        </w:trPr>
        <w:tc>
          <w:tcPr>
            <w:tcW w:type="dxa" w:w="12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场景</w:t>
            </w:r>
          </w:p>
        </w:tc>
        <w:tc>
          <w:tcPr>
            <w:tcW w:type="dxa" w:w="225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变更输入</w:t>
            </w:r>
          </w:p>
        </w:tc>
        <w:tc>
          <w:tcPr>
            <w:tcW w:type="dxa" w:w="33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预期重点影响</w:t>
            </w:r>
          </w:p>
        </w:tc>
        <w:tc>
          <w:tcPr>
            <w:tcW w:type="dxa" w:w="22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验证重点</w:t>
            </w:r>
          </w:p>
        </w:tc>
      </w:tr>
      <w:tr>
        <w:tc>
          <w:tcPr>
            <w:tcW w:type="dxa" w:w="1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S1 参数变化</w:t>
            </w:r>
          </w:p>
        </w:tc>
        <w:tc>
          <w:tcPr>
            <w:tcW w:type="dxa" w:w="2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TTC阈值由2.0 s调整为2.5 s</w:t>
            </w:r>
          </w:p>
        </w:tc>
        <w:tc>
          <w:tcPr>
            <w:tcW w:type="dxa" w:w="33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功能需求、算法参数、测试预期、车型ADAS说明、培训材料</w:t>
            </w:r>
          </w:p>
        </w:tc>
        <w:tc>
          <w:tcPr>
            <w:tcW w:type="dxa" w:w="2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检查从参数向下游工件的正向多跳追溯</w:t>
            </w:r>
          </w:p>
        </w:tc>
      </w:tr>
      <w:tr>
        <w:tc>
          <w:tcPr>
            <w:tcW w:type="dxa" w:w="1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S2 硬件变化</w:t>
            </w:r>
          </w:p>
        </w:tc>
        <w:tc>
          <w:tcPr>
            <w:tcW w:type="dxa" w:w="2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更换前向雷达或修改探测距离、视场角、延迟</w:t>
            </w:r>
          </w:p>
        </w:tc>
        <w:tc>
          <w:tcPr>
            <w:tcW w:type="dxa" w:w="33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硬件配置、传感器接口、算法配置、车型配置、验证场景和指南</w:t>
            </w:r>
          </w:p>
        </w:tc>
        <w:tc>
          <w:tcPr>
            <w:tcW w:type="dxa" w:w="2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检查硬件变化向算法与业务说明的传播</w:t>
            </w:r>
          </w:p>
        </w:tc>
      </w:tr>
      <w:tr>
        <w:tc>
          <w:tcPr>
            <w:tcW w:type="dxa" w:w="1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S3 目标变化</w:t>
            </w:r>
          </w:p>
        </w:tc>
        <w:tc>
          <w:tcPr>
            <w:tcW w:type="dxa" w:w="225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提高安全制动距离目标</w:t>
            </w:r>
          </w:p>
        </w:tc>
        <w:tc>
          <w:tcPr>
            <w:tcW w:type="dxa" w:w="33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安全目标、功能需求、制动策略、传感器能力、测试用例和说明材料</w:t>
            </w:r>
          </w:p>
        </w:tc>
        <w:tc>
          <w:tcPr>
            <w:tcW w:type="dxa" w:w="22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先反向查找支撑工件，再正向识别待复核对象</w:t>
            </w:r>
          </w:p>
        </w:tc>
      </w:tr>
    </w:tbl>
    <w:p>
      <w:pPr>
        <w:pStyle w:val="Heading3"/>
      </w:pPr>
      <w:r>
        <w:t>3.2.4 核心业务流程</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本小节描述端到端流程，用于约束后续页面与接口。重点强调影响分析先展示结果、用户再确认工单；系统不得根据评分直接修改业务记录或自动分派任务。建议以泳道图占位。</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请撰写“3.2.4 核心业务流程”，按工件登记、关系维护、变更发起、追溯查询、影响计算、人工复核、确认创建工单和结果留存的顺序展开。明确历史销量不修改、影响评分不自动触发业务变更。</w:t>
      </w:r>
    </w:p>
    <w:p>
      <w:pPr>
        <w:ind w:firstLine="420"/>
        <w:jc w:val="both"/>
      </w:pPr>
      <w:r>
        <w:t>核心流程由工件准备、变更分析和协同处理三个阶段构成。工件准备阶段引用ODS现有业务记录并维护工件之间的有向关系；变更分析阶段由有权限的用户选择源工件、填写变更类型和说明，系统执行限定范围的追溯查询，生成候选影响对象、等级和传播路径；协同处理阶段由用户逐项复核结果，确认需要处理的对象后创建工单，并在工单中保留源变更和影响路径标识。</w:t>
      </w:r>
    </w:p>
    <w:p>
      <w:pPr>
        <w:ind w:firstLine="420"/>
        <w:jc w:val="both"/>
      </w:pPr>
      <w:r>
        <w:t>系统分析结果不得直接覆盖车型、课程、指南或项目记录，也不得修改历史销量。被排除的候选项应记录复核结论，便于后续解释同类变更。未确认的分析结果可以保存为草稿，但不能产生工单。该流程将算法提示与人工决策分离，使Demo能够在规则不完备的情况下保持操作可控。</w:t>
      </w:r>
    </w:p>
    <w:p>
      <w:pPr>
        <w:pStyle w:val="FigurePlaceholder"/>
        <w:jc w:val="center"/>
      </w:pPr>
      <w:r>
        <w:t>【此处需要增加AEB变更影响分析泳道图，泳道包括变更发起人、追溯与影响分析模块、工件负责人和工单模块，流程必须显示“展示候选结果→人工复核→确认后创建工单”】</w:t>
      </w:r>
    </w:p>
    <w:p>
      <w:pPr>
        <w:pStyle w:val="Caption"/>
        <w:jc w:val="center"/>
      </w:pPr>
      <w:r>
        <w:t>图3.2 AEB变更分析与人工确认工单流程</w:t>
      </w:r>
    </w:p>
    <w:p>
      <w:pPr>
        <w:pStyle w:val="Heading2"/>
      </w:pPr>
      <w:r>
        <w:t>3.3 功能性需求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本节将业务场景分解为可实现、可测试的功能需求。每一类需求采用唯一编号，并明确输入、处理和输出。正文避免出现具体表名或类名，将实现选择留到第四、五章。</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请撰写“3.3 功能性需求”的引导段，说明功能需求分为工件、关系、查询、影响、工单和权限六类，并要求每项需求在后续设计与测试中建立映射。不要提前写实现细节。</w:t>
      </w:r>
    </w:p>
    <w:p>
      <w:pPr>
        <w:ind w:firstLine="420"/>
        <w:jc w:val="both"/>
      </w:pPr>
      <w:r>
        <w:t>功能需求按照工件管理、关系管理、追溯查询、影响分析、工单协同和身份权限六类组织。每项需求描述系统必须提供的外部行为及可观察结果。第四章应给出满足需求的设计对象，第五章应说明实际实现状态，第六章应通过测试用例或AEB案例记录验证结果。</w:t>
      </w:r>
    </w:p>
    <w:p>
      <w:pPr>
        <w:pStyle w:val="Heading3"/>
      </w:pPr>
      <w:r>
        <w:t>3.3.1 工件登记与版本需求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本小节定义追溯节点的最小信息和生命周期。统一工件只保存跨域识别所需信息，不复制原业务对象全部字段。版本需求保持轻量，避免引入复杂配置基线工具。</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请撰写“3.3.1 工件登记与版本需求”。用FR-ART-01至FR-ART-04描述业务引用、唯一性、版本状态和详情跳转。说明历史业务对象继续由原模块维护，追溯层不得静默复制或覆盖数据。</w:t>
      </w:r>
    </w:p>
    <w:p>
      <w:pPr>
        <w:ind w:firstLine="420"/>
        <w:jc w:val="both"/>
      </w:pPr>
      <w:r>
        <w:t>FR-ART-01（工件引用登记）：系统应允许有权限的用户将ODS现有业务对象登记为追溯工件。登记信息至少包括工件类型、来源模块、业务对象标识、名称、版本标识、状态和责任人。系统应保存业务引用而非复制对象的全部字段。</w:t>
      </w:r>
    </w:p>
    <w:p>
      <w:pPr>
        <w:ind w:firstLine="420"/>
        <w:jc w:val="both"/>
      </w:pPr>
      <w:r>
        <w:t>FR-ART-02（唯一性校验）：同一来源模块、业务对象标识和版本的组合应保持唯一。重复登记时，系统应返回明确提示，不得产生多个不可区分的节点。FR-ART-03（版本状态）：系统应区分当前版本和历史版本，并允许查看同一业务对象的版本序列。历史版本不得被后续修改覆盖。</w:t>
      </w:r>
    </w:p>
    <w:p>
      <w:pPr>
        <w:ind w:firstLine="420"/>
        <w:jc w:val="both"/>
      </w:pPr>
      <w:r>
        <w:t>FR-ART-04（来源访问）：工件详情应显示来源模块和业务对象标识；当原模块存在详情页面时，系统应提供受权限控制的跳转入口。来源对象不存在或用户无权访问时，追溯结果仍可显示最小标识，但不得泄露受限字段。</w:t>
      </w:r>
    </w:p>
    <w:p>
      <w:pPr>
        <w:pStyle w:val="Heading3"/>
      </w:pPr>
      <w:r>
        <w:t>3.3.2 追溯关系管理需求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本小节定义有向关系的最小属性和校验规则。关系类型必须能用自然语言解释，方向要固定，重复边和自连接要有处理规则。复杂自动关系抽取不属于本论文范围。</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请撰写“3.3.2 追溯关系管理需求”。用FR-REL-01至FR-REL-04描述有向关系创建、关系类型、重复与自连接校验、停用和来源说明。关系由用户或构造数据显式建立，不声称实现机器学习自动抽取。</w:t>
      </w:r>
    </w:p>
    <w:p>
      <w:pPr>
        <w:ind w:firstLine="420"/>
        <w:jc w:val="both"/>
      </w:pPr>
      <w:r>
        <w:t>FR-REL-01（关系建立）：系统应允许有权限的用户在两个有效工件之间建立有向关系。关系至少包含源工件、目标工件、关系类型、建立依据、创建人和时间。关系方向应保持固定语义，例如“需求约束算法参数”与“算法参数由需求约束”不能混用。</w:t>
      </w:r>
    </w:p>
    <w:p>
      <w:pPr>
        <w:ind w:firstLine="420"/>
        <w:jc w:val="both"/>
      </w:pPr>
      <w:r>
        <w:t>FR-REL-02（关系类型）：系统应提供有限且可解释的关系类型，包括分解、实现、验证、依赖、说明和触发任务等类型。新增关系类型应由管理员维护，并包含中文名称和方向说明。FR-REL-03（关系校验）：系统应拒绝完全重复的关系；对于源工件与目标工件相同的自连接，应默认拒绝并返回校验信息。</w:t>
      </w:r>
    </w:p>
    <w:p>
      <w:pPr>
        <w:ind w:firstLine="420"/>
        <w:jc w:val="both"/>
      </w:pPr>
      <w:r>
        <w:t>FR-REL-04（关系停用）：已参与分析报告的关系不直接物理删除。系统应支持将关系标记为停用，并保留停用原因和时间。关系来源采用人工录入或可重复生成的构造数据，不要求实现自然语言处理或机器学习自动抽取。</w:t>
      </w:r>
    </w:p>
    <w:p>
      <w:pPr>
        <w:pStyle w:val="Heading3"/>
      </w:pPr>
      <w:r>
        <w:t>3.3.3 追溯查询需求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本小节是系统核心功能之一。需求应明确查询方向、深度限制、循环处理、结果结构和筛选条件，使后续图遍历设计和测试能够直接对应。</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请撰写“3.3.3 追溯查询需求”。用FR-QRY-01至FR-QRY-05描述正向、反向、多跳、深度与节点上限、循环终止、按工件或关系类型筛选，以及结果中的节点、边和完整路径。不要限定使用Neo4j。</w:t>
      </w:r>
    </w:p>
    <w:p>
      <w:pPr>
        <w:ind w:firstLine="420"/>
        <w:jc w:val="both"/>
      </w:pPr>
      <w:r>
        <w:t>FR-QRY-01（查询方向）：系统应支持从指定工件出发的正向追溯和反向追溯。正向查询用于查找下游实现、验证和说明对象，反向查询用于查找上游来源、约束和支撑对象。FR-QRY-02（多跳查询）：用户应能够设置最大查询深度，系统默认深度不超过3层，并允许在规定上限内调整。</w:t>
      </w:r>
    </w:p>
    <w:p>
      <w:pPr>
        <w:ind w:firstLine="420"/>
        <w:jc w:val="both"/>
      </w:pPr>
      <w:r>
        <w:t>FR-QRY-03（范围限制）：查询应同时受最大深度和最大访问节点数限制。达到任一上限时，系统应停止扩展并标记结果可能被截断。FR-QRY-04（循环处理）：当关系图存在环时，系统不得重复无限访问同一节点，查询应正常结束并保留已发现的有效路径。</w:t>
      </w:r>
    </w:p>
    <w:p>
      <w:pPr>
        <w:ind w:firstLine="420"/>
        <w:jc w:val="both"/>
      </w:pPr>
      <w:r>
        <w:t>FR-QRY-05（结果表达）：查询结果应包含源工件、目标工件、经过的关系序列、路径长度和方向，并支持按工件类型或关系类型筛选。结果为空时，系统应区分“不存在关联”和“因权限或范围限制不可见”，但不得泄露无权访问对象的内容。</w:t>
      </w:r>
    </w:p>
    <w:p>
      <w:pPr>
        <w:pStyle w:val="Heading3"/>
      </w:pPr>
      <w:r>
        <w:t>3.3.4 变更影响分析需求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本小节将追溯路径转换为影响候选。必须说明输入、评分用途、结果解释和边界。影响等级是排序工具，不得写成安全风险概率或自动决策。</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请撰写“3.3.4 变更影响分析需求”。用FR-IMP-01至FR-IMP-05描述变更输入、候选生成、评分排序、等级划分、解释路径和报告保存。评分可考虑关系类型、变更类型和路径长度，但不在需求章给出公式。</w:t>
      </w:r>
    </w:p>
    <w:p>
      <w:pPr>
        <w:ind w:firstLine="420"/>
        <w:jc w:val="both"/>
      </w:pPr>
      <w:r>
        <w:t>FR-IMP-01（变更输入）：用户应选择一个有效工件作为变更源，并填写变更类型、变更前内容、变更后内容和说明。TTC阈值、硬件配置和安全制动距离目标分别作为参数、硬件和目标类变更输入。系统应校验必填项，但不判断车辆标定值是否适用于真实车型。</w:t>
      </w:r>
    </w:p>
    <w:p>
      <w:pPr>
        <w:ind w:firstLine="420"/>
        <w:jc w:val="both"/>
      </w:pPr>
      <w:r>
        <w:t>FR-IMP-02（候选生成）：系统应在用户指定的方向和深度范围内，根据可见追溯关系生成候选受影响工件。FR-IMP-03（排序与分级）：系统应结合关系类型、变更类型和路径长度对候选项进行排序，并给出高、中、低等离散等级。分值和等级仅表示复核优先顺序。</w:t>
      </w:r>
    </w:p>
    <w:p>
      <w:pPr>
        <w:ind w:firstLine="420"/>
        <w:jc w:val="both"/>
      </w:pPr>
      <w:r>
        <w:t>FR-IMP-04（路径解释）：每个候选项应显示从变更源到目标工件的至少一条完整路径，并说明参与评分的关系和路径长度。FR-IMP-05（分析报告）：系统应保存分析输入、参数范围、候选结果、生成时间和发起人。报告应区分系统初始结果与用户复核后的结论。</w:t>
      </w:r>
    </w:p>
    <w:p>
      <w:pPr>
        <w:pStyle w:val="Heading3"/>
      </w:pPr>
      <w:r>
        <w:t>3.3.5 人工复核与工单协同需求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本小节定义影响分析与My Ticket模块的衔接方式。核心约束是系统先展示、用户后确认；工单创建必须记录来源，且不能修改已有历史业务数据。</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请撰写“3.3.5 人工复核与工单协同需求”。用FR-TKT-01至FR-TKT-04描述确认、排除、补充说明、批量或单项创建工单、工单来源关联和重复创建提示。明确禁止自动分派。</w:t>
      </w:r>
    </w:p>
    <w:p>
      <w:pPr>
        <w:ind w:firstLine="420"/>
        <w:jc w:val="both"/>
      </w:pPr>
      <w:r>
        <w:t>FR-TKT-01（结果复核）：用户应能够将候选项标记为确认影响、排除影响或待进一步确认，并填写复核说明。系统不得仅依据影响分值自动确定最终结论。FR-TKT-02（创建确认）：只有具备权限的用户执行明确确认操作后，系统才能为选定对象创建工单。</w:t>
      </w:r>
    </w:p>
    <w:p>
      <w:pPr>
        <w:ind w:firstLine="420"/>
        <w:jc w:val="both"/>
      </w:pPr>
      <w:r>
        <w:t>FR-TKT-03（来源关联）：新工单应记录分析报告、源变更和目标工件的引用，并生成可读摘要。工单状态、优先级和负责人继续遵守My Ticket模块的业务规则。FR-TKT-04（重复提示）：同一分析报告和目标工件已经存在未关闭工单时，系统应提示重复风险，由用户决定取消创建或继续处理。</w:t>
      </w:r>
    </w:p>
    <w:p>
      <w:pPr>
        <w:pStyle w:val="Heading3"/>
      </w:pPr>
      <w:r>
        <w:t>3.3.6 身份、权限与操作留痕需求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本小节复用现有JWT与RBAC，不重新设计完整身份平台。新增功能需要说明读写权限和最小留痕信息，审计目标限定为Demo内可核对的记录。</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请撰写“3.3.6 身份、权限与操作留痕需求”。用FR-SEC-01至FR-SEC-04描述JWT认证、角色授权、业务对象可见性、关系与分析操作留痕。不要声称已实现SSO、细粒度ABAC或企业审计平台。</w:t>
      </w:r>
    </w:p>
    <w:p>
      <w:pPr>
        <w:ind w:firstLine="420"/>
        <w:jc w:val="both"/>
      </w:pPr>
      <w:r>
        <w:t>FR-SEC-01（身份认证）：除登录和健康检查等公开接口外，追溯与影响分析接口应要求有效JWT。令牌失效、用户停用或认证信息不完整时，系统应拒绝访问。FR-SEC-02（角色授权）：工件和关系的写操作、影响分析发起、结果复核及工单创建应按角色授权，普通用户默认只读。</w:t>
      </w:r>
    </w:p>
    <w:p>
      <w:pPr>
        <w:ind w:firstLine="420"/>
        <w:jc w:val="both"/>
      </w:pPr>
      <w:r>
        <w:t>FR-SEC-03（业务可见性）：追溯结果不得绕过原业务模块的访问边界。用户无权访问目标对象时，系统只能返回必要的受限提示。FR-SEC-04（操作留痕）：工件登记、关系变更、影响分析和复核决定应记录操作者、时间、对象标识和操作类型，以支持第六章核对流程结果。该要求不扩展为企业级安全信息与事件管理。</w:t>
      </w:r>
    </w:p>
    <w:p>
      <w:pPr>
        <w:pStyle w:val="Caption"/>
        <w:keepNext/>
        <w:jc w:val="center"/>
      </w:pPr>
      <w:r>
        <w:t>表3.4 功能需求汇总及后续验证方式</w:t>
      </w:r>
    </w:p>
    <w:tbl>
      <w:tblPr>
        <w:tblStyle w:val="TableGrid"/>
        <w:tblW w:type="dxa" w:w="9000"/>
        <w:jc w:val="center"/>
        <w:tblLayout w:type="fixed"/>
        <w:tblLook w:firstColumn="1" w:firstRow="1" w:lastColumn="0" w:lastRow="0" w:noHBand="0" w:noVBand="1" w:val="04A0"/>
        <w:tblInd w:w="120" w:type="dxa"/>
      </w:tblPr>
      <w:tblGrid>
        <w:gridCol w:w="1600"/>
        <w:gridCol w:w="3900"/>
        <w:gridCol w:w="3500"/>
      </w:tblGrid>
      <w:tr>
        <w:trPr>
          <w:tblHeader w:val="true"/>
        </w:trPr>
        <w:tc>
          <w:tcPr>
            <w:tcW w:type="dxa" w:w="16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需求组</w:t>
            </w:r>
          </w:p>
        </w:tc>
        <w:tc>
          <w:tcPr>
            <w:tcW w:type="dxa" w:w="39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核心输出</w:t>
            </w:r>
          </w:p>
        </w:tc>
        <w:tc>
          <w:tcPr>
            <w:tcW w:type="dxa" w:w="35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主要验证方式</w:t>
            </w:r>
          </w:p>
        </w:tc>
      </w:tr>
      <w:tr>
        <w:tc>
          <w:tcPr>
            <w:tcW w:type="dxa" w:w="1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FR-ART</w:t>
            </w:r>
          </w:p>
        </w:tc>
        <w:tc>
          <w:tcPr>
            <w:tcW w:type="dxa" w:w="3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可识别且可回到来源的工件记录</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登记、重复校验和版本查看测试</w:t>
            </w:r>
          </w:p>
        </w:tc>
      </w:tr>
      <w:tr>
        <w:tc>
          <w:tcPr>
            <w:tcW w:type="dxa" w:w="1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FR-REL</w:t>
            </w:r>
          </w:p>
        </w:tc>
        <w:tc>
          <w:tcPr>
            <w:tcW w:type="dxa" w:w="3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方向明确、可停用的关系</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关系增改、重复边和自连接测试</w:t>
            </w:r>
          </w:p>
        </w:tc>
      </w:tr>
      <w:tr>
        <w:tc>
          <w:tcPr>
            <w:tcW w:type="dxa" w:w="1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FR-QRY</w:t>
            </w:r>
          </w:p>
        </w:tc>
        <w:tc>
          <w:tcPr>
            <w:tcW w:type="dxa" w:w="3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正反向多跳路径</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链式、分支、环和范围截断数据测试</w:t>
            </w:r>
          </w:p>
        </w:tc>
      </w:tr>
      <w:tr>
        <w:tc>
          <w:tcPr>
            <w:tcW w:type="dxa" w:w="1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FR-IMP</w:t>
            </w:r>
          </w:p>
        </w:tc>
        <w:tc>
          <w:tcPr>
            <w:tcW w:type="dxa" w:w="3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候选对象、等级和解释路径</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三个AEB答案集对照</w:t>
            </w:r>
          </w:p>
        </w:tc>
      </w:tr>
      <w:tr>
        <w:tc>
          <w:tcPr>
            <w:tcW w:type="dxa" w:w="1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FR-TKT</w:t>
            </w:r>
          </w:p>
        </w:tc>
        <w:tc>
          <w:tcPr>
            <w:tcW w:type="dxa" w:w="3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人工确认后生成的关联工单</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确认、取消和重复提示流程测试</w:t>
            </w:r>
          </w:p>
        </w:tc>
      </w:tr>
      <w:tr>
        <w:tc>
          <w:tcPr>
            <w:tcW w:type="dxa" w:w="16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FR-SEC</w:t>
            </w:r>
          </w:p>
        </w:tc>
        <w:tc>
          <w:tcPr>
            <w:tcW w:type="dxa" w:w="3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认证、授权和最小操作记录</w:t>
            </w:r>
          </w:p>
        </w:tc>
        <w:tc>
          <w:tcPr>
            <w:tcW w:type="dxa" w:w="3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匿名访问、越权访问和留痕检查</w:t>
            </w:r>
          </w:p>
        </w:tc>
      </w:tr>
    </w:tbl>
    <w:p>
      <w:pPr>
        <w:pStyle w:val="FigurePlaceholder"/>
        <w:jc w:val="center"/>
      </w:pPr>
      <w:r>
        <w:t>【此处需要增加系统功能结构图，一级功能包括工件管理、关系管理、追溯查询、影响分析、人工复核与工单、身份权限六部分，二级功能使用表3.4中的需求组展开】</w:t>
      </w:r>
    </w:p>
    <w:p>
      <w:pPr>
        <w:pStyle w:val="Caption"/>
        <w:jc w:val="center"/>
      </w:pPr>
      <w:r>
        <w:t>图3.3 系统功能结构</w:t>
      </w:r>
    </w:p>
    <w:p>
      <w:pPr>
        <w:pStyle w:val="Heading2"/>
      </w:pPr>
      <w:r>
        <w:t>3.4 核心用例分析</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本节把功能需求组织为参与者与系统之间的操作过程。用例应给出参与者、前置条件、主流程、异常流程和后置条件。用例数量控制在能够支撑核心研究问题的范围内。</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请撰写“3.4 核心用例分析”的引导段。说明用例模型覆盖关系维护、追溯查询、影响分析和确认创建工单，参与者来自表3.2。用例与FR需求编号建立对应。</w:t>
      </w:r>
    </w:p>
    <w:p>
      <w:pPr>
        <w:ind w:firstLine="420"/>
        <w:jc w:val="both"/>
      </w:pPr>
      <w:r>
        <w:t>核心用例围绕“建立可追溯关系”和“处理一次变更”展开。普通查询用户参与追溯查询；项目与工程维护者维护工件关系并发起分析；内容维护者复核课程、指南和说明材料；工单处理者确认任务；管理员维护类型和授权。用例图中的每个核心交互均由功能需求提供约束。</w:t>
      </w:r>
    </w:p>
    <w:p>
      <w:pPr>
        <w:pStyle w:val="FigurePlaceholder"/>
        <w:jc w:val="center"/>
      </w:pPr>
      <w:r>
        <w:t>【此处需要增加UML系统用例图，参与者包括普通查询用户、项目与工程维护者、内容与培训维护者、影响复核与工单处理者、系统管理员；核心用例包括登记工件、维护关系、正反向追溯、发起影响分析、复核结果、确认创建工单和查看操作记录】</w:t>
      </w:r>
    </w:p>
    <w:p>
      <w:pPr>
        <w:pStyle w:val="Caption"/>
        <w:jc w:val="center"/>
      </w:pPr>
      <w:r>
        <w:t>图3.4 系统核心用例图</w:t>
      </w:r>
    </w:p>
    <w:p>
      <w:pPr>
        <w:pStyle w:val="Heading3"/>
      </w:pPr>
      <w:r>
        <w:t>3.4.1 UC-01 维护追溯关系</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本用例验证统一追溯层能否连接现有模块。异常流程需覆盖源对象不存在、无权限、重复关系和自连接，后置条件应保留关系来源信息。</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请撰写用例UC-01“维护追溯关系”，以表格给出参与者、前置条件、触发条件、主流程、异常流程、后置条件和对应需求。对应FR-ART与FR-REL，不写数据库实现。</w:t>
      </w:r>
    </w:p>
    <w:p>
      <w:pPr>
        <w:pStyle w:val="Caption"/>
        <w:keepNext/>
        <w:jc w:val="center"/>
      </w:pPr>
      <w:r>
        <w:t>表3.5 UC-01维护追溯关系用例描述</w:t>
      </w:r>
    </w:p>
    <w:tbl>
      <w:tblPr>
        <w:tblStyle w:val="TableGrid"/>
        <w:tblW w:type="dxa" w:w="9000"/>
        <w:jc w:val="center"/>
        <w:tblLayout w:type="fixed"/>
        <w:tblLook w:firstColumn="1" w:firstRow="1" w:lastColumn="0" w:lastRow="0" w:noHBand="0" w:noVBand="1" w:val="04A0"/>
        <w:tblInd w:w="120" w:type="dxa"/>
      </w:tblPr>
      <w:tblGrid>
        <w:gridCol w:w="1900"/>
        <w:gridCol w:w="7100"/>
      </w:tblGrid>
      <w:tr>
        <w:trPr>
          <w:tblHeader w:val="true"/>
        </w:trPr>
        <w:tc>
          <w:tcPr>
            <w:tcW w:type="dxa" w:w="19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项目</w:t>
            </w:r>
          </w:p>
        </w:tc>
        <w:tc>
          <w:tcPr>
            <w:tcW w:type="dxa" w:w="71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内容</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参与者</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项目与工程维护者、内容与培训维护者、系统管理员</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前置条件</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用户已登录；源工件和目标工件可见且有效；用户具有关系维护权限</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触发条件</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用户需要表达两个业务对象之间的依赖、实现、验证或说明关系</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主流程</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选择源工件和目标工件；选择关系类型；填写建立依据；系统校验方向和唯一性；保存关系；返回关系详情</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异常流程</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对象不存在或无权访问时拒绝操作；关系重复或形成自连接时返回校验信息</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后置条件</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关系可用于后续查询；操作者、时间和建立依据得到保留</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对应需求</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FR-ART-01至FR-ART-04，FR-REL-01至FR-REL-04</w:t>
            </w:r>
          </w:p>
        </w:tc>
      </w:tr>
    </w:tbl>
    <w:p>
      <w:pPr>
        <w:pStyle w:val="Heading3"/>
      </w:pPr>
      <w:r>
        <w:t>3.4.2 UC-02 执行追溯查询</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本用例是查询算法的外部行为定义。需要覆盖方向、最大深度、筛选、无结果、环和结果截断，后续第六章可直接据此生成测试数据。</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请撰写用例UC-02“执行追溯查询”，给出参与者、前置条件、主流程、异常或替代流程、后置条件和对应需求。查询结果必须包含完整路径，并受深度和节点上限约束。</w:t>
      </w:r>
    </w:p>
    <w:p>
      <w:pPr>
        <w:pStyle w:val="Caption"/>
        <w:keepNext/>
        <w:jc w:val="center"/>
      </w:pPr>
      <w:r>
        <w:t>表3.6 UC-02执行追溯查询用例描述</w:t>
      </w:r>
    </w:p>
    <w:tbl>
      <w:tblPr>
        <w:tblStyle w:val="TableGrid"/>
        <w:tblW w:type="dxa" w:w="9000"/>
        <w:jc w:val="center"/>
        <w:tblLayout w:type="fixed"/>
        <w:tblLook w:firstColumn="1" w:firstRow="1" w:lastColumn="0" w:lastRow="0" w:noHBand="0" w:noVBand="1" w:val="04A0"/>
        <w:tblInd w:w="120" w:type="dxa"/>
      </w:tblPr>
      <w:tblGrid>
        <w:gridCol w:w="1900"/>
        <w:gridCol w:w="7100"/>
      </w:tblGrid>
      <w:tr>
        <w:trPr>
          <w:tblHeader w:val="true"/>
        </w:trPr>
        <w:tc>
          <w:tcPr>
            <w:tcW w:type="dxa" w:w="19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项目</w:t>
            </w:r>
          </w:p>
        </w:tc>
        <w:tc>
          <w:tcPr>
            <w:tcW w:type="dxa" w:w="71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内容</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参与者</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所有已认证且具有目标工件读取权限的用户</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前置条件</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目标工件已登记；用户已登录；查询参数位于允许范围</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触发条件</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用户需要查看目标工件的上游来源或下游影响对象</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主流程</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选择目标工件；选择正向或反向；设置最大深度和筛选条件；系统遍历可见关系；返回节点、关系和路径；用户查看目标详情</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替代流程</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不存在关系时返回空结果说明；达到上限时标记结果被截断；存在环时跳过重复扩展并正常返回</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后置条件</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业务数据不发生变化；系统可记录查询参数和耗时</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对应需求</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FR-QRY-01至FR-QRY-05，FR-SEC-01至FR-SEC-03</w:t>
            </w:r>
          </w:p>
        </w:tc>
      </w:tr>
    </w:tbl>
    <w:p>
      <w:pPr>
        <w:pStyle w:val="Heading3"/>
      </w:pPr>
      <w:r>
        <w:t>3.4.3 UC-03 分析变更并确认工单</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本用例覆盖论文的核心闭环。主流程必须分为系统生成候选和人工确认两个阶段，异常流程覆盖无关系、分析被截断、重复工单和用户取消。</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请撰写用例UC-03“分析变更并确认工单”。输入可为TTC、雷达配置或安全制动距离变化。系统先返回候选、等级和路径，用户复核后才创建工单。包含前置条件、主流程、替代流程、后置条件和对应需求。</w:t>
      </w:r>
    </w:p>
    <w:p>
      <w:pPr>
        <w:pStyle w:val="Caption"/>
        <w:keepNext/>
        <w:jc w:val="center"/>
      </w:pPr>
      <w:r>
        <w:t>表3.7 UC-03分析变更并确认工单用例描述</w:t>
      </w:r>
    </w:p>
    <w:tbl>
      <w:tblPr>
        <w:tblStyle w:val="TableGrid"/>
        <w:tblW w:type="dxa" w:w="9000"/>
        <w:jc w:val="center"/>
        <w:tblLayout w:type="fixed"/>
        <w:tblLook w:firstColumn="1" w:firstRow="1" w:lastColumn="0" w:lastRow="0" w:noHBand="0" w:noVBand="1" w:val="04A0"/>
        <w:tblInd w:w="120" w:type="dxa"/>
      </w:tblPr>
      <w:tblGrid>
        <w:gridCol w:w="1900"/>
        <w:gridCol w:w="7100"/>
      </w:tblGrid>
      <w:tr>
        <w:trPr>
          <w:tblHeader w:val="true"/>
        </w:trPr>
        <w:tc>
          <w:tcPr>
            <w:tcW w:type="dxa" w:w="19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项目</w:t>
            </w:r>
          </w:p>
        </w:tc>
        <w:tc>
          <w:tcPr>
            <w:tcW w:type="dxa" w:w="71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内容</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参与者</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项目与工程维护者、影响复核与工单处理者、内容与培训维护者</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前置条件</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变更源工件有效；至少存在一条可见关系；发起人具有分析权限</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触发条件</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TTC阈值、前向雷达配置或安全制动距离目标发生计划变更</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主流程</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填写变更信息；设置分析范围；系统生成候选、等级和路径；用户逐项确认、排除或待定；选择确认项；系统提示工单内容；用户再次确认；创建关联工单</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替代流程</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无候选时保存空报告；达到范围上限时提示结果不完整；存在未关闭工单时提示重复；用户取消时不创建工单</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后置条件</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分析报告保留初始结果和复核结论；已确认工单关联源变更与目标工件；原业务记录和历史销量不被修改</w:t>
            </w:r>
          </w:p>
        </w:tc>
      </w:tr>
      <w:tr>
        <w:tc>
          <w:tcPr>
            <w:tcW w:type="dxa" w:w="19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对应需求</w:t>
            </w:r>
          </w:p>
        </w:tc>
        <w:tc>
          <w:tcPr>
            <w:tcW w:type="dxa" w:w="71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FR-IMP-01至FR-IMP-05，FR-TKT-01至FR-TKT-04，FR-SEC-04</w:t>
            </w:r>
          </w:p>
        </w:tc>
      </w:tr>
    </w:tbl>
    <w:p>
      <w:pPr>
        <w:pStyle w:val="Heading2"/>
      </w:pPr>
      <w:r>
        <w:t>3.5 非功能性需求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本节只设置Demo能够验证的质量要求。指标必须给出测试条件，避免写200并发、99.9%可用性或百万节点等无法在个人环境中证明的数值。质量属性可参考ISO/IEC 25010。</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请撰写“3.5 非功能性需求”的引导段。依据ISO/IEC 25010，从性能效率、安全性、可靠性、可维护性、兼容性和易用性选择适合ODS Demo的要求，所有数值均限定测试环境和小规模数据。</w:t>
      </w:r>
    </w:p>
    <w:p>
      <w:pPr>
        <w:ind w:firstLine="420"/>
        <w:jc w:val="both"/>
      </w:pPr>
      <w:r>
        <w:t>非功能需求用于约束系统在正确完成业务功能之外的质量表现。ISO/IEC 25010从功能适合性、性能效率、兼容性、交互能力、可靠性、安全性、可维护性和可移植性等方面定义产品质量模型[4]。结合个人Demo的实施条件，本研究选择性能、安全、可靠性与一致性、可维护性与兼容性、易用性与可解释性作为验证范围。</w:t>
      </w:r>
    </w:p>
    <w:p>
      <w:pPr>
        <w:pStyle w:val="Heading3"/>
      </w:pPr>
      <w:r>
        <w:t>3.5.1 性能需求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性能指标必须与第六章可执行的实验一致。采用30至100个工件、最多300条关系、深度不超过5、单用户本地环境即可，不设计并发压测。平均时间指标容易计算并能满足Demo验证。</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请撰写“3.5.1 性能需求”。定义NFR-PERF-01至03：在30至100个工件、最多300条关系、深度不超过5、单用户本地环境下，追溯查询平均响应不超过2秒，影响分析平均不超过3秒，循环或范围达到上限时必须终止。说明最终结果以实测为准。</w:t>
      </w:r>
    </w:p>
    <w:p>
      <w:pPr>
        <w:ind w:firstLine="420"/>
        <w:jc w:val="both"/>
      </w:pPr>
      <w:r>
        <w:t>NFR-PERF-01：在包含30至100个工件、关系总量不超过300条、最大查询深度不超过5的构造数据上，单用户本地环境中的追溯查询平均响应时间目标为2 s以内。NFR-PERF-02：在相同数据范围内，包含候选排序和解释路径生成的影响分析平均响应时间目标为3 s以内。</w:t>
      </w:r>
    </w:p>
    <w:p>
      <w:pPr>
        <w:ind w:firstLine="420"/>
        <w:jc w:val="both"/>
      </w:pPr>
      <w:r>
        <w:t>NFR-PERF-03：查询遇到循环关系、最大深度或最大访问节点数时必须在限定范围内终止，并向用户返回截断状态。上述指标用于第六章的轻量实验设计，不代表生产环境服务等级；如果实际结果未达到目标，应报告实测值和原因，不得修改或虚构数据。</w:t>
      </w:r>
    </w:p>
    <w:p>
      <w:pPr>
        <w:pStyle w:val="Heading3"/>
      </w:pPr>
      <w:r>
        <w:t>3.5.2 安全性需求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安全需求复用现有JWT与RBAC，重点覆盖认证、越权、敏感配置和只读历史数据。不要扩展到尚未实现的SSO、ABAC或企业密钥平台。</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请撰写“3.5.2 安全性需求”。定义NFR-SEC-01至04，包括所有业务接口默认认证、角色最小权限、JWT密钥和数据库密码通过环境变量管理、历史销量只读及错误响应不泄露敏感信息。</w:t>
      </w:r>
    </w:p>
    <w:p>
      <w:pPr>
        <w:ind w:firstLine="420"/>
        <w:jc w:val="both"/>
      </w:pPr>
      <w:r>
        <w:t>NFR-SEC-01：除登录、健康检查和API文档等明确公开端点外，新增接口应默认要求身份认证。NFR-SEC-02：写操作采用基于角色的最小权限控制，后端必须独立校验权限，不能仅依赖前端隐藏按钮。未授权请求应返回统一的401或403响应。</w:t>
      </w:r>
    </w:p>
    <w:p>
      <w:pPr>
        <w:ind w:firstLine="420"/>
        <w:jc w:val="both"/>
      </w:pPr>
      <w:r>
        <w:t>NFR-SEC-03：JWT签名密钥、数据库密码和种子账号密码不得写入论文、测试数据或前端代码，正式环境通过环境变量或等效安全配置提供。NFR-SEC-04：追溯功能不得提供修改历史销量的接口；异常响应和操作记录不得包含密码、令牌或完整敏感配置。</w:t>
      </w:r>
    </w:p>
    <w:p>
      <w:pPr>
        <w:pStyle w:val="Heading3"/>
      </w:pPr>
      <w:r>
        <w:t>3.5.3 可靠性与数据一致性需求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本小节关注单机原型可以验证的错误处理和一致性，不写生产可用率。重点包括事务、唯一性、循环终止、失败回滚和可重复构造数据。</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请撰写“3.5.3 可靠性与数据一致性需求”。定义NFR-ROB-01至04，包括分析保存与工单创建的事务边界、唯一性约束、失败回滚、环路终止和构造数据可重复生成。不写99.9%可用率或灾备指标。</w:t>
      </w:r>
    </w:p>
    <w:p>
      <w:pPr>
        <w:ind w:firstLine="420"/>
        <w:jc w:val="both"/>
      </w:pPr>
      <w:r>
        <w:t>NFR-ROB-01：工件、关系和分析报告应使用稳定标识，唯一性冲突必须以明确错误返回。NFR-ROB-02：分析结果保存与工单创建应具有清楚的事务边界；工单创建失败时，不得把分析报告错误标记为已完成，也不得留下无法关联的半成品工单。</w:t>
      </w:r>
    </w:p>
    <w:p>
      <w:pPr>
        <w:ind w:firstLine="420"/>
        <w:jc w:val="both"/>
      </w:pPr>
      <w:r>
        <w:t>NFR-ROB-03：追溯遍历在包含环、分支和失效关系的数据上应可终止，停用关系默认不参与新分析。NFR-ROB-04：AEB构造数据应由固定规则或脚本生成，重复生成时保持相同标识、关系和人工答案集。该要求用于保证实验可重复，不扩展为生产备份和异地灾难恢复承诺。</w:t>
      </w:r>
    </w:p>
    <w:p>
      <w:pPr>
        <w:pStyle w:val="Heading3"/>
      </w:pPr>
      <w:r>
        <w:t>3.5.4 可维护性与兼容性需求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本小节说明新增能力如何适应现有模块化单体。要求应围绕边界清晰、接口一致、数据库迁移和环境兼容，不能把计划中的微服务或图数据库写成必要条件。</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请撰写“3.5.4 可维护性与兼容性需求”。定义NFR-MNT-01至03和NFR-COMP-01至02，要求追溯功能作为模块化单体中的独立业务模块、使用统一JSON REST响应、Flyway管理PostgreSQL变更、H2仅支持本地测试，并允许增加工件类型而不修改原业务表。</w:t>
      </w:r>
    </w:p>
    <w:p>
      <w:pPr>
        <w:ind w:firstLine="420"/>
        <w:jc w:val="both"/>
      </w:pPr>
      <w:r>
        <w:t>NFR-MNT-01：追溯与影响分析应作为模块化单体中的独立业务边界，与现有项目、市场、培训、指南和工单服务通过明确接口协作。NFR-MNT-02：新增工件类型或关系类型时，应优先通过类型配置和通用引用扩展，不要求为每种类型修改所有既有业务表。NFR-MNT-03：需求编号、接口、数据库迁移和测试用例应保持可追踪对应。</w:t>
      </w:r>
    </w:p>
    <w:p>
      <w:pPr>
        <w:ind w:firstLine="420"/>
        <w:jc w:val="both"/>
      </w:pPr>
      <w:r>
        <w:t>NFR-COMP-01：新增接口应遵守ODS现有/api/v1路径、JSON数据格式、统一成功包装和错误响应约定。NFR-COMP-02：正式数据库结构变化应由Flyway迁移管理并面向PostgreSQL验证；H2仅用于本地快速启动和自动测试。前端功能应接入现有React路由、认证会话和权限控制方式。</w:t>
      </w:r>
    </w:p>
    <w:p>
      <w:pPr>
        <w:pStyle w:val="Heading3"/>
      </w:pPr>
      <w:r>
        <w:t>3.5.5 易用性与结果可解释性需求</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本小节直接支撑论文的可解释性主张。界面应让用户看懂影响对象从何而来，并使确认操作与普通查看操作清楚区分。不要将“界面美观”作为不可测要求。</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请撰写“3.5.5 易用性与结果可解释性需求”。定义NFR-USE-01至04，包括中文业务名称、路径逐步展示、影响等级说明、范围截断提示、确认创建工单的二次确认和错误信息可理解。</w:t>
      </w:r>
    </w:p>
    <w:p>
      <w:pPr>
        <w:ind w:firstLine="420"/>
        <w:jc w:val="both"/>
      </w:pPr>
      <w:r>
        <w:t>NFR-USE-01：工件类型、关系类型和影响等级应同时显示中文业务名称，不能只显示内部编号。NFR-USE-02：每个影响候选项应能够展开查看源工件、经过的关系、目标工件和路径长度，使用户能够核对系统给出该结果的依据。</w:t>
      </w:r>
    </w:p>
    <w:p>
      <w:pPr>
        <w:ind w:firstLine="420"/>
        <w:jc w:val="both"/>
      </w:pPr>
      <w:r>
        <w:t>NFR-USE-03：当分析达到深度或节点上限时，页面应显著提示结果可能不完整。NFR-USE-04：创建工单属于产生业务记录的操作，系统应展示目标对象和工单摘要并要求用户再次确认。校验错误、权限错误和空结果应使用可理解的说明，不仅返回技术异常名称。</w:t>
      </w:r>
    </w:p>
    <w:p>
      <w:pPr>
        <w:pStyle w:val="Caption"/>
        <w:keepNext/>
        <w:jc w:val="center"/>
      </w:pPr>
      <w:r>
        <w:t>表3.8 非功能需求及验收条件</w:t>
      </w:r>
    </w:p>
    <w:tbl>
      <w:tblPr>
        <w:tblStyle w:val="TableGrid"/>
        <w:tblW w:type="dxa" w:w="9000"/>
        <w:jc w:val="center"/>
        <w:tblLayout w:type="fixed"/>
        <w:tblLook w:firstColumn="1" w:firstRow="1" w:lastColumn="0" w:lastRow="0" w:noHBand="0" w:noVBand="1" w:val="04A0"/>
        <w:tblInd w:w="120" w:type="dxa"/>
      </w:tblPr>
      <w:tblGrid>
        <w:gridCol w:w="1800"/>
        <w:gridCol w:w="4700"/>
        <w:gridCol w:w="2500"/>
      </w:tblGrid>
      <w:tr>
        <w:trPr>
          <w:tblHeader w:val="true"/>
        </w:trPr>
        <w:tc>
          <w:tcPr>
            <w:tcW w:type="dxa" w:w="18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需求类别</w:t>
            </w:r>
          </w:p>
        </w:tc>
        <w:tc>
          <w:tcPr>
            <w:tcW w:type="dxa" w:w="47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验收条件</w:t>
            </w:r>
          </w:p>
        </w:tc>
        <w:tc>
          <w:tcPr>
            <w:tcW w:type="dxa" w:w="2500"/>
            <w:vAlign w:val="center"/>
            <w:tcMar>
              <w:top w:w="90" w:type="dxa"/>
              <w:start w:w="120" w:type="dxa"/>
              <w:bottom w:w="90" w:type="dxa"/>
              <w:end w:w="120" w:type="dxa"/>
            </w:tcMar>
            <w:shd w:fill="E7E6E6"/>
          </w:tcPr>
          <w:p>
            <w:pPr>
              <w:spacing w:before="0" w:after="0" w:line="276" w:lineRule="auto"/>
              <w:jc w:val="center"/>
            </w:pPr>
            <w:r>
              <w:rPr>
                <w:rFonts w:ascii="Times New Roman" w:hAnsi="Times New Roman" w:eastAsia="宋体"/>
                <w:b/>
                <w:color w:val="000000"/>
                <w:sz w:val="19"/>
              </w:rPr>
              <w:t>明确不包含</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NFR-PERF 性能</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30至100个工件、最多300条关系、深度不超过5；查询平均≤2 s，分析平均≤3 s</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200并发、百万节点和生产服务等级</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NFR-SEC 安全</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JWT认证、后端RBAC、敏感配置不泄露、历史销量只读</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SSO、ABAC和企业安全运营平台</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NFR-ROB 可靠性</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唯一性、失败回滚、循环终止、构造数据可重复</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生产可用率、异地灾备</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NFR-MNT/COMP 维护兼容</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模块边界明确、统一REST、Flyway迁移、PostgreSQL与H2环境分工</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微服务、Neo4j和消息总线</w:t>
            </w:r>
          </w:p>
        </w:tc>
      </w:tr>
      <w:tr>
        <w:tc>
          <w:tcPr>
            <w:tcW w:type="dxa" w:w="18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NFR-USE 易用性</w:t>
            </w:r>
          </w:p>
        </w:tc>
        <w:tc>
          <w:tcPr>
            <w:tcW w:type="dxa" w:w="47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中文名称、完整路径、截断提示、工单二次确认</w:t>
            </w:r>
          </w:p>
        </w:tc>
        <w:tc>
          <w:tcPr>
            <w:tcW w:type="dxa" w:w="2500"/>
            <w:vAlign w:val="center"/>
            <w:tcMar>
              <w:top w:w="90" w:type="dxa"/>
              <w:start w:w="120" w:type="dxa"/>
              <w:bottom w:w="90" w:type="dxa"/>
              <w:end w:w="120" w:type="dxa"/>
            </w:tcMar>
          </w:tcPr>
          <w:p>
            <w:pPr>
              <w:spacing w:before="0" w:after="0" w:line="276" w:lineRule="auto"/>
              <w:jc w:val="left"/>
            </w:pPr>
            <w:r>
              <w:rPr>
                <w:rFonts w:ascii="Times New Roman" w:hAnsi="Times New Roman" w:eastAsia="宋体"/>
                <w:b w:val="0"/>
                <w:color w:val="000000"/>
                <w:sz w:val="19"/>
              </w:rPr>
              <w:t>主观美观评分</w:t>
            </w:r>
          </w:p>
        </w:tc>
      </w:tr>
    </w:tbl>
    <w:p>
      <w:pPr>
        <w:pStyle w:val="Heading2"/>
      </w:pPr>
      <w:r>
        <w:t>3.6 可行性分析</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本节从技术、经济和操作与数据三个方面说明个人Demo为什么能够完成。论证应以现有代码、开源技术和小规模构造数据为依据，不编造投入金额、节省工时或企业推广条件。</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请撰写“3.6 可行性分析”的引导段。说明评估对象是毕业设计原型，不是企业生产平台；从现有技术栈复用、开源工具成本和构造数据可得性三个方面展开，所有结论保持有限。</w:t>
      </w:r>
    </w:p>
    <w:p>
      <w:pPr>
        <w:ind w:firstLine="420"/>
        <w:jc w:val="both"/>
      </w:pPr>
      <w:r>
        <w:t>可行性分析面向个人毕业设计原型，判断标准是能否在现有ODS代码和本地开发条件下完成核心功能及验证，而非能否直接支撑企业量产研发。分析不采用虚构的人力成本、效率收益、生产负载或组织推广数据。</w:t>
      </w:r>
    </w:p>
    <w:p>
      <w:pPr>
        <w:pStyle w:val="Heading3"/>
      </w:pPr>
      <w:r>
        <w:t>3.6.1 技术可行性</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本小节应把每项核心需求与现有技术基础对应起来。关系数据库和应用层图遍历足以处理30至100个节点的Demo，不需要为了技术复杂度引入Neo4j。</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请撰写“3.6.1 技术可行性”，约500字。说明React、Spring Boot、Spring Security、JPA、PostgreSQL、Flyway和H2能够支撑页面、接口、权限、数据持久化与测试；小规模有向图可用关系表和BFS/DFS处理。明确PostgreSQL容器兼容仍需在有Docker环境验证。</w:t>
      </w:r>
    </w:p>
    <w:p>
      <w:pPr>
        <w:ind w:firstLine="420"/>
        <w:jc w:val="both"/>
      </w:pPr>
      <w:r>
        <w:t>ODS已经具备React页面框架、Spring Boot REST服务、Spring Security JWT认证、Spring Data JPA数据访问和统一异常响应，新增模块可以沿用现有工程结构。PostgreSQL能够保存工件、关系、变更和分析报告，Flyway能够管理正式环境的结构演进；H2可用于本地快速启动和单元、集成测试。该基础能够覆盖本章提出的数据管理、接口和权限需求。</w:t>
      </w:r>
    </w:p>
    <w:p>
      <w:pPr>
        <w:ind w:firstLine="420"/>
        <w:jc w:val="both"/>
      </w:pPr>
      <w:r>
        <w:t>在30至100个工件和有限关系规模下，有向关系可以使用普通关系表保存，并在应用层采用广度优先或深度优先遍历。最大深度、最大节点数和已访问集合能够控制查询范围和循环，因此没有引入图数据库的必要。现有仓库已包含PostgreSQL驱动、Flyway迁移和Testcontainers测试代码，但当前开发环境是否能够完成PostgreSQL容器验证取决于Docker可用性，最终结论应以实际运行记录为准。</w:t>
      </w:r>
    </w:p>
    <w:p>
      <w:pPr>
        <w:pStyle w:val="Heading3"/>
      </w:pPr>
      <w:r>
        <w:t>3.6.2 经济可行性</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经济可行性只说明增量成本可控，不计算无法证明的投资回报率。可从复用现有代码、采用开源框架和不增加中间件三个角度论证。</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请撰写“3.6.2 经济可行性”，约300字。说明开发复用ODS、采用开源技术、本地或普通开发环境即可验证，不采购Neo4j企业版、消息中间件或车辆试验设备。不得填写虚构的人日成本、收益或效率提升百分比。</w:t>
      </w:r>
    </w:p>
    <w:p>
      <w:pPr>
        <w:ind w:firstLine="420"/>
        <w:jc w:val="both"/>
      </w:pPr>
      <w:r>
        <w:t>本研究以现有ODS代码为基础进行增量开发，React、Spring Boot、PostgreSQL、Flyway、H2和主要测试框架均可在开源许可范围内用于原型开发。系统不新增微服务运行环境、图数据库、消息中间件和车辆试验设备，构造数据可在本地生成，主要投入为个人开发、测试和论文整理时间。由于缺少企业成本基线和真实使用数据，本研究不计算投资回报率，也不宣称能够带来确定的研发效率提升。</w:t>
      </w:r>
    </w:p>
    <w:p>
      <w:pPr>
        <w:pStyle w:val="Heading3"/>
      </w:pPr>
      <w:r>
        <w:t>3.6.3 操作与数据可行性</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本小节需要处理项目没有真实企业用户和真实业务数据的限制。说明为何仍可通过清晰流程、现有页面模式和公开可重复的构造数据完成验证，同时明确这不能替代企业实证。</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请撰写“3.6.3 操作与数据可行性”，约450字。说明用户流程只有选择工件、设置范围、查看路径、复核结果和确认工单，学习成本有限；AEB数据基于公开概念构造并附生成规则与人工答案集。指出没有企业用户研究和道路数据是外部有效性限制。</w:t>
      </w:r>
    </w:p>
    <w:p>
      <w:pPr>
        <w:ind w:firstLine="420"/>
        <w:jc w:val="both"/>
      </w:pPr>
      <w:r>
        <w:t>核心操作沿用ODS现有Web交互模式，用户完成登录后选择工件、设置查询或分析范围、查看路径、复核候选项并确认工单，不需要部署独立桌面客户端或掌握图查询语言。权限仍由现有角色体系提供，新增页面只增加与追溯任务直接相关的输入和结果区域，操作流程能够在个人测试环境中完整演示。</w:t>
      </w:r>
    </w:p>
    <w:p>
      <w:pPr>
        <w:ind w:firstLine="420"/>
        <w:jc w:val="both"/>
      </w:pPr>
      <w:r>
        <w:t>测试数据可以根据公开AEB概念和预先定义的工件类型构造，并为每个案例人工列出预期影响集合。固定标识、生成规则、关系清单和答案集使实验能够重复执行，也能计算正确率和完整率。构造数据不包含客户信息、企业经营信息或真实车辆记录。缺少真实研发团队使用、长期关系维护和道路数据验证会限制结论的外部适用范围，该限制应在第六章和第七章继续说明。</w:t>
      </w:r>
    </w:p>
    <w:p>
      <w:pPr>
        <w:pStyle w:val="Heading2"/>
      </w:pPr>
      <w:r>
        <w:t>3.7 本章小结</w:t>
      </w:r>
    </w:p>
    <w:p>
      <w:pPr>
        <w:pStyle w:val="EditorialNote"/>
        <w:shd w:fill="F2F2F2"/>
      </w:pPr>
      <w:r>
        <w:rPr>
          <w:rFonts w:ascii="Times New Roman" w:hAnsi="Times New Roman" w:eastAsia="黑体"/>
          <w:b/>
          <w:color w:val="555555"/>
          <w:sz w:val="19"/>
        </w:rPr>
        <w:t>写作说明（定稿时删除）：</w:t>
      </w:r>
      <w:r>
        <w:rPr>
          <w:rFonts w:ascii="Times New Roman" w:hAnsi="Times New Roman" w:eastAsia="宋体"/>
          <w:b w:val="0"/>
          <w:color w:val="555555"/>
          <w:sz w:val="19"/>
        </w:rPr>
        <w:t>本节只总结已经确定的需求及边界，并引出第四章设计。不要加入新功能、实验结果或评价性结论。</w:t>
      </w:r>
    </w:p>
    <w:p>
      <w:pPr>
        <w:pStyle w:val="EditorialNote"/>
        <w:shd w:fill="F7F7F7"/>
      </w:pPr>
      <w:r>
        <w:rPr>
          <w:rFonts w:ascii="Times New Roman" w:hAnsi="Times New Roman" w:eastAsia="黑体"/>
          <w:b/>
          <w:color w:val="555555"/>
          <w:sz w:val="19"/>
        </w:rPr>
        <w:t>AI续写提示词（定稿时删除）：</w:t>
      </w:r>
      <w:r>
        <w:rPr>
          <w:rFonts w:ascii="Times New Roman" w:hAnsi="Times New Roman" w:eastAsia="宋体"/>
          <w:b w:val="0"/>
          <w:color w:val="555555"/>
          <w:sz w:val="19"/>
        </w:rPr>
        <w:t>请撰写“3.7 本章小结”，约250字。概括需求来源、跨域业务范围、六类功能需求、五类非功能需求、三个核心用例和三类可行性结论，并说明下一章将据此完成架构、数据、接口和影响规则设计。</w:t>
      </w:r>
    </w:p>
    <w:p>
      <w:pPr>
        <w:ind w:firstLine="420"/>
        <w:jc w:val="both"/>
      </w:pPr>
      <w:r>
        <w:t>本章基于公开标准、ODS现有代码和AEB构造场景，确定了跨域工程工件追溯与变更影响分析系统的需求边界。业务范围覆盖项目、市场、培训、指南和工单等现有模块，三类AEB变更分别用于验证参数、硬件和安全目标变化下的追溯路径。功能需求包括工件登记、关系管理、追溯查询、影响分析、人工复核与工单协同、身份权限与操作留痕；非功能需求限定在Demo能够验证的性能、安全、可靠性、可维护性、兼容性和可解释性范围内。技术、经济及操作与数据分析表明，核心需求可在现有模块化单体基础上实施。下一章将依据需求编号完成总体架构、统一工件模型、数据结构、接口和影响分析规则设计。</w:t>
      </w:r>
    </w:p>
    <w:p>
      <w:r>
        <w:br w:type="page"/>
      </w:r>
    </w:p>
    <w:p>
      <w:pPr>
        <w:keepNext/>
        <w:spacing w:after="240"/>
        <w:jc w:val="center"/>
      </w:pPr>
      <w:r>
        <w:rPr>
          <w:rFonts w:ascii="Times New Roman" w:hAnsi="Times New Roman" w:eastAsia="黑体"/>
          <w:b/>
          <w:color w:val="000000"/>
          <w:sz w:val="32"/>
        </w:rPr>
        <w:t>参考文献</w:t>
      </w:r>
    </w:p>
    <w:p>
      <w:pPr>
        <w:spacing w:after="80"/>
        <w:ind w:left="420" w:hanging="420"/>
        <w:jc w:val="both"/>
      </w:pPr>
      <w:r>
        <w:t>[1] ISO/IEC/IEEE. ISO/IEC/IEEE 29148:2018 Systems and software engineering—Life cycle processes—Requirements engineering[S]. Geneva: ISO, 2018.</w:t>
      </w:r>
    </w:p>
    <w:p>
      <w:pPr>
        <w:spacing w:after="80"/>
        <w:ind w:left="420" w:hanging="420"/>
        <w:jc w:val="both"/>
      </w:pPr>
      <w:r>
        <w:t>[2] ISO. ISO 26262-8:2018 Road vehicles—Functional safety—Part 8: Supporting processes[S]. Geneva: ISO, 2018.</w:t>
      </w:r>
    </w:p>
    <w:p>
      <w:pPr>
        <w:spacing w:after="80"/>
        <w:ind w:left="420" w:hanging="420"/>
        <w:jc w:val="both"/>
      </w:pPr>
      <w:r>
        <w:t>[3] VDA QMC. Automotive SPICE Process Assessment / Reference Model, Version 4.0[S]. Berlin: Verband der Automobilindustrie, 2023.</w:t>
      </w:r>
    </w:p>
    <w:p>
      <w:pPr>
        <w:spacing w:after="80"/>
        <w:ind w:left="420" w:hanging="420"/>
        <w:jc w:val="both"/>
      </w:pPr>
      <w:r>
        <w:t>[4] ISO/IEC. ISO/IEC 25010:2023 Systems and software engineering—Systems and software Quality Requirements and Evaluation (SQuaRE)—Product quality model[S]. Geneva: ISO, 2023.</w:t>
      </w:r>
    </w:p>
    <w:p>
      <w:pPr>
        <w:spacing w:after="80"/>
        <w:ind w:left="420" w:hanging="420"/>
        <w:jc w:val="both"/>
      </w:pPr>
      <w:r>
        <w:t>[5] UNITED NATIONS. UN Regulation No. 152—Uniform provisions concerning the approval of motor vehicles with regard to the Advanced Emergency Braking System (AEBS) for M1 and N1 vehicles[S]. Geneva: UNECE, 2024.</w:t>
      </w:r>
    </w:p>
    <w:p>
      <w:pPr>
        <w:spacing w:after="80"/>
        <w:ind w:left="420" w:hanging="420"/>
        <w:jc w:val="both"/>
      </w:pPr>
      <w:r>
        <w:t>[6] GOTEL O C Z, FINKELSTEIN A C W. An analysis of the requirements traceability problem[C]//Proceedings of IEEE International Conference on Requirements Engineering. Colorado Springs: IEEE, 1994: 94-101. DOI:10.1109/ICRE.1994.292398.</w:t>
      </w:r>
    </w:p>
    <w:p>
      <w:pPr>
        <w:spacing w:after="80"/>
        <w:ind w:left="420" w:hanging="420"/>
        <w:jc w:val="both"/>
      </w:pPr>
      <w:r>
        <w:t>[7] RAMESH B, JARKE M. Toward reference models for requirements traceability[J]. IEEE Transactions on Software Engineering, 2001, 27(1): 58-93. DOI:10.1109/32.895989.</w:t>
      </w:r>
    </w:p>
    <w:p>
      <w:pPr>
        <w:spacing w:after="80"/>
        <w:ind w:left="420" w:hanging="420"/>
        <w:jc w:val="both"/>
      </w:pPr>
      <w:r>
        <w:t>[8] KUSANO K D, GABLER H C. Safety benefits of forward collision warning, brake assist, and autonomous braking systems in rear-end collisions[J]. IEEE Transactions on Intelligent Transportation Systems, 2012, 13(4): 1546-1555. DOI:10.1109/TITS.2012.2191542.</w:t>
      </w:r>
    </w:p>
    <w:p>
      <w:pPr>
        <w:spacing w:after="80"/>
        <w:ind w:left="420" w:hanging="420"/>
        <w:jc w:val="both"/>
      </w:pPr>
      <w:r>
        <w:t>[9] FILDES B, KEALL M, BOS N, et al. Effectiveness of low speed autonomous emergency braking in real-world rear-end crashes[J]. Accident Analysis &amp; Prevention, 2015, 81: 24-29. DOI:10.1016/j.aap.2015.03.029.</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Note">
    <w:name w:val="Editorial Note"/>
    <w:pPr>
      <w:spacing w:before="60" w:after="60" w:line="276" w:lineRule="auto"/>
      <w:ind w:left="198" w:right="198"/>
    </w:pPr>
    <w:rPr>
      <w:rFonts w:ascii="Times New Roman" w:hAnsi="Times New Roman" w:eastAsia="宋体"/>
      <w:sz w:val="19"/>
    </w:rPr>
  </w:style>
  <w:style w:type="paragraph" w:customStyle="1" w:styleId="FigurePlaceholder">
    <w:name w:val="Figure Placeholder"/>
    <w:pPr>
      <w:spacing w:before="160" w:after="80"/>
    </w:pPr>
    <w:rPr>
      <w:rFonts w:ascii="Times New Roman" w:hAnsi="Times New Roman" w:eastAsia="宋体"/>
      <w:color w:val="59595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