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第4章 系统设计</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章把第三章提出的需求转换为可以直接开发的架构、数据对象、算法和接口。写作顺序遵循“设计目标—总体架构—领域模型—查询算法—影响分析—数据与接口—实现顺序”，使每项设计均能在第五章找到代码位置，并在第六章找到验证方法。正文应使用“设计为”“采用”等客观表述，不得把尚未开发的能力写成已经完成的功能。</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硕士论文第4章“系统设计”的章节导语。论文题目为《自动驾驶跨域工件追溯与变更分析系统设计与实现》。依据第三章26项功能需求和小规模Demo约束，说明本章将完成总体架构、统一工件模型、有限深度追溯、可解释影响分析、人工复核、工单事务和权限审计设计。采用客观、紧凑的IEEE论文风格，不虚构实现或实验结果。</w:t>
      </w:r>
    </w:p>
    <w:p>
      <w:pPr>
        <w:ind w:firstLine="420"/>
        <w:jc w:val="both"/>
      </w:pPr>
      <w:r>
        <w:t>本章依据第三章确定的功能需求和非功能需求，对自动驾驶跨域工件追溯与变更分析系统进行设计。设计以ODS现有React与Spring Boot模块化单体为基础，在不迁移原有业务数据的条件下增加统一工件引用层、追溯关系层、变更影响分析层和人工协同闭环。系统采用关系数据库保存节点、边及解释路径，使用有限深度图遍历完成正反向查询，使用可配置规则对候选影响对象排序，并通过人工复核和二次确认控制工单创建。</w:t>
      </w:r>
    </w:p>
    <w:p>
      <w:pPr>
        <w:ind w:firstLine="420"/>
        <w:jc w:val="both"/>
      </w:pPr>
      <w:r>
        <w:t>本章所述实体、接口和流程属于目标设计。当前Demo尚未具备完整追溯与影响分析能力，第五章应按照实际开发结果说明完成范围，第六章的响应时间、正确率和完整率必须由本地运行获得。设计规模限定为30至100个工件、最多300条关系、查询深度不超过5，因而无需引入微服务、图数据库、消息队列、机器学习关系抽取或复杂流程引擎。</w:t>
      </w:r>
    </w:p>
    <w:p>
      <w:pPr>
        <w:pStyle w:val="Heading2"/>
      </w:pPr>
      <w:r>
        <w:t>4.1 设计目标与约束</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本节先说明为什么采用当前方案，再列出不可突破的实现边界。目标必须能回到第三章的需求编号，约束必须与个人Demo的资源条件一致。该节不讨论具体类名和表字段。</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请撰写“4.1 设计目标与约束”的引导段。概括统一引用、双向追溯、可解释影响、人工控制、兼容现有平台和小规模可验证六项目标，同时说明模块化单体、PostgreSQL、H2、单用户和构造数据等边界。</w:t>
      </w:r>
    </w:p>
    <w:p>
      <w:pPr>
        <w:ind w:firstLine="420"/>
        <w:jc w:val="both"/>
      </w:pPr>
      <w:r>
        <w:t>设计目标由跨域统一、查询可控、结果可解释、人工可确认和实现可验证五方面构成。跨域统一要求项目、车辆配置、市场说明、课程、知识、指南和工单能够使用共同标识参与追溯；查询可控要求多跳访问在循环图中按深度和节点上限终止；结果可解释要求候选对象附带完整传播路径；人工可确认要求评分不直接触发业务修改；实现可验证要求全部核心流程能够在个人本地环境中重复运行。</w:t>
      </w:r>
    </w:p>
    <w:p>
      <w:pPr>
        <w:pStyle w:val="Heading3"/>
      </w:pPr>
      <w:r>
        <w:t>4.1.1 需求到设计的转换原则</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本小节解释第三章中的需求编号如何转换为设计部件。正文第一次出现FR和NFR时继续给出中文含义，避免编号成为难以理解的专业术语。表格用于展示需求组与设计决策的对应关系。</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请撰写“4.1.1 需求到设计的转换原则”，解释FR表示功能需求、NFR表示非功能需求，并把FR-ART、FR-REL、FR-QRY、FR-IMP、FR-TKT和FR-SEC分别映射到工件版本、关系、查询、影响报告、工单和安全设计。语言通俗但保持IEEE论文风格。</w:t>
      </w:r>
    </w:p>
    <w:p>
      <w:pPr>
        <w:ind w:firstLine="420"/>
        <w:jc w:val="both"/>
      </w:pPr>
      <w:r>
        <w:t>FR表示功能需求，描述系统应提供的业务能力；NFR表示非功能需求，描述性能、安全、可靠性和可维护性等质量约束。设计采用一组稳定的设计对象承接需求：工件及版本满足FR-ART，追溯关系及类型规则满足FR-REL，有限深度查询服务满足FR-QRY，变更记录、影响报告和解释路径满足FR-IMP，候选复核与工单关联满足FR-TKT，来源适配器、JWT授权和操作日志满足FR-SEC。设计对象的名称在后续数据表、服务接口和测试用例中保持一致，从而符合需求、设计、实现和验证之间保持联系的原则[2]。</w:t>
      </w:r>
    </w:p>
    <w:p>
      <w:pPr>
        <w:pStyle w:val="Caption"/>
        <w:keepNext/>
        <w:jc w:val="center"/>
      </w:pPr>
      <w:r>
        <w:t>表4.1 需求组与主要设计对象的对应关系</w:t>
      </w:r>
    </w:p>
    <w:tbl>
      <w:tblPr>
        <w:tblStyle w:val="TableGrid"/>
        <w:tblW w:type="dxa" w:w="9000"/>
        <w:jc w:val="center"/>
        <w:tblLayout w:type="fixed"/>
        <w:tblLook w:firstColumn="1" w:firstRow="1" w:lastColumn="0" w:lastRow="0" w:noHBand="0" w:noVBand="1" w:val="04A0"/>
        <w:tblInd w:w="120" w:type="dxa"/>
      </w:tblPr>
      <w:tblGrid>
        <w:gridCol w:w="1200"/>
        <w:gridCol w:w="1800"/>
        <w:gridCol w:w="3200"/>
        <w:gridCol w:w="2800"/>
      </w:tblGrid>
      <w:tr>
        <w:trPr>
          <w:tblHeader w:val="true"/>
        </w:trPr>
        <w:tc>
          <w:tcPr>
            <w:tcW w:type="dxa" w:w="12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需求组</w:t>
            </w:r>
          </w:p>
        </w:tc>
        <w:tc>
          <w:tcPr>
            <w:tcW w:type="dxa" w:w="1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中文含义</w:t>
            </w:r>
          </w:p>
        </w:tc>
        <w:tc>
          <w:tcPr>
            <w:tcW w:type="dxa" w:w="32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主要设计对象</w:t>
            </w:r>
          </w:p>
        </w:tc>
        <w:tc>
          <w:tcPr>
            <w:tcW w:type="dxa" w:w="2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后续验证重点</w:t>
            </w:r>
          </w:p>
        </w:tc>
      </w:tr>
      <w:tr>
        <w:tc>
          <w:tcPr>
            <w:tcW w:type="dxa" w:w="1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FR-ART</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工件登记与版本</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Artifact、ArtifactVersion、ArtifactType</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唯一登记、版本序列、来源跳转</w:t>
            </w:r>
          </w:p>
        </w:tc>
      </w:tr>
      <w:tr>
        <w:tc>
          <w:tcPr>
            <w:tcW w:type="dxa" w:w="1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FR-REL</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追溯关系管理</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TraceRelation、RelationType、RelationTypeRule</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方向、重复边、自连接、停用</w:t>
            </w:r>
          </w:p>
        </w:tc>
      </w:tr>
      <w:tr>
        <w:tc>
          <w:tcPr>
            <w:tcW w:type="dxa" w:w="1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FR-QRY</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追溯查询</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TraceQueryService、TraceQueryResult</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正反向、多跳、循环、截断</w:t>
            </w:r>
          </w:p>
        </w:tc>
      </w:tr>
      <w:tr>
        <w:tc>
          <w:tcPr>
            <w:tcW w:type="dxa" w:w="1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FR-IMP</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变更影响分析</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ChangeRecord、ImpactReport、ImpactCandidate、ImpactPath</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候选排序、等级、完整路径、空报告</w:t>
            </w:r>
          </w:p>
        </w:tc>
      </w:tr>
      <w:tr>
        <w:tc>
          <w:tcPr>
            <w:tcW w:type="dxa" w:w="1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FR-TKT</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复核与工单协同</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CandidateReview、AnalysisTicketLink、TicketCreationPort</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人工确认、重复提示、事务回滚</w:t>
            </w:r>
          </w:p>
        </w:tc>
      </w:tr>
      <w:tr>
        <w:tc>
          <w:tcPr>
            <w:tcW w:type="dxa" w:w="1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FR-SEC</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身份权限与留痕</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JWT/RBAC、SourceAdapter、OperationLog</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401/403、受限标记、关键操作记录</w:t>
            </w:r>
          </w:p>
        </w:tc>
      </w:tr>
    </w:tbl>
    <w:p>
      <w:pPr>
        <w:ind w:firstLine="420"/>
        <w:jc w:val="both"/>
      </w:pPr>
      <w:r>
        <w:t>为便于理解，工件是能够被单独识别和关联的内容，例如一项需求、一条参数、一门课程或一张工单；版本是工件在某一时刻的固定记录；API是前端调用后端功能的接口；JWT是登录后随请求携带的身份凭证；RBAC是按照角色限制操作权限的方法；来源适配器是把不同模块的数据转换成统一读取方式的连接层；事务表示一组数据库写入要么全部成功，要么全部撤销。上述术语只描述本系统中的具体职责，不表示额外引入独立平台。</w:t>
      </w:r>
    </w:p>
    <w:p>
      <w:pPr>
        <w:pStyle w:val="Heading3"/>
      </w:pPr>
      <w:r>
        <w:t>4.1.2 设计边界与关键取舍</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本小节用于解释没有采用复杂技术的原因。需要说明关系数据库在本研究规模下足够使用，并明确哪些现有数据只能读取。该部分属于设计取舍，不应写成对其他技术的一般否定。</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请撰写“4.1.2 设计边界与关键取舍”。说明系统保持模块化单体和关系数据库，在100个工件、300条关系范围内通过应用层遍历完成查询；不采用Neo4j、Kafka、微服务和机器学习。强调历史销量只读，车辆配置和ADAS说明另建可版本化工件。</w:t>
      </w:r>
    </w:p>
    <w:p>
      <w:pPr>
        <w:ind w:firstLine="420"/>
        <w:jc w:val="both"/>
      </w:pPr>
      <w:r>
        <w:t>系统保持单代码库、单Spring Boot进程和单关系数据库。模块化单体可通过包边界与服务接口隔离职责，同时避免微服务带来的网络通信、分布式事务和独立部署成本[1][9]。在最多100个工件和300条关系的研究规模下，应用层建立邻接表并执行有限深度遍历即可满足查询需要，关系数据库还能直接复用JPA、事务和Flyway迁移机制。因此，本设计不引入Neo4j、Kafka或额外缓存服务。</w:t>
      </w:r>
    </w:p>
    <w:p>
      <w:pPr>
        <w:ind w:firstLine="420"/>
        <w:jc w:val="both"/>
      </w:pPr>
      <w:r>
        <w:t>追溯层只保存跨域引用和必要版本信息，不替代项目、培训、指南、市场与工单模块。Vehicle Market中的销量记录表示已经发生的历史事实，来源适配器只允许读取。可变化的车型配置、传感器配置、AEB参数和ADAS能力说明作为独立工件维护版本，从而避免使用技术变更反向改写历史销售数据。</w:t>
      </w:r>
    </w:p>
    <w:p>
      <w:pPr>
        <w:pStyle w:val="Heading2"/>
      </w:pPr>
      <w:r>
        <w:t>4.2 总体架构设计</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本节给出系统全局结构，使读者先理解各层和各模块的职责，再阅读数据与算法细节。架构图中的每个模块都应能够在第五章对应到实际包、服务或页面。</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请撰写“4.2 总体架构设计”的引导段。说明系统延续React、Spring Boot、Spring Security、JPA、PostgreSQL和Flyway基线，并在模块化单体内新增Traceability模块。描述表现层、接口层、应用领域层、适配层和数据层。</w:t>
      </w:r>
    </w:p>
    <w:p>
      <w:pPr>
        <w:ind w:firstLine="420"/>
        <w:jc w:val="both"/>
      </w:pPr>
      <w:r>
        <w:t>总体架构延续ODS前后端分离模式。React Web负责工件检索、关系维护、追溯查询和影响报告交互；Spring Boot REST接口负责参数校验与响应封装；应用领域层实现工件版本、关系规则、图遍历、影响评分、人工复核和工单事务；来源适配层连接现有项目、市场、培训、内容和工单服务；数据层通过Spring Data JPA访问PostgreSQL，正式结构由Flyway管理，H2仅用于本地快速启动和自动测试。</w:t>
      </w:r>
    </w:p>
    <w:p>
      <w:pPr>
        <w:pStyle w:val="FigurePlaceholder"/>
        <w:jc w:val="center"/>
      </w:pPr>
      <w:r>
        <w:t>【这里需要增加系统总体架构图，按表现层、REST接口层、追溯应用领域层、来源适配层和数据层分层；标出React、Spring Boot、JWT/RBAC、JPA、PostgreSQL/Flyway及现有Project、Vehicle Market、Academy、Knowledge、Workspace模块】</w:t>
      </w:r>
    </w:p>
    <w:p>
      <w:pPr>
        <w:pStyle w:val="Caption"/>
        <w:keepNext/>
        <w:jc w:val="center"/>
      </w:pPr>
      <w:r>
        <w:t>图4.1 系统总体架构</w:t>
      </w:r>
    </w:p>
    <w:p>
      <w:pPr>
        <w:pStyle w:val="Heading3"/>
      </w:pPr>
      <w:r>
        <w:t>4.2.1 分层职责</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本小节逐层说明输入、处理和输出，重点解释权限校验位于接口层与业务层两个位置：接口层阻止无角色请求，业务层根据来源对象再次判断可见性。</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请撰写“4.2.1 分层职责”，按前端表现层、REST接口层、应用领域层、来源适配层和数据持久层分别说明职责。说明接口统一使用/api/v1和JSON，业务规则不放在React组件中。</w:t>
      </w:r>
    </w:p>
    <w:p>
      <w:pPr>
        <w:ind w:firstLine="420"/>
        <w:jc w:val="both"/>
      </w:pPr>
      <w:r>
        <w:t>表现层只负责收集查询或变更参数、展示候选列表和展开解释路径，不承担影响评分和权限决策。REST接口层沿用/api/v1、JSON成功响应和统一错误结构，完成字段格式、深度范围及请求状态校验。应用领域层集中保存不依赖页面的业务规则，包括版本不可覆盖、关系方向固定、循环终止、候选评分、复核状态和工单创建前置条件。</w:t>
      </w:r>
    </w:p>
    <w:p>
      <w:pPr>
        <w:ind w:firstLine="420"/>
        <w:jc w:val="both"/>
      </w:pPr>
      <w:r>
        <w:t>来源适配层将追溯模块使用的统一工件引用转换为原模块对象，并返回对象是否存在、当前用户是否可见、显示名称和详情地址。该层避免追溯服务直接依赖每个业务仓库。数据持久层保存工件身份、不可变版本、有效关系、变更报告、解释路径、工单链接和操作日志，并利用数据库约束与应用层校验共同保证一致性。</w:t>
      </w:r>
    </w:p>
    <w:p>
      <w:pPr>
        <w:pStyle w:val="Heading3"/>
      </w:pPr>
      <w:r>
        <w:t>4.2.2 模块划分与依赖关系</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本小节将功能拆成可以逐步实现的模块。模块数量应足够表达职责，但不能细化成大量微服务。依赖箭头应从调用方指向被调用方，并强调现有业务模块不反向依赖追溯内部实体。</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请撰写“4.2.2 模块划分与依赖关系”。列出工件登记、关系管理、追溯查询、影响分析、人工复核、工单协同、来源权限适配和操作日志八个模块，说明调用关系和输入输出。</w:t>
      </w:r>
    </w:p>
    <w:p>
      <w:pPr>
        <w:pStyle w:val="Caption"/>
        <w:keepNext/>
        <w:jc w:val="center"/>
      </w:pPr>
      <w:r>
        <w:t>表4.2 新增模块及职责</w:t>
      </w:r>
    </w:p>
    <w:tbl>
      <w:tblPr>
        <w:tblStyle w:val="TableGrid"/>
        <w:tblW w:type="dxa" w:w="9000"/>
        <w:jc w:val="center"/>
        <w:tblLayout w:type="fixed"/>
        <w:tblLook w:firstColumn="1" w:firstRow="1" w:lastColumn="0" w:lastRow="0" w:noHBand="0" w:noVBand="1" w:val="04A0"/>
        <w:tblInd w:w="120" w:type="dxa"/>
      </w:tblPr>
      <w:tblGrid>
        <w:gridCol w:w="1750"/>
        <w:gridCol w:w="3250"/>
        <w:gridCol w:w="2350"/>
        <w:gridCol w:w="1650"/>
      </w:tblGrid>
      <w:tr>
        <w:trPr>
          <w:tblHeader w:val="true"/>
        </w:trPr>
        <w:tc>
          <w:tcPr>
            <w:tcW w:type="dxa" w:w="17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模块</w:t>
            </w:r>
          </w:p>
        </w:tc>
        <w:tc>
          <w:tcPr>
            <w:tcW w:type="dxa" w:w="32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主要职责</w:t>
            </w:r>
          </w:p>
        </w:tc>
        <w:tc>
          <w:tcPr>
            <w:tcW w:type="dxa" w:w="23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主要输入</w:t>
            </w:r>
          </w:p>
        </w:tc>
        <w:tc>
          <w:tcPr>
            <w:tcW w:type="dxa" w:w="16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主要输出</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工件登记</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建立稳定工件身份并追加不可变版本</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来源模块、业务标识、类型、版本</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工件及当前版本</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关系管理</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建立、校验、停用或恢复有向关系</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源版本、目标版本、关系类型、依据</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有效关系或校验错误</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追溯查询</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执行正向、反向和有限深度遍历</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源版本、方向、深度、筛选条件</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节点、边、完整路径和截断标记</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影响分析</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生成候选、分值、等级和主解释路径</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变更记录、可见关系图、评分参数</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持久化影响报告</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人工复核</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保存确认、排除或待定结论</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候选项、复核状态、说明</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已复核候选集合</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工单协同</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二次确认并批量创建关联工单</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已确认候选、负责人、优先级</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每个目标一张工单及链接</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来源权限适配</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核对来源对象、显示字段和可见性</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工件来源引用、当前用户</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可见摘要或受限标记</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操作日志</w:t>
            </w:r>
          </w:p>
        </w:tc>
        <w:tc>
          <w:tcPr>
            <w:tcW w:type="dxa" w:w="3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记录关键写操作及结果</w:t>
            </w:r>
          </w:p>
        </w:tc>
        <w:tc>
          <w:tcPr>
            <w:tcW w:type="dxa" w:w="2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操作者、动作、对象、结果</w:t>
            </w:r>
          </w:p>
        </w:tc>
        <w:tc>
          <w:tcPr>
            <w:tcW w:type="dxa" w:w="1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可检索的最小留痕</w:t>
            </w:r>
          </w:p>
        </w:tc>
      </w:tr>
    </w:tbl>
    <w:p>
      <w:pPr>
        <w:ind w:firstLine="420"/>
        <w:jc w:val="both"/>
      </w:pPr>
      <w:r>
        <w:t>工件登记和关系管理构成基础模块；追溯查询只依赖工件、关系与来源权限适配；影响分析复用追溯查询但将结果持久化；人工复核只修改候选复核字段；工单协同通过工单创建端口调用现有Workspace域；操作日志由各写服务调用。现有业务模块仅通过适配器暴露必要读取能力，不直接引用ImpactReport或ImpactCandidate等内部对象。</w:t>
      </w:r>
    </w:p>
    <w:p>
      <w:pPr>
        <w:pStyle w:val="FigurePlaceholder"/>
        <w:jc w:val="center"/>
      </w:pPr>
      <w:r>
        <w:t>【这里需要增加模块依赖图，包含Artifact、Relation、Trace Query、Impact Analysis、Review、Ticket Collaboration、Source Adapter和Operation Log；箭头标明Impact调用Trace Query、Ticket Collaboration通过端口调用Workspace】</w:t>
      </w:r>
    </w:p>
    <w:p>
      <w:pPr>
        <w:pStyle w:val="Caption"/>
        <w:keepNext/>
        <w:jc w:val="center"/>
      </w:pPr>
      <w:r>
        <w:t>图4.2 追溯与变更分析模块依赖关系</w:t>
      </w:r>
    </w:p>
    <w:p>
      <w:pPr>
        <w:pStyle w:val="Heading3"/>
      </w:pPr>
      <w:r>
        <w:t>4.2.3 运行与部署视图</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本小节说明设计如何在现有Demo中运行，避免把开发环境和正式环境混为一体。需要明确H2只用于快速启动和测试，正式模式使用PostgreSQL与Flyway。</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请撰写“4.2.3 运行与部署视图”。说明浏览器通过Nginx或开发代理访问React和Spring Boot，JWT随请求发送；本地/测试使用H2，正式结构以PostgreSQL和Flyway为准；密钥通过环境变量配置。不得声称已经完成企业部署。</w:t>
      </w:r>
    </w:p>
    <w:p>
      <w:pPr>
        <w:ind w:firstLine="420"/>
        <w:jc w:val="both"/>
      </w:pPr>
      <w:r>
        <w:t>运行时由浏览器、React前端、Spring Boot后端和数据库组成。用户登录后获得JWT，前端在后续请求中携带令牌，Spring Security完成身份和方法级角色校验。开发模式可由Vite代理访问后端；组合部署模式可由Nginx统一转发/api路径。追溯模块与现有模块位于同一后端进程，并共享事务管理器与数据库连接池。</w:t>
      </w:r>
    </w:p>
    <w:p>
      <w:pPr>
        <w:ind w:firstLine="420"/>
        <w:jc w:val="both"/>
      </w:pPr>
      <w:r>
        <w:t>本地快速启动和自动测试允许使用H2；正式数据库结构由Flyway脚本在PostgreSQL上创建，并由JPA执行结构校验。JWT密钥、种子开关和数据库口令通过环境变量注入，代码库不保存正式密钥。该部署视图用于指导Demo后续开发和本地验证，不构成企业生产部署或可用性承诺。</w:t>
      </w:r>
    </w:p>
    <w:p>
      <w:pPr>
        <w:pStyle w:val="Heading2"/>
      </w:pPr>
      <w:r>
        <w:t>4.3 统一工件与追溯关系模型</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本节是数据设计的概念基础。先解释工件与版本，再解释来源适配器和关系方向。读者应能使用AEB例子理解抽象概念，且不需要了解图数据库术语。</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请撰写“4.3 统一工件与追溯关系模型”的引导段。说明工件是可被识别和关联的业务或工程对象，版本是某一时刻的不可变记录，关系是两个具体版本之间带方向的连接。</w:t>
      </w:r>
    </w:p>
    <w:p>
      <w:pPr>
        <w:ind w:firstLine="420"/>
        <w:jc w:val="both"/>
      </w:pPr>
      <w:r>
        <w:t>统一追溯模型将不同模块中的对象抽象为工件。工件表示持续存在的业务身份，例如“AEB-TTC参数”或“AEB基础课程”；工件版本表示该对象在某次变更后的确定状态；追溯关系连接两个具体版本，并说明二者为何相关。稳定身份与不可变版本分离后，系统既能查询当前关系，也能解释历史分析报告使用了哪些版本。该建模方式符合追溯信息应保留来源、对象和关系上下文的研究结论[3][4]。</w:t>
      </w:r>
    </w:p>
    <w:p>
      <w:pPr>
        <w:pStyle w:val="Heading3"/>
      </w:pPr>
      <w:r>
        <w:t>4.3.1 工件身份与不可变版本</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本小节需要用简单例子解释为什么不能直接覆盖原记录。建议使用TTC从2.0 s变化为2.5 s：工件身份不变，新增版本V2，V1继续供旧报告引用。</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请撰写“4.3.1 工件身份与不可变版本”。定义Artifact和ArtifactVersion，说明来源模块、对象类型、业务标识组成稳定唯一键；版本创建后不可修改，Artifact.currentVersionId指向当前版本。用TTC V1/V2举例。</w:t>
      </w:r>
    </w:p>
    <w:p>
      <w:pPr>
        <w:ind w:firstLine="420"/>
        <w:jc w:val="both"/>
      </w:pPr>
      <w:r>
        <w:t>Artifact保存稳定身份，唯一键由sourceModule、sourceObjectType和sourceObjectId组成，分别表示来源模块、来源对象类别和业务标识。ArtifactVersion保存versionLabel、displayName、status、owner、contentSummary、sourceUpdatedAt和contentFingerprint等版本字段。Artifact通过currentVersionId指向当前版本，同一工件的versionLabel保持唯一。</w:t>
      </w:r>
    </w:p>
    <w:p>
      <w:pPr>
        <w:ind w:firstLine="420"/>
        <w:jc w:val="both"/>
      </w:pPr>
      <w:r>
        <w:t>版本一经创建不再覆盖。以TTC阈值为例，2.0 s对应版本V1，计划调整为2.5 s时新增版本V2，并在同一事务中更新Artifact的当前版本指针。V1继续被原分析报告和历史关系引用，V2用于新的关系与分析。该方式无需复制来源对象全部内容，只保存识别、显示和验证所需的最小快照。</w:t>
      </w:r>
    </w:p>
    <w:p>
      <w:pPr>
        <w:pStyle w:val="Heading3"/>
      </w:pPr>
      <w:r>
        <w:t>4.3.2 工件类型与来源适配器</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本小节需要把抽象工件落到ODS现有模块。表格应区分“直接引用原记录”和“追溯模块内新建”，并明确每类对象是只读还是可版本化。</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请撰写“4.3.2 工件类型与来源适配器”。覆盖项目、车辆配置、市场分析说明、培训课程、知识节点、视频指南、工单、需求、算法参数、硬件配置和测试用例。说明历史销量只读，车辆配置不是销售记录。</w:t>
      </w:r>
    </w:p>
    <w:p>
      <w:pPr>
        <w:pStyle w:val="Caption"/>
        <w:keepNext/>
        <w:jc w:val="center"/>
      </w:pPr>
      <w:r>
        <w:t>表4.3 工件类型、来源及维护方式</w:t>
      </w:r>
    </w:p>
    <w:tbl>
      <w:tblPr>
        <w:tblStyle w:val="TableGrid"/>
        <w:tblW w:type="dxa" w:w="9000"/>
        <w:jc w:val="center"/>
        <w:tblLayout w:type="fixed"/>
        <w:tblLook w:firstColumn="1" w:firstRow="1" w:lastColumn="0" w:lastRow="0" w:noHBand="0" w:noVBand="1" w:val="04A0"/>
        <w:tblInd w:w="120" w:type="dxa"/>
      </w:tblPr>
      <w:tblGrid>
        <w:gridCol w:w="1800"/>
        <w:gridCol w:w="2800"/>
        <w:gridCol w:w="1800"/>
        <w:gridCol w:w="2600"/>
      </w:tblGrid>
      <w:tr>
        <w:trPr>
          <w:tblHeader w:val="true"/>
        </w:trPr>
        <w:tc>
          <w:tcPr>
            <w:tcW w:type="dxa" w:w="1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工件类型</w:t>
            </w:r>
          </w:p>
        </w:tc>
        <w:tc>
          <w:tcPr>
            <w:tcW w:type="dxa" w:w="2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示例</w:t>
            </w:r>
          </w:p>
        </w:tc>
        <w:tc>
          <w:tcPr>
            <w:tcW w:type="dxa" w:w="1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来源</w:t>
            </w:r>
          </w:p>
        </w:tc>
        <w:tc>
          <w:tcPr>
            <w:tcW w:type="dxa" w:w="26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维护方式</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项目与任务</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AEB功能开发项目、PMO节点</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Project/PMO</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引用原记录，按原模块权限读取</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需求与安全目标</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AEB触发要求、安全制动距离目标</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 Local</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追溯模块内新增版本</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算法与参数</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TTC阈值、制动策略参数</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 Local</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追溯模块内新增版本</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硬件配置</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前向雷达型号、距离、视场角、延迟</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 Local</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追溯模块内新增版本</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车辆与ADAS配置</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车型AEB配置和能力说明</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 Local</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独立于历史销量，允许新增版本</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市场分析说明</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车型ADAS分布说明</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Vehicle Market</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引用或生成说明工件；销量事实只读</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培训与知识</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AEB课程、知识节点</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Academy/Knowledge</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引用原记录，按责任人维护</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操作指南</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AEB使用限制视频指南</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Video Guideline</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引用原记录，管理员维护来源</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测试工件</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功能测试用例、预期结果</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 Local</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追溯模块内新增版本</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处理工单</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复核课程或车型说明的任务</w:t>
            </w:r>
          </w:p>
        </w:tc>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Workspace</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确认影响后创建并建立链接</w:t>
            </w:r>
          </w:p>
        </w:tc>
      </w:tr>
    </w:tbl>
    <w:p>
      <w:pPr>
        <w:ind w:firstLine="420"/>
        <w:jc w:val="both"/>
      </w:pPr>
      <w:r>
        <w:t>SourceAdapter为来源模块提供统一读取接口，至少包含exists、canRead、loadSummary和buildDetailUrl四项能力。ProjectSourceAdapter、MarketSourceAdapter、TrainingSourceAdapter、ContentSourceAdapter和TicketSourceAdapter分别封装现有服务。第一版Demo允许所有已认证角色读取其来源模块可见对象，但写操作仍按角色限制；当canRead返回false时，只输出restricted=true和“受限工件存在”，不返回名称、摘要或业务字段，并停止从该节点继续扩展。</w:t>
      </w:r>
    </w:p>
    <w:p>
      <w:pPr>
        <w:pStyle w:val="Heading3"/>
      </w:pPr>
      <w:r>
        <w:t>4.3.3 关系类型、方向与合法性规则</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本小节必须区分“关系箭头方向”和“变更传播方向”。例如A依赖B可写为A→B，但B变化时影响可能沿反方向到A。通过RelationType中的传播模式解决这一差异。</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请撰写“4.3.3 关系类型、方向与合法性规则”。列出分解、约束、配置、实现、验证、依赖、说明和触发任务八类关系，给出固定箭头语义和FORWARD/REVERSE传播模式。说明重复边、自连接和停用规则。</w:t>
      </w:r>
    </w:p>
    <w:p>
      <w:pPr>
        <w:pStyle w:val="Caption"/>
        <w:keepNext/>
        <w:jc w:val="center"/>
      </w:pPr>
      <w:r>
        <w:t>表4.4 追溯关系类型及传播规则</w:t>
      </w:r>
    </w:p>
    <w:tbl>
      <w:tblPr>
        <w:tblStyle w:val="TableGrid"/>
        <w:tblW w:type="dxa" w:w="9000"/>
        <w:jc w:val="center"/>
        <w:tblLayout w:type="fixed"/>
        <w:tblLook w:firstColumn="1" w:firstRow="1" w:lastColumn="0" w:lastRow="0" w:noHBand="0" w:noVBand="1" w:val="04A0"/>
        <w:tblInd w:w="120" w:type="dxa"/>
      </w:tblPr>
      <w:tblGrid>
        <w:gridCol w:w="1750"/>
        <w:gridCol w:w="3000"/>
        <w:gridCol w:w="1450"/>
        <w:gridCol w:w="2800"/>
      </w:tblGrid>
      <w:tr>
        <w:trPr>
          <w:tblHeader w:val="true"/>
        </w:trPr>
        <w:tc>
          <w:tcPr>
            <w:tcW w:type="dxa" w:w="17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关系代码</w:t>
            </w:r>
          </w:p>
        </w:tc>
        <w:tc>
          <w:tcPr>
            <w:tcW w:type="dxa" w:w="30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固定语义（源→目标）</w:t>
            </w:r>
          </w:p>
        </w:tc>
        <w:tc>
          <w:tcPr>
            <w:tcW w:type="dxa" w:w="14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影响传播</w:t>
            </w:r>
          </w:p>
        </w:tc>
        <w:tc>
          <w:tcPr>
            <w:tcW w:type="dxa" w:w="2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AEB示例</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DECOMPOSES</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上层目标→下层要求</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安全目标→安全制动距离要求</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CONSTRAINS</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约束条件→受约束设计</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安全距离要求→制动策略</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CONFIGURES</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配置项→被配置功能</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雷达配置→AEB算法配置</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IMPLEMENTED_BY</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需求→实现或设计</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触发要求→TTC参数</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VERIFIED_BY</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被验证对象→测试工件</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TTC参数→阈值测试用例</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DEPENDS_ON</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依赖对象→前置对象</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REVERSE</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AEB算法→前向雷达</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DESCRIBED_BY</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技术对象→说明材料</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AEB配置→课程或市场说明</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TRIGGERS_TASK</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受影响工件→处理工单</w:t>
            </w:r>
          </w:p>
        </w:tc>
        <w:tc>
          <w:tcPr>
            <w:tcW w:type="dxa" w:w="14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确认的课程工件→课程复核工单</w:t>
            </w:r>
          </w:p>
        </w:tc>
      </w:tr>
    </w:tbl>
    <w:p>
      <w:pPr>
        <w:ind w:firstLine="420"/>
        <w:jc w:val="both"/>
      </w:pPr>
      <w:r>
        <w:t>TraceRelation连接sourceVersionId与targetVersionId，并保存relationTypeId、rationale、createdBy、createdAt、active、deactivatedReason和deactivatedAt。系统拒绝源版本与目标版本相同的自连接，并对“源版本、目标版本、关系类型”建立唯一约束。已参与报告的关系不物理删除；停用后默认不参与新查询，但历史报告仍通过路径步骤保留原关系标识。</w:t>
      </w:r>
    </w:p>
    <w:p>
      <w:pPr>
        <w:ind w:firstLine="420"/>
        <w:jc w:val="both"/>
      </w:pPr>
      <w:r>
        <w:t>RelationTypeRule限制允许的源类型和目标类型。例如VERIFIED_BY的目标必须为测试工件，DESCRIBED_BY的目标可以为市场说明、课程、知识或指南。管理员可以停用关系类型，但不能改变已存在关系的语义。新增类型时必须给出中文名称、源到目标的方向说明、影响传播模式和初始权重。</w:t>
      </w:r>
    </w:p>
    <w:p>
      <w:pPr>
        <w:pStyle w:val="Heading3"/>
      </w:pPr>
      <w:r>
        <w:t>4.3.4 AEB跨域追溯实例</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本小节用一张小图把模型讲清楚。节点控制在12至15个，覆盖技术工件和现有业务模块；图中箭头应与表4.4一致，不能为了视觉方便任意反转。</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请撰写“4.3.4 AEB跨域追溯实例”。从安全制动距离目标、AEB要求、TTC参数、雷达配置、算法配置和测试用例，连接到车型ADAS说明、市场分析、培训课程、知识节点、视频指南和工单。说明该图是构造数据，不是真实车型工程基线。</w:t>
      </w:r>
    </w:p>
    <w:p>
      <w:pPr>
        <w:ind w:firstLine="420"/>
        <w:jc w:val="both"/>
      </w:pPr>
      <w:r>
        <w:t>AEB示例以安全制动距离目标和AEB触发要求作为上游工件，向下连接TTC阈值、制动策略、前向雷达配置、算法配置和测试用例。车型ADAS说明由算法与硬件配置共同约束，市场分析、培训课程、知识节点和视频指南通过DESCRIBED_BY关系连接到技术对象。汽车软件工程同时涉及软件、控制、硬件及验证对象之间的协同[5]，该实例据此选择跨域节点。用户确认某一说明材料受到影响并创建工单后，系统可将工单登记为工件，再以TRIGGERS_TASK关系从受影响工件连接到工单。</w:t>
      </w:r>
    </w:p>
    <w:p>
      <w:pPr>
        <w:ind w:firstLine="420"/>
        <w:jc w:val="both"/>
      </w:pPr>
      <w:r>
        <w:t>该实例只用于展示跨域关系和验证遍历结果。TTC数值、雷达参数及节点之间的关系由固定种子脚本生成，不代表任何真实车型的标定、测试结论或安全认证状态。第六章应公开节点清单、关系清单和人工答案集，使查询结果可以重复核对。</w:t>
      </w:r>
    </w:p>
    <w:p>
      <w:pPr>
        <w:pStyle w:val="FigurePlaceholder"/>
        <w:jc w:val="center"/>
      </w:pPr>
      <w:r>
        <w:t>【这里需要增加AEB跨域追溯实例图，包含安全目标、需求、TTC参数、雷达配置、算法配置、测试用例、车型ADAS说明、市场分析、培训课程、知识节点、视频指南和工单共12至15个节点；按表4.4标注关系方向】</w:t>
      </w:r>
    </w:p>
    <w:p>
      <w:pPr>
        <w:pStyle w:val="Caption"/>
        <w:keepNext/>
        <w:jc w:val="center"/>
      </w:pPr>
      <w:r>
        <w:t>图4.3 AEB跨域工件追溯实例</w:t>
      </w:r>
    </w:p>
    <w:p>
      <w:pPr>
        <w:pStyle w:val="Heading2"/>
      </w:pPr>
      <w:r>
        <w:t>4.4 追溯查询设计</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本节说明系统如何在关系图中查找上游和下游对象。算法应保持简单、有限且可测试，必须写清输入、输出、终止条件和权限处理，而不是只写“使用图算法”。</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请撰写“4.4 追溯查询设计”的引导段。说明查询以工件版本为起点，使用有边界的广度优先搜索执行正向或反向追溯，默认深度3、最大深度5、最多访问100个节点，并返回路径和截断原因。</w:t>
      </w:r>
    </w:p>
    <w:p>
      <w:pPr>
        <w:ind w:firstLine="420"/>
        <w:jc w:val="both"/>
      </w:pPr>
      <w:r>
        <w:t>追溯查询将有效TraceRelation视为有向边，将ArtifactVersion视为节点。系统从用户选定的版本出发，按正向或反向构造邻接表，并采用广度优先搜索逐层访问相邻节点[8]。广度优先方式能够优先获得跳数较少的解释路径，且在设定深度和节点上限后容易保证终止，适合本研究的小规模关系数据。</w:t>
      </w:r>
    </w:p>
    <w:p>
      <w:pPr>
        <w:pStyle w:val="Heading3"/>
      </w:pPr>
      <w:r>
        <w:t>4.4.1 查询输入与结果结构</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本小节把查询接口写成明确契约。需要逐项解释每个参数的作用，并说明返回值不仅是节点列表，还包括边、每个目标的一条完整路径和多种截断标记。</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请撰写“4.4.1 查询输入与结果结构”。定义sourceVersionId、direction、maxDepth、maxNodes、artifactTypeFilters和relationTypeFilters；默认深度3，最大5，maxNodes最大100。定义nodes、relations、paths、truncatedByDepth、truncatedByNodeLimit和restrictedCount输出。</w:t>
      </w:r>
    </w:p>
    <w:p>
      <w:pPr>
        <w:pStyle w:val="Caption"/>
        <w:keepNext/>
        <w:jc w:val="center"/>
      </w:pPr>
      <w:r>
        <w:t>表4.5 追溯查询参数及约束</w:t>
      </w:r>
    </w:p>
    <w:tbl>
      <w:tblPr>
        <w:tblStyle w:val="TableGrid"/>
        <w:tblW w:type="dxa" w:w="9000"/>
        <w:jc w:val="center"/>
        <w:tblLayout w:type="fixed"/>
        <w:tblLook w:firstColumn="1" w:firstRow="1" w:lastColumn="0" w:lastRow="0" w:noHBand="0" w:noVBand="1" w:val="04A0"/>
        <w:tblInd w:w="120" w:type="dxa"/>
      </w:tblPr>
      <w:tblGrid>
        <w:gridCol w:w="2100"/>
        <w:gridCol w:w="3400"/>
        <w:gridCol w:w="1500"/>
        <w:gridCol w:w="2000"/>
      </w:tblGrid>
      <w:tr>
        <w:trPr>
          <w:tblHeader w:val="true"/>
        </w:trPr>
        <w:tc>
          <w:tcPr>
            <w:tcW w:type="dxa" w:w="21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参数</w:t>
            </w:r>
          </w:p>
        </w:tc>
        <w:tc>
          <w:tcPr>
            <w:tcW w:type="dxa" w:w="34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含义</w:t>
            </w:r>
          </w:p>
        </w:tc>
        <w:tc>
          <w:tcPr>
            <w:tcW w:type="dxa" w:w="15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默认值</w:t>
            </w:r>
          </w:p>
        </w:tc>
        <w:tc>
          <w:tcPr>
            <w:tcW w:type="dxa" w:w="20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校验规则</w:t>
            </w:r>
          </w:p>
        </w:tc>
      </w:tr>
      <w:tr>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sourceVersionId</w:t>
            </w:r>
          </w:p>
        </w:tc>
        <w:tc>
          <w:tcPr>
            <w:tcW w:type="dxa" w:w="3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查询起点的工件版本</w:t>
            </w:r>
          </w:p>
        </w:tc>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无</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必填、存在且用户可见</w:t>
            </w:r>
          </w:p>
        </w:tc>
      </w:tr>
      <w:tr>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direction</w:t>
            </w:r>
          </w:p>
        </w:tc>
        <w:tc>
          <w:tcPr>
            <w:tcW w:type="dxa" w:w="3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正向FORWARD或反向REVERSE</w:t>
            </w:r>
          </w:p>
        </w:tc>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FORWARD</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只允许两个枚举值</w:t>
            </w:r>
          </w:p>
        </w:tc>
      </w:tr>
      <w:tr>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maxDepth</w:t>
            </w:r>
          </w:p>
        </w:tc>
        <w:tc>
          <w:tcPr>
            <w:tcW w:type="dxa" w:w="3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允许经过的最大关系数</w:t>
            </w:r>
          </w:p>
        </w:tc>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3</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1至5</w:t>
            </w:r>
          </w:p>
        </w:tc>
      </w:tr>
      <w:tr>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maxNodes</w:t>
            </w:r>
          </w:p>
        </w:tc>
        <w:tc>
          <w:tcPr>
            <w:tcW w:type="dxa" w:w="3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最多返回的不同节点数</w:t>
            </w:r>
          </w:p>
        </w:tc>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100</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1至100</w:t>
            </w:r>
          </w:p>
        </w:tc>
      </w:tr>
      <w:tr>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artifactTypeFilters</w:t>
            </w:r>
          </w:p>
        </w:tc>
        <w:tc>
          <w:tcPr>
            <w:tcW w:type="dxa" w:w="3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保留的目标工件类型</w:t>
            </w:r>
          </w:p>
        </w:tc>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全部</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代码必须为有效且启用类型</w:t>
            </w:r>
          </w:p>
        </w:tc>
      </w:tr>
      <w:tr>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relationTypeFilters</w:t>
            </w:r>
          </w:p>
        </w:tc>
        <w:tc>
          <w:tcPr>
            <w:tcW w:type="dxa" w:w="3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允许遍历的关系类型</w:t>
            </w:r>
          </w:p>
        </w:tc>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全部有效类型</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停用关系和停用类型默认排除</w:t>
            </w:r>
          </w:p>
        </w:tc>
      </w:tr>
    </w:tbl>
    <w:p>
      <w:pPr>
        <w:ind w:firstLine="420"/>
        <w:jc w:val="both"/>
      </w:pPr>
      <w:r>
        <w:t>TraceQueryResult包含可见节点摘要、实际使用的关系、每个目标节点的一条最短完整路径、查询耗时和结果状态。truncatedByDepth表示仍存在未展开边但已达到深度，truncatedByNodeLimit表示不同节点数量已达到上限，restrictedCount表示发现了无权查看的相邻对象。受限对象仅以匿名占位节点表示，不进入后续扩展，也不参与类型筛选统计。</w:t>
      </w:r>
    </w:p>
    <w:p>
      <w:pPr>
        <w:pStyle w:val="Heading3"/>
      </w:pPr>
      <w:r>
        <w:t>4.4.2 有边界的广度优先遍历</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本小节给出足够实现的伪代码逻辑，但不粘贴Java源码。需要说明队列、已访问集合、前驱映射和终止条件，并给出算法复杂度。</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请撰写“4.4.2 有边界的广度优先遍历”，说明先读取有效可见关系并构造邻接表，再使用队列逐层遍历；visited防止重复扩展，predecessor恢复路径；达到深度5或节点100立即停止扩展。给出O(V'+E')复杂度。</w:t>
      </w:r>
    </w:p>
    <w:p>
      <w:pPr>
        <w:ind w:firstLine="420"/>
        <w:jc w:val="both"/>
      </w:pPr>
      <w:r>
        <w:t>查询服务首先按当前用户过滤有效工件和关系，然后分别建立sourceVersionId到出边列表和targetVersionId到入边列表的邻接映射。正向查询读取出边，反向查询读取入边。队列元素包含nodeId和depth；visited保存已经扩展的节点；predecessor保存首次到达节点时的前一节点和关系标识。由于广度优先访问按层进行，首次到达路径即为跳数最少的路径。</w:t>
      </w:r>
    </w:p>
    <w:p>
      <w:pPr>
        <w:ind w:firstLine="420"/>
        <w:jc w:val="both"/>
      </w:pPr>
      <w:r>
        <w:t>处理队首节点时，若depth等于maxDepth，则记录深度截断并跳过扩展；否则依次检查相邻关系。相邻节点不可见时增加restrictedCount并停止该分支；已访问节点不再次入队；新节点加入结果和队列。当不同节点数量达到maxNodes时停止继续入队，并设置节点截断标记。最后依据predecessor从目标反向恢复到源节点，形成有序路径步骤。</w:t>
      </w:r>
    </w:p>
    <w:p>
      <w:pPr>
        <w:ind w:firstLine="420"/>
        <w:jc w:val="both"/>
      </w:pPr>
      <w:r>
        <w:t>设本次查询实际访问V'个节点和E'条关系，邻接表构建与遍历的时间复杂度为O(V'+E')，空间复杂度为O(V'+E')。V'不超过100，E'不超过构造数据中的有效关系总量。复杂度结论用于说明算法边界，不替代第六章的实际响应时间测量。</w:t>
      </w:r>
    </w:p>
    <w:p>
      <w:pPr>
        <w:pStyle w:val="FigurePlaceholder"/>
        <w:jc w:val="center"/>
      </w:pPr>
      <w:r>
        <w:t>【这里需要增加有限深度广度优先查询流程图，包含参数校验、构造邻接表、队列出队、深度判断、权限判断、循环判断、节点上限判断、路径恢复和截断标记】</w:t>
      </w:r>
    </w:p>
    <w:p>
      <w:pPr>
        <w:pStyle w:val="Caption"/>
        <w:keepNext/>
        <w:jc w:val="center"/>
      </w:pPr>
      <w:r>
        <w:t>图4.4 追溯查询处理流程</w:t>
      </w:r>
    </w:p>
    <w:p>
      <w:pPr>
        <w:pStyle w:val="Heading3"/>
      </w:pPr>
      <w:r>
        <w:t>4.4.3 循环、多路径与截断处理</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本小节解释边界情况。循环处理不能简单声称“图中无环”，多路径也不能把全部路径无限返回。设计应明确普通查询保留最短路径，影响分析另行保留得分最高路径。</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请撰写“4.4.3 循环、多路径与截断处理”。说明visited避免A→B→C→A无限循环，普通查询为每个目标保留一条最短路径；达到深度或节点上限时返回已有结果并给出明确警告，不把部分结果伪装成完整结果。</w:t>
      </w:r>
    </w:p>
    <w:p>
      <w:pPr>
        <w:ind w:firstLine="420"/>
        <w:jc w:val="both"/>
      </w:pPr>
      <w:r>
        <w:t>关系图允许存在业务上合理的环，例如需求、测试结论与修订需求形成反馈。查询算法不假定全局无环，而是通过visited避免同一节点被无限扩展。若同一目标存在多条路径，普通追溯查询保留首次发现的最短路径，并在节点摘要中记录可选入边数量；影响分析则按评分规则选择主解释路径。该取舍控制返回数据规模，同时满足每个结果至少具有一条完整路径的要求。</w:t>
      </w:r>
    </w:p>
    <w:p>
      <w:pPr>
        <w:ind w:firstLine="420"/>
        <w:jc w:val="both"/>
      </w:pPr>
      <w:r>
        <w:t>达到深度或节点上限时，系统返回已经发现的合法结果，并在页面顶部显示“结果可能不完整”及具体原因。空结果区分三种状态：确实没有有效关系、筛选条件排除了全部关系、权限边界阻止继续访问。第三种状态只给出受限数量，不披露对象名称和业务字段。</w:t>
      </w:r>
    </w:p>
    <w:p>
      <w:pPr>
        <w:pStyle w:val="Heading3"/>
      </w:pPr>
      <w:r>
        <w:t>4.4.4 查询服务与数据访问策略</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本小节说明关系数据库如何支持图查询。由于数据量小，可以一次读取本次可用边并在内存建立邻接表，避免为每一层逐节点发送数据库查询。</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请撰写“4.4.4 查询服务与数据访问策略”。说明Repository按active、类型和端点批量读取关系，应用层在内存建立邻接表，避免N+1查询；记录查询参数和耗时，但普通只读查询不必保存完整报告。</w:t>
      </w:r>
    </w:p>
    <w:p>
      <w:pPr>
        <w:ind w:firstLine="420"/>
        <w:jc w:val="both"/>
      </w:pPr>
      <w:r>
        <w:t>TraceRelationRepository根据active=true、允许的关系类型和当前数据集批量读取边，ArtifactVersionRepository批量读取端点摘要，应用层随后构建邻接表。该方式避免每访问一个节点就再次发送一条数据库查询，也就是避免常见的N+1查询问题。查询结果作为即时响应返回，不默认持久化全部节点和路径；只有变更影响分析需要将候选及解释路径保存为报告。系统可以在OperationLog中记录查询起点、方向、深度、耗时和结果数量，用于第六章统计，但不记录无权访问对象的字段。</w:t>
      </w:r>
    </w:p>
    <w:p>
      <w:pPr>
        <w:pStyle w:val="Heading2"/>
      </w:pPr>
      <w:r>
        <w:t>4.5 变更影响分析与人工复核设计</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本节描述论文的核心闭环。影响分析只缩小人工检查范围，不代替工程判断。内容顺序应为变更记录、候选生成、评分、路径解释、人工复核和工单事务。</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请撰写“4.5 变更影响分析与人工复核设计”的引导段。说明输入为变更源、变更类型和前后内容，输出为候选工件、排序分数、等级和路径；系统保存初始结果，用户确认后才创建工单。</w:t>
      </w:r>
    </w:p>
    <w:p>
      <w:pPr>
        <w:ind w:firstLine="420"/>
        <w:jc w:val="both"/>
      </w:pPr>
      <w:r>
        <w:t>变更影响分析以ChangeRecord和当前有效关系图为输入，输出ImpactReport、ImpactCandidate和ImpactPath。分析过程沿RelationType定义的传播方向搜索可见节点，并使用关系权重、变更类型匹配因子和路径长度衰减计算候选优先级。评分只表示复核顺序，不表示事故概率、故障概率或真实安全风险。所有候选初始状态为待确认，系统不自动修改任何来源业务对象。</w:t>
      </w:r>
    </w:p>
    <w:p>
      <w:pPr>
        <w:pStyle w:val="Heading3"/>
      </w:pPr>
      <w:r>
        <w:t>4.5.1 变更记录与报告状态</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本小节需要修正第三章UC-03前置条件中的矛盾：分析只要求变更源有效和用户有权限，不要求事先存在关系，因此零候选报告是合法结果。</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请撰写“4.5.1 变更记录与报告状态”。定义ChangeRecord字段和ImpactReport状态GENERATED、UNDER_REVIEW、REVIEWED、TICKETS_CREATED、CLOSED。说明没有关系时仍保存零候选报告，并记录分析参数和截断信息。</w:t>
      </w:r>
    </w:p>
    <w:p>
      <w:pPr>
        <w:ind w:firstLine="420"/>
        <w:jc w:val="both"/>
      </w:pPr>
      <w:r>
        <w:t>ChangeRecord保存sourceVersionId、changeType、beforeContent、afterContent、description、createdBy和createdAt。changeType限定为PARAMETER、HARDWARE、GOAL和OTHER，前三类分别对应TTC阈值、前向雷达配置和安全制动距离目标变化。创建记录时只校验源版本有效、用户可见且具有分析权限，不要求预先存在追溯关系。</w:t>
      </w:r>
    </w:p>
    <w:p>
      <w:pPr>
        <w:ind w:firstLine="420"/>
        <w:jc w:val="both"/>
      </w:pPr>
      <w:r>
        <w:t>ImpactReport保存分析方向、maxDepth、maxNodes、评分规则版本、候选数量、截断标记、发起人和时间。报告状态由GENERATED进入UNDER_REVIEW，所有候选完成处理后进入REVIEWED，成功创建工单后进入TICKETS_CREATED，处理完成后可进入CLOSED。没有可见关系或没有候选时仍生成candidateCount=0的报告，以区分“已执行但无候选”和“分析未执行”。</w:t>
      </w:r>
    </w:p>
    <w:p>
      <w:pPr>
        <w:pStyle w:val="FigurePlaceholder"/>
        <w:jc w:val="center"/>
      </w:pPr>
      <w:r>
        <w:t>【这里需要增加影响报告状态图，状态包括GENERATED、UNDER_REVIEW、REVIEWED、TICKETS_CREATED和CLOSED；标出零候选报告可由GENERATED直接进入REVIEWED】</w:t>
      </w:r>
    </w:p>
    <w:p>
      <w:pPr>
        <w:pStyle w:val="Caption"/>
        <w:keepNext/>
        <w:jc w:val="center"/>
      </w:pPr>
      <w:r>
        <w:t>图4.5 影响报告状态转换</w:t>
      </w:r>
    </w:p>
    <w:p>
      <w:pPr>
        <w:pStyle w:val="Heading3"/>
      </w:pPr>
      <w:r>
        <w:t>4.5.2 候选生成与简化评分规则</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本小节给出简单、能手工复算的评分公式。权重是Demo初始规则，不应声称由企业历史数据训练。所有可达候选都保留，等级只用于排序。</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请撰写“4.5.2 候选生成与简化评分规则”。使用Score(v)=100×max[m(c,p)×关系权重乘积×0.85^(d-1)]。m为1.0或0.85；高≥70，中40至小于70，低&lt;40。说明权重来自可解释规则，不是概率。</w:t>
      </w:r>
    </w:p>
    <w:p>
      <w:pPr>
        <w:ind w:firstLine="420"/>
        <w:jc w:val="both"/>
      </w:pPr>
      <w:r>
        <w:t>影响分析复用有边界遍历，但邻接方向由RelationType的impactPropagationMode决定。对每条从变更源到候选v的合法路径p，路径长度记为d，关系权重记为w(e)。若路径中包含与变更类型相匹配的关键关系，则匹配因子m(c,p)取1.00，否则取0.85。候选分数定义为Score(v)=100×max_p[m(c,p)×∏w(e)×0.85^(d-1)]，并限制在0至100范围内。系统选择得分最高路径作为主解释路径。</w:t>
      </w:r>
    </w:p>
    <w:p>
      <w:pPr>
        <w:ind w:firstLine="420"/>
        <w:jc w:val="both"/>
      </w:pPr>
      <w:r>
        <w:t>参数变化的关键关系为CONSTRAINS、CONFIGURES、VERIFIED_BY和DESCRIBED_BY；硬件变化的关键关系为CONFIGURES、DEPENDS_ON、IMPLEMENTED_BY和VERIFIED_BY；目标变化的关键关系为DECOMPOSES、CONSTRAINS、IMPLEMENTED_BY和VERIFIED_BY。该匹配表仅用于Demo的可解释排序，不依赖历史训练数据。关系权重与等级阈值作为版本化配置保存，使第六章能够公开并复算结果。</w:t>
      </w:r>
    </w:p>
    <w:p>
      <w:pPr>
        <w:pStyle w:val="Caption"/>
        <w:keepNext/>
        <w:jc w:val="center"/>
      </w:pPr>
      <w:r>
        <w:t>表4.6 关系初始权重与评分等级</w:t>
      </w:r>
    </w:p>
    <w:tbl>
      <w:tblPr>
        <w:tblStyle w:val="TableGrid"/>
        <w:tblW w:type="dxa" w:w="9000"/>
        <w:jc w:val="center"/>
        <w:tblLayout w:type="fixed"/>
        <w:tblLook w:firstColumn="1" w:firstRow="1" w:lastColumn="0" w:lastRow="0" w:noHBand="0" w:noVBand="1" w:val="04A0"/>
        <w:tblInd w:w="120" w:type="dxa"/>
      </w:tblPr>
      <w:tblGrid>
        <w:gridCol w:w="2650"/>
        <w:gridCol w:w="1350"/>
        <w:gridCol w:w="3000"/>
        <w:gridCol w:w="2000"/>
      </w:tblGrid>
      <w:tr>
        <w:trPr>
          <w:tblHeader w:val="true"/>
        </w:trPr>
        <w:tc>
          <w:tcPr>
            <w:tcW w:type="dxa" w:w="26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项目</w:t>
            </w:r>
          </w:p>
        </w:tc>
        <w:tc>
          <w:tcPr>
            <w:tcW w:type="dxa" w:w="13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初始值</w:t>
            </w:r>
          </w:p>
        </w:tc>
        <w:tc>
          <w:tcPr>
            <w:tcW w:type="dxa" w:w="30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设计含义</w:t>
            </w:r>
          </w:p>
        </w:tc>
        <w:tc>
          <w:tcPr>
            <w:tcW w:type="dxa" w:w="20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说明</w:t>
            </w:r>
          </w:p>
        </w:tc>
      </w:tr>
      <w:tr>
        <w:tc>
          <w:tcPr>
            <w:tcW w:type="dxa" w:w="2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CONSTRAINS</w:t>
            </w:r>
          </w:p>
        </w:tc>
        <w:tc>
          <w:tcPr>
            <w:tcW w:type="dxa" w:w="1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1.00</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直接约束通常需要优先复核</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适用于安全目标、参数和设计约束</w:t>
            </w:r>
          </w:p>
        </w:tc>
      </w:tr>
      <w:tr>
        <w:tc>
          <w:tcPr>
            <w:tcW w:type="dxa" w:w="2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CONFIGURES</w:t>
            </w:r>
          </w:p>
        </w:tc>
        <w:tc>
          <w:tcPr>
            <w:tcW w:type="dxa" w:w="1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0.95</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配置变化对被配置功能影响较直接</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适用于雷达、算法和车型配置</w:t>
            </w:r>
          </w:p>
        </w:tc>
      </w:tr>
      <w:tr>
        <w:tc>
          <w:tcPr>
            <w:tcW w:type="dxa" w:w="2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IMPLEMENTED_BY / DEPENDS_ON</w:t>
            </w:r>
          </w:p>
        </w:tc>
        <w:tc>
          <w:tcPr>
            <w:tcW w:type="dxa" w:w="1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0.90</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实现或前置依赖具有较强关联</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DEPENDS_ON按反向传播</w:t>
            </w:r>
          </w:p>
        </w:tc>
      </w:tr>
      <w:tr>
        <w:tc>
          <w:tcPr>
            <w:tcW w:type="dxa" w:w="2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DECOMPOSES / VERIFIED_BY</w:t>
            </w:r>
          </w:p>
        </w:tc>
        <w:tc>
          <w:tcPr>
            <w:tcW w:type="dxa" w:w="1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0.85</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分解项和测试项通常需要同步检查</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仍需人工判断是否实际修改</w:t>
            </w:r>
          </w:p>
        </w:tc>
      </w:tr>
      <w:tr>
        <w:tc>
          <w:tcPr>
            <w:tcW w:type="dxa" w:w="2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DESCRIBED_BY</w:t>
            </w:r>
          </w:p>
        </w:tc>
        <w:tc>
          <w:tcPr>
            <w:tcW w:type="dxa" w:w="1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0.75</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说明材料通常是较下游对象</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包含市场说明、课程、知识和指南</w:t>
            </w:r>
          </w:p>
        </w:tc>
      </w:tr>
      <w:tr>
        <w:tc>
          <w:tcPr>
            <w:tcW w:type="dxa" w:w="2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路径衰减</w:t>
            </w:r>
          </w:p>
        </w:tc>
        <w:tc>
          <w:tcPr>
            <w:tcW w:type="dxa" w:w="1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每增加一跳乘0.85</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较远对象优先级逐步降低</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不从结果中自动删除</w:t>
            </w:r>
          </w:p>
        </w:tc>
      </w:tr>
      <w:tr>
        <w:tc>
          <w:tcPr>
            <w:tcW w:type="dxa" w:w="2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等级</w:t>
            </w:r>
          </w:p>
        </w:tc>
        <w:tc>
          <w:tcPr>
            <w:tcW w:type="dxa" w:w="1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高≥70；中40～&lt;70；低&lt;40</w:t>
            </w:r>
          </w:p>
        </w:tc>
        <w:tc>
          <w:tcPr>
            <w:tcW w:type="dxa" w:w="3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只控制列表排序和视觉提示</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不表示安全风险概率</w:t>
            </w:r>
          </w:p>
        </w:tc>
      </w:tr>
    </w:tbl>
    <w:p>
      <w:pPr>
        <w:ind w:firstLine="420"/>
        <w:jc w:val="both"/>
      </w:pPr>
      <w:r>
        <w:t>上述数值是论文原型的初始经验参数。第六章只需使用固定种子数据比较三类场景的候选集合、排序和路径，并可将全部关系权重统一上下调整10%进行一次简单敏感性检查。实验目标是观察主要候选的等级是否发生不合理跳变，而不是训练或寻找最优权重。</w:t>
      </w:r>
    </w:p>
    <w:p>
      <w:pPr>
        <w:pStyle w:val="FigurePlaceholder"/>
        <w:jc w:val="center"/>
      </w:pPr>
      <w:r>
        <w:t>【这里需要增加影响候选生成流程图，显示变更输入、按传播模式建立邻接关系、有边界遍历、逐路径计算分数、保留最高分路径、分级、保存报告和候选】</w:t>
      </w:r>
    </w:p>
    <w:p>
      <w:pPr>
        <w:pStyle w:val="Caption"/>
        <w:keepNext/>
        <w:jc w:val="center"/>
      </w:pPr>
      <w:r>
        <w:t>图4.6 变更影响分析流程</w:t>
      </w:r>
    </w:p>
    <w:p>
      <w:pPr>
        <w:pStyle w:val="Heading3"/>
      </w:pPr>
      <w:r>
        <w:t>4.5.3 解释路径保存</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本小节说明为什么不用一段JSON保存路径。规范化的Path和PathStep便于按顺序展示、核对关系是否停用，并在测试中逐步比较。</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请撰写“4.5.3 解释路径保存”。定义ImpactPath和ImpactPathStep，Path保存总分、长度和是否主路径，Step保存序号、关系、源版本、目标版本和当步权重。每个候选至少一条主路径，最多再保存一条最短备选路径。</w:t>
      </w:r>
    </w:p>
    <w:p>
      <w:pPr>
        <w:ind w:firstLine="420"/>
        <w:jc w:val="both"/>
      </w:pPr>
      <w:r>
        <w:t>ImpactPath属于一个ImpactCandidate，保存pathRank、totalScore、length和primary标志。ImpactPathStep按sequenceNo保存traceRelationId、sourceVersionId、targetVersionId、traversalDirection、relationWeight和stepScore。traversalDirection用于说明本步是沿关系箭头正向访问还是因DEPENDS_ON规则反向访问。路径步骤采用独立记录而非不透明JSON，使前端能够按顺序展开每一步，也使测试能够核对关系方向、传播方向、权重和总分。</w:t>
      </w:r>
    </w:p>
    <w:p>
      <w:pPr>
        <w:ind w:firstLine="420"/>
        <w:jc w:val="both"/>
      </w:pPr>
      <w:r>
        <w:t>每个候选至少保存一条得分最高的主路径；若最短路径与最高分路径不同，可额外保存一条最短备选路径，单个候选最多保存两条解释路径。该限制避免分支图产生大量组合路径。关系后来被停用时，历史PathStep仍保留原关系标识和分析时权重，报告页面同时标记该关系当前已停用。</w:t>
      </w:r>
    </w:p>
    <w:p>
      <w:pPr>
        <w:pStyle w:val="Heading3"/>
      </w:pPr>
      <w:r>
        <w:t>4.5.4 人工复核与工单事务</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本小节是系统控制错误影响的关键。必须写清候选状态、二次确认、重复工单提示和同一事务回滚。工单不自动分派，也不修改来源业务对象。</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请撰写“4.5.4 人工复核与工单事务”。候选状态为PENDING、CONFIRMED、EXCLUDED；用户填写说明。批量请求为每个选中目标创建一张工单，先检查未关闭重复工单，再二次确认；工单和AnalysisTicketLink在同一事务创建，任一失败全部回滚。</w:t>
      </w:r>
    </w:p>
    <w:p>
      <w:pPr>
        <w:ind w:firstLine="420"/>
        <w:jc w:val="both"/>
      </w:pPr>
      <w:r>
        <w:t>ImpactCandidate保存initialScore、initialLevel、reviewStatus、reviewComment、reviewedBy和reviewedAt。reviewStatus初始为PENDING，用户可改为CONFIRMED、EXCLUDED或保持PENDING。报告保留系统初始分值和人工结论，人工操作不覆盖原始计算结果。只有CONFIRMED候选可以进入工单创建步骤。</w:t>
      </w:r>
    </w:p>
    <w:p>
      <w:pPr>
        <w:ind w:firstLine="420"/>
        <w:jc w:val="both"/>
      </w:pPr>
      <w:r>
        <w:t>用户选择一个或多个已确认候选后，系统先生成工单摘要预览，并检查同一报告与目标工件是否已有未关闭工单。发现重复时返回明确警告，用户可以取消或在请求中显式允许继续。用户执行第二次确认后，系统为每个目标工件创建一张工单，并建立AnalysisTicketLink关联reportId、candidateId、changeRecordId和ticketId。负责人和优先级由用户在确认页指定，系统不自动分派。</w:t>
      </w:r>
    </w:p>
    <w:p>
      <w:pPr>
        <w:ind w:firstLine="420"/>
        <w:jc w:val="both"/>
      </w:pPr>
      <w:r>
        <w:t>批量创建由同一个数据库事务完成。任一工单字段不合法、标识冲突或链接写入失败时，全部工单和链接均回滚，报告状态保持REVIEWED。当前TicketService只有列表和更新能力，因此后续实现需新增TicketCreationPort及本地适配器，由追溯模块通过端口调用Workspace域，避免直接操作TicketRepository。</w:t>
      </w:r>
    </w:p>
    <w:p>
      <w:pPr>
        <w:pStyle w:val="FigurePlaceholder"/>
        <w:jc w:val="center"/>
      </w:pPr>
      <w:r>
        <w:t>【这里需要增加影响报告确认工单时序图，参与者包括用户、ImpactReportController、ImpactReviewService、TicketCreationPort、Workspace TicketService和数据库；突出重复检查、二次确认、同一事务创建多张工单和失败回滚】</w:t>
      </w:r>
    </w:p>
    <w:p>
      <w:pPr>
        <w:pStyle w:val="Caption"/>
        <w:keepNext/>
        <w:jc w:val="center"/>
      </w:pPr>
      <w:r>
        <w:t>图4.7 人工确认与批量工单创建时序</w:t>
      </w:r>
    </w:p>
    <w:p>
      <w:pPr>
        <w:pStyle w:val="Heading3"/>
      </w:pPr>
      <w:r>
        <w:t>4.5.5 三类AEB变更的分析配置</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本小节把通用算法落到论文实验场景。每个场景只说明变更源、主要传播关系、预期检查对象和验证重点，不编造制动距离、碰撞率或道路试验结果。</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请撰写“4.5.5 三类AEB变更的分析配置”。分别描述TTC 2.0 s到2.5 s、前向雷达配置变化、安全制动距离目标提高，说明查询方向和预期候选类型。所有数据均为构造数据。</w:t>
      </w:r>
    </w:p>
    <w:p>
      <w:pPr>
        <w:pStyle w:val="Caption"/>
        <w:keepNext/>
        <w:jc w:val="center"/>
      </w:pPr>
      <w:r>
        <w:t>表4.7 AEB变更场景的分析配置</w:t>
      </w:r>
    </w:p>
    <w:tbl>
      <w:tblPr>
        <w:tblStyle w:val="TableGrid"/>
        <w:tblW w:type="dxa" w:w="8950"/>
        <w:jc w:val="center"/>
        <w:tblLayout w:type="fixed"/>
        <w:tblLook w:firstColumn="1" w:firstRow="1" w:lastColumn="0" w:lastRow="0" w:noHBand="0" w:noVBand="1" w:val="04A0"/>
        <w:tblInd w:w="120" w:type="dxa"/>
      </w:tblPr>
      <w:tblGrid>
        <w:gridCol w:w="1750"/>
        <w:gridCol w:w="2600"/>
        <w:gridCol w:w="2600"/>
        <w:gridCol w:w="2000"/>
      </w:tblGrid>
      <w:tr>
        <w:trPr>
          <w:tblHeader w:val="true"/>
        </w:trPr>
        <w:tc>
          <w:tcPr>
            <w:tcW w:type="dxa" w:w="17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场景</w:t>
            </w:r>
          </w:p>
        </w:tc>
        <w:tc>
          <w:tcPr>
            <w:tcW w:type="dxa" w:w="26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变更源与方向</w:t>
            </w:r>
          </w:p>
        </w:tc>
        <w:tc>
          <w:tcPr>
            <w:tcW w:type="dxa" w:w="26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重点传播关系</w:t>
            </w:r>
          </w:p>
        </w:tc>
        <w:tc>
          <w:tcPr>
            <w:tcW w:type="dxa" w:w="20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主要待复核对象</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S1 TTC阈值</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TTC参数V1→V2；以正向传播为主</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VERIFIED_BY、DESCRIBED_BY、CONFIGURES</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测试用例、车型ADAS说明、市场说明、培训与指南</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S2 雷达配置</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前向雷达配置版本变化；处理DEPENDS_ON反向传播</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CONFIGURES、DEPENDS_ON、VERIFIED_BY</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算法配置、车型配置、测试用例、维修或使用指南</w:t>
            </w:r>
          </w:p>
        </w:tc>
      </w:tr>
      <w:tr>
        <w:tc>
          <w:tcPr>
            <w:tcW w:type="dxa" w:w="1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S3 安全距离目标</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目标版本变化；先反向查看依据，再正向分析</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DECOMPOSES、CONSTRAINS、IMPLEMENTED_BY</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功能要求、制动策略、传感器能力、测试及说明材料</w:t>
            </w:r>
          </w:p>
        </w:tc>
      </w:tr>
    </w:tbl>
    <w:p>
      <w:pPr>
        <w:ind w:firstLine="420"/>
        <w:jc w:val="both"/>
      </w:pPr>
      <w:r>
        <w:t>S1验证参数变化能否沿技术实现和说明关系到达下游对象；S2验证关系箭头与影响传播方向不完全相同时，系统能否根据DEPENDS_ON的REVERSE规则找到依赖雷达的算法；S3先使用普通反向查询展示安全目标的支撑工件，再从目标新版本执行正向影响分析。三个场景共用同一算法和权重配置，仅变更类型匹配因子不同。</w:t>
      </w:r>
    </w:p>
    <w:p>
      <w:pPr>
        <w:pStyle w:val="Heading2"/>
      </w:pPr>
      <w:r>
        <w:t>4.6 数据库与一致性设计</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本节把概念对象落到关系数据库。正文只列核心表和关键约束，不需要把所有审计字段逐项抄写。ER图必须与后续实际实体一致。</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请撰写“4.6 数据库与一致性设计”的引导段。说明PostgreSQL为正式数据库，Flyway管理结构，H2用于测试；核心表覆盖工件、版本、关系、变更、报告、候选、路径、工单链接和日志。</w:t>
      </w:r>
    </w:p>
    <w:p>
      <w:pPr>
        <w:ind w:firstLine="420"/>
        <w:jc w:val="both"/>
      </w:pPr>
      <w:r>
        <w:t>追溯数据与现有ODS业务表存放在同一关系数据库的独立表组中。正式环境以PostgreSQL和Flyway迁移脚本为结构基准，本地与测试环境使用H2兼容模式。实体使用UUID作为内部主键，业务引用使用来源复合唯一键，时间字段采用统一时区语义。表结构优先表达身份、版本和关联，不复制来源模块的大字段。</w:t>
      </w:r>
    </w:p>
    <w:p>
      <w:pPr>
        <w:pStyle w:val="Heading3"/>
      </w:pPr>
      <w:r>
        <w:t>4.6.1 核心实体关系</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本小节解释实体之间是一对多还是多对一。重点是Artifact拥有多个Version，Relation连接两个Version，Report拥有多个Candidate，Candidate拥有Path，Path拥有有序Step。</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请撰写“4.6.1 核心实体关系”。使用文字和ER图占位说明Artifact、ArtifactVersion、TraceRelation、ChangeRecord、ImpactReport、ImpactCandidate、ImpactPath、ImpactPathStep、AnalysisTicketLink和OperationLog之间的关系。</w:t>
      </w:r>
    </w:p>
    <w:p>
      <w:pPr>
        <w:pStyle w:val="Caption"/>
        <w:keepNext/>
        <w:jc w:val="center"/>
      </w:pPr>
      <w:r>
        <w:t>表4.8 核心数据表及关键约束</w:t>
      </w:r>
    </w:p>
    <w:tbl>
      <w:tblPr>
        <w:tblStyle w:val="TableGrid"/>
        <w:tblW w:type="dxa" w:w="9000"/>
        <w:jc w:val="center"/>
        <w:tblLayout w:type="fixed"/>
        <w:tblLook w:firstColumn="1" w:firstRow="1" w:lastColumn="0" w:lastRow="0" w:noHBand="0" w:noVBand="1" w:val="04A0"/>
        <w:tblInd w:w="120" w:type="dxa"/>
      </w:tblPr>
      <w:tblGrid>
        <w:gridCol w:w="2700"/>
        <w:gridCol w:w="3600"/>
        <w:gridCol w:w="2700"/>
      </w:tblGrid>
      <w:tr>
        <w:trPr>
          <w:tblHeader w:val="true"/>
        </w:trPr>
        <w:tc>
          <w:tcPr>
            <w:tcW w:type="dxa" w:w="27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数据表</w:t>
            </w:r>
          </w:p>
        </w:tc>
        <w:tc>
          <w:tcPr>
            <w:tcW w:type="dxa" w:w="36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主要用途</w:t>
            </w:r>
          </w:p>
        </w:tc>
        <w:tc>
          <w:tcPr>
            <w:tcW w:type="dxa" w:w="27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关键外键或唯一约束</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artifact / artifact_type</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稳定工件身份和类型字典</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来源模块+对象类型+业务标识唯一</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artifact_version</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不可变版本及最小快照</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artifact_id+version_label唯一；Artifact指向当前版本</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relation_type / relation_type_rule</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关系语义、权重和允许端点</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关系代码唯一；规则端点组合唯一</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trace_relation</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具体版本之间的有向关系</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源版本+目标版本+关系类型唯一</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change_record</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变更前后内容和变更类型</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source_version_id非空</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impact_report</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一次分析的参数、状态和统计</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change_record_id；包含乐观锁version</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impact_candidate</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目标、分值、等级和复核结论</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report_id+target_version_id唯一</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impact_path / impact_path_step</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规范化解释路径及有序步骤</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candidate_id+path_rank唯一；path_id+sequence_no唯一</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analysis_ticket_link</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候选与本地工单的来源关联</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candidate_id+ticket_id唯一</w:t>
            </w:r>
          </w:p>
        </w:tc>
      </w:tr>
      <w:tr>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operation_log</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关键写操作的最小留痕</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actor、action、object_type、object_id、result、created_at</w:t>
            </w:r>
          </w:p>
        </w:tc>
      </w:tr>
    </w:tbl>
    <w:p>
      <w:pPr>
        <w:ind w:firstLine="420"/>
        <w:jc w:val="both"/>
      </w:pPr>
      <w:r>
        <w:t>Artifact与ArtifactVersion为一对多关系；Artifact.currentVersionId指向其中一个版本。TraceRelation分别通过sourceVersionId和targetVersionId引用两个版本。ChangeRecord引用变更源版本，一个ChangeRecord可以因分析范围或评分规则不同而对应多份ImpactReport；每份ImpactReport包含多个ImpactCandidate；每个Candidate最多包含两条ImpactPath；每条Path包含按sequenceNo排序的多个ImpactPathStep。AnalysisTicketLink同时引用候选和现有Ticket。OperationLog通过对象类型与对象标识记录跨表操作，不承担业务外键约束。</w:t>
      </w:r>
    </w:p>
    <w:p>
      <w:pPr>
        <w:pStyle w:val="FigurePlaceholder"/>
        <w:jc w:val="center"/>
      </w:pPr>
      <w:r>
        <w:t>【这里需要增加核心ER图，显示artifact、artifact_version、trace_relation、relation_type、change_record、impact_report、impact_candidate、impact_path、impact_path_step、analysis_ticket_link、tickets和operation_log；标出一对多与关键唯一约束】</w:t>
      </w:r>
    </w:p>
    <w:p>
      <w:pPr>
        <w:pStyle w:val="Caption"/>
        <w:keepNext/>
        <w:jc w:val="center"/>
      </w:pPr>
      <w:r>
        <w:t>图4.8 追溯与影响分析核心ER模型</w:t>
      </w:r>
    </w:p>
    <w:p>
      <w:pPr>
        <w:pStyle w:val="Heading3"/>
      </w:pPr>
      <w:r>
        <w:t>4.6.2 数据生命周期与并发控制</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本小节说明哪些数据可以更新、哪些只能追加。并发控制保持轻量，使用数据库唯一约束、事务和ImpactReport乐观锁即可，不设计分布式锁。</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请撰写“4.6.2 数据生命周期与并发控制”。说明版本和历史路径只追加不覆盖，关系使用active停用，候选只更新复核字段；使用唯一约束、@Transactional和报告version乐观锁避免重复确认。</w:t>
      </w:r>
    </w:p>
    <w:p>
      <w:pPr>
        <w:ind w:firstLine="420"/>
        <w:jc w:val="both"/>
      </w:pPr>
      <w:r>
        <w:t>ArtifactVersion、ChangeRecord及已生成的ImpactPath采用追加式生命周期，分析完成后不修改其输入快照。TraceRelation通过active字段停用或恢复，停用原因和时间必须保留。ImpactCandidate仅允许修改reviewStatus、reviewComment、reviewedBy和reviewedAt，系统初始分值及等级不可覆盖。OperationLog只追加。</w:t>
      </w:r>
    </w:p>
    <w:p>
      <w:pPr>
        <w:ind w:firstLine="420"/>
        <w:jc w:val="both"/>
      </w:pPr>
      <w:r>
        <w:t>重复登记和重复关系首先由应用服务返回可读错误，数据库唯一约束作为最终保护。工件新版本创建、当前版本指针更新及关系写入分别使用本地事务。ImpactReport增加version乐观锁字段，即更新前比较客户端看到的版本号与数据库当前版本号；两者不一致时返回409状态冲突，避免同一候选被重复确认。系统不使用分布式锁。</w:t>
      </w:r>
    </w:p>
    <w:p>
      <w:pPr>
        <w:pStyle w:val="Heading3"/>
      </w:pPr>
      <w:r>
        <w:t>4.6.3 来源数据一致性与失效处理</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本小节处理追溯引用存在但原业务对象已删除或不可见的情况。必须说明失效不会静默变成另一个对象，也不会导致历史报告无法打开。</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请撰写“4.6.3 来源数据一致性与失效处理”。说明SourceAdapter在登记和访问时核对对象；来源对象不存在时标记SOURCE_MISSING，不自动删除工件；用户无权访问时只返回restricted标记；历史销量适配器只读。</w:t>
      </w:r>
    </w:p>
    <w:p>
      <w:pPr>
        <w:ind w:firstLine="420"/>
        <w:jc w:val="both"/>
      </w:pPr>
      <w:r>
        <w:t>登记工件时，SourceAdapter核对来源对象是否存在，并读取允许保存的最小摘要。查询时再次核对可见性。若来源对象后来不存在，Artifact标记为SOURCE_MISSING，系统不自动删除工件和关系；历史报告仍显示分析时保存的版本名称，并提示来源当前不可用。若对象仍存在但用户无权查看，则返回受限标记而不是SOURCE_MISSING。</w:t>
      </w:r>
    </w:p>
    <w:p>
      <w:pPr>
        <w:ind w:firstLine="420"/>
        <w:jc w:val="both"/>
      </w:pPr>
      <w:r>
        <w:t>MarketSourceAdapter只提供查询方法，不暴露更新历史销量的端口。车型配置和ADAS说明使用Trace Local来源或独立配置表创建版本，从而使技术变更与历史事实在数据层分离。该约束同时由适配器接口和服务授权保证。</w:t>
      </w:r>
    </w:p>
    <w:p>
      <w:pPr>
        <w:pStyle w:val="Heading2"/>
      </w:pPr>
      <w:r>
        <w:t>4.7 接口、安全与交互设计</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本节把后台设计转换为前端可调用的REST契约，并说明角色权限和页面流程。接口数量控制在Demo能够实现和测试的范围内。</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请撰写“4.7 接口、安全与交互设计”的引导段。说明接口沿用/api/v1、统一data响应和错误结构；安全复用JWT与RBAC；前端围绕工件、关系、查询和报告四个工作区组织。</w:t>
      </w:r>
    </w:p>
    <w:p>
      <w:pPr>
        <w:ind w:firstLine="420"/>
        <w:jc w:val="both"/>
      </w:pPr>
      <w:r>
        <w:t>新增接口遵循ODS现有/api/v1前缀、JSON请求响应和统一错误模型。Controller只承担传输对象校验和身份获取，应用服务负责业务状态与来源可见性校验。所有追溯接口除公开登录和健康检查外均要求有效JWT；写操作使用方法级RBAC，并在业务服务中再次核对来源对象权限。</w:t>
      </w:r>
    </w:p>
    <w:p>
      <w:pPr>
        <w:pStyle w:val="Heading3"/>
      </w:pPr>
      <w:r>
        <w:t>4.7.1 REST接口契约</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本小节列出后续开发必须实现的最小接口。每个接口要说明方法、路径、用途和主要错误，不需要把全部JSON示例放入正文。</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请撰写“4.7.1 REST接口契约”。列出artifacts、relations、trace-queries、changes、impact-reports、candidates、confirm-tickets和operation-logs接口，说明400、401、403、404、409和422的使用场景。</w:t>
      </w:r>
    </w:p>
    <w:p>
      <w:pPr>
        <w:pStyle w:val="Caption"/>
        <w:keepNext/>
        <w:jc w:val="center"/>
      </w:pPr>
      <w:r>
        <w:t>表4.9 核心REST接口设计</w:t>
      </w:r>
    </w:p>
    <w:tbl>
      <w:tblPr>
        <w:tblStyle w:val="TableGrid"/>
        <w:tblW w:type="dxa" w:w="9000"/>
        <w:jc w:val="center"/>
        <w:tblLayout w:type="fixed"/>
        <w:tblLook w:firstColumn="1" w:firstRow="1" w:lastColumn="0" w:lastRow="0" w:noHBand="0" w:noVBand="1" w:val="04A0"/>
        <w:tblInd w:w="120" w:type="dxa"/>
      </w:tblPr>
      <w:tblGrid>
        <w:gridCol w:w="4100"/>
        <w:gridCol w:w="2500"/>
        <w:gridCol w:w="2400"/>
      </w:tblGrid>
      <w:tr>
        <w:trPr>
          <w:tblHeader w:val="true"/>
        </w:trPr>
        <w:tc>
          <w:tcPr>
            <w:tcW w:type="dxa" w:w="41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方法与路径</w:t>
            </w:r>
          </w:p>
        </w:tc>
        <w:tc>
          <w:tcPr>
            <w:tcW w:type="dxa" w:w="25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用途</w:t>
            </w:r>
          </w:p>
        </w:tc>
        <w:tc>
          <w:tcPr>
            <w:tcW w:type="dxa" w:w="24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关键输入或输出</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GET/POST /api/v1/artifacts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检索或登记工件</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筛选条件；来源引用、类型和首个版本</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GET /api/v1/artifacts/{id}</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查看工件、版本和来源状态</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当前版本、历史版本、受限或失效标记</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POST /api/v1/artifacts/{id}/versions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追加不可变版本</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versionLabel、摘要、责任人、来源更新时间</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POST /api/v1/relations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创建有向关系</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源版本、目标版本、类型和建立依据</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PATCH /api/v1/relations/{id}/status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停用或恢复关系</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active、原因、期望版本</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POST /api/v1/trace-queries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执行即时正反向追溯</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查询参数；节点、边、路径和截断标记</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POST /api/v1/changes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创建变更记录</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源版本、类型、变更前后内容和说明</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POST /api/v1/changes/{id}/analyze</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生成并保存影响报告</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方向、深度、节点上限；返回reportId</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GET /api/v1/impact-reports/{id}</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查看报告与候选路径</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初始结果、复核状态、工单链接</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PATCH /api/v1/impact-reports/{id}/candidates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批量保存复核结论</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候选标识、状态、说明、报告版本</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POST /api/v1/impact-reports/{id}/confirm-tickets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二次确认并批量创建工单</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候选、负责人、优先级、允许重复、报告版本</w:t>
            </w:r>
          </w:p>
        </w:tc>
      </w:tr>
      <w:tr>
        <w:tc>
          <w:tcPr>
            <w:tcW w:type="dxa" w:w="4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GET /api/v1/operation-logs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管理员查询关键操作</w:t>
            </w:r>
          </w:p>
        </w:tc>
        <w:tc>
          <w:tcPr>
            <w:tcW w:type="dxa" w:w="2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对象、操作者、动作和时间筛选</w:t>
            </w:r>
          </w:p>
        </w:tc>
      </w:tr>
    </w:tbl>
    <w:p>
      <w:pPr>
        <w:ind w:firstLine="420"/>
        <w:jc w:val="both"/>
      </w:pPr>
      <w:r>
        <w:t>请求字段格式或深度越界返回400；令牌缺失或失效返回401；角色不足或来源对象不可操作返回403；对象不存在返回404；重复关系、报告版本冲突或重复未关闭工单返回409；关系端点类型不合法、报告状态不允许操作等业务规则错误返回422。错误响应沿用code、message、fieldErrors、path和timestamp结构，前端根据code显示明确中文提示。</w:t>
      </w:r>
    </w:p>
    <w:p>
      <w:pPr>
        <w:pStyle w:val="Heading3"/>
      </w:pPr>
      <w:r>
        <w:t>4.7.2 角色授权与来源可见性</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本小节将第三章的五类参与者映射到代码中的Role枚举，不能新增不存在的登录角色。角色组只用于论文说明，实际接口使用具体枚举。</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请撰写“4.7.2 角色授权与来源可见性”。将查询开放给所有已认证角色；工件关系维护、分析、复核、工单确认和类型管理分别映射到现有ADMIN、TPJM、PJM、EBE、EPO、LPM、TRAINER、COORDINATOR等角色。说明来源适配器可进一步收紧权限。</w:t>
      </w:r>
    </w:p>
    <w:p>
      <w:pPr>
        <w:pStyle w:val="Caption"/>
        <w:keepNext/>
        <w:jc w:val="center"/>
      </w:pPr>
      <w:r>
        <w:t>表4.10 目标功能与现有角色的授权映射</w:t>
      </w:r>
    </w:p>
    <w:tbl>
      <w:tblPr>
        <w:tblStyle w:val="TableGrid"/>
        <w:tblW w:type="dxa" w:w="9000"/>
        <w:jc w:val="center"/>
        <w:tblLayout w:type="fixed"/>
        <w:tblLook w:firstColumn="1" w:firstRow="1" w:lastColumn="0" w:lastRow="0" w:noHBand="0" w:noVBand="1" w:val="04A0"/>
        <w:tblInd w:w="120" w:type="dxa"/>
      </w:tblPr>
      <w:tblGrid>
        <w:gridCol w:w="2600"/>
        <w:gridCol w:w="3650"/>
        <w:gridCol w:w="2750"/>
      </w:tblGrid>
      <w:tr>
        <w:trPr>
          <w:tblHeader w:val="true"/>
        </w:trPr>
        <w:tc>
          <w:tcPr>
            <w:tcW w:type="dxa" w:w="26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操作</w:t>
            </w:r>
          </w:p>
        </w:tc>
        <w:tc>
          <w:tcPr>
            <w:tcW w:type="dxa" w:w="36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允许的现有角色</w:t>
            </w:r>
          </w:p>
        </w:tc>
        <w:tc>
          <w:tcPr>
            <w:tcW w:type="dxa" w:w="27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补充约束</w:t>
            </w:r>
          </w:p>
        </w:tc>
      </w:tr>
      <w:tr>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查看可见工件与执行查询</w:t>
            </w:r>
          </w:p>
        </w:tc>
        <w:tc>
          <w:tcPr>
            <w:tcW w:type="dxa" w:w="3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全部已认证角色</w:t>
            </w:r>
          </w:p>
        </w:tc>
        <w:tc>
          <w:tcPr>
            <w:tcW w:type="dxa" w:w="2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SourceAdapter仍按来源对象返回可见或受限结果</w:t>
            </w:r>
          </w:p>
        </w:tc>
      </w:tr>
      <w:tr>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登记工件与维护关系</w:t>
            </w:r>
          </w:p>
        </w:tc>
        <w:tc>
          <w:tcPr>
            <w:tcW w:type="dxa" w:w="3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TPJM、PJM、EBE、EPO、LPM、TRAINER、COORDINATOR、ADMIN</w:t>
            </w:r>
          </w:p>
        </w:tc>
        <w:tc>
          <w:tcPr>
            <w:tcW w:type="dxa" w:w="2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只能维护职责范围内来源及Trace Local对象</w:t>
            </w:r>
          </w:p>
        </w:tc>
      </w:tr>
      <w:tr>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发起影响分析</w:t>
            </w:r>
          </w:p>
        </w:tc>
        <w:tc>
          <w:tcPr>
            <w:tcW w:type="dxa" w:w="3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TPJM、PJM、EBE、EPO、LPM、ADMIN</w:t>
            </w:r>
          </w:p>
        </w:tc>
        <w:tc>
          <w:tcPr>
            <w:tcW w:type="dxa" w:w="2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变更源必须可见且有效</w:t>
            </w:r>
          </w:p>
        </w:tc>
      </w:tr>
      <w:tr>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复核工程类候选</w:t>
            </w:r>
          </w:p>
        </w:tc>
        <w:tc>
          <w:tcPr>
            <w:tcW w:type="dxa" w:w="3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PJM、EBE、EPO、LPM、ADMIN</w:t>
            </w:r>
          </w:p>
        </w:tc>
        <w:tc>
          <w:tcPr>
            <w:tcW w:type="dxa" w:w="2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仅修改候选复核字段</w:t>
            </w:r>
          </w:p>
        </w:tc>
      </w:tr>
      <w:tr>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复核内容与培训候选</w:t>
            </w:r>
          </w:p>
        </w:tc>
        <w:tc>
          <w:tcPr>
            <w:tcW w:type="dxa" w:w="3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TRAINER、COORDINATOR、ADMIN</w:t>
            </w:r>
          </w:p>
        </w:tc>
        <w:tc>
          <w:tcPr>
            <w:tcW w:type="dxa" w:w="2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不能修改项目主数据或历史销量</w:t>
            </w:r>
          </w:p>
        </w:tc>
      </w:tr>
      <w:tr>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确认创建工单</w:t>
            </w:r>
          </w:p>
        </w:tc>
        <w:tc>
          <w:tcPr>
            <w:tcW w:type="dxa" w:w="3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PJM、LPM、TRAINER、COORDINATOR、ADMIN</w:t>
            </w:r>
          </w:p>
        </w:tc>
        <w:tc>
          <w:tcPr>
            <w:tcW w:type="dxa" w:w="2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必须经过预览和二次确认</w:t>
            </w:r>
          </w:p>
        </w:tc>
      </w:tr>
      <w:tr>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维护类型与查看全量日志</w:t>
            </w:r>
          </w:p>
        </w:tc>
        <w:tc>
          <w:tcPr>
            <w:tcW w:type="dxa" w:w="36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ADMIN</w:t>
            </w:r>
          </w:p>
        </w:tc>
        <w:tc>
          <w:tcPr>
            <w:tcW w:type="dxa" w:w="27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管理员不能代替业务负责人作影响结论</w:t>
            </w:r>
          </w:p>
        </w:tc>
      </w:tr>
    </w:tbl>
    <w:p>
      <w:pPr>
        <w:ind w:firstLine="420"/>
        <w:jc w:val="both"/>
      </w:pPr>
      <w:r>
        <w:t>表4.10是目标授权映射，不创建新的“工程维护者”或“影响复核者”登录角色。后续实现直接使用Role枚举中的具体值和@PreAuthorize表达式。对于来源模块已有更严格规则的对象，SourceAdapter必须以原模块规则为准；追溯模块不能因用户具有查询权限而扩大来源数据可见范围。RBAC模型适合以稳定职责集合控制操作权限[6]，JWT仅承担身份声明传递，不替代服务端授权检查[7]。</w:t>
      </w:r>
    </w:p>
    <w:p>
      <w:pPr>
        <w:pStyle w:val="Heading3"/>
      </w:pPr>
      <w:r>
        <w:t>4.7.3 操作日志与异常处理</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本小节限定日志范围，避免声称企业级审计或不可篡改。日志记录关键写操作即可，并说明失败也应记录结果代码，但不得保存密码、JWT或受限字段。</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请撰写“4.7.3 操作日志与异常处理”。记录工件登记、版本创建、关系变更、分析、复核和工单确认的操作者、对象、动作、结果和时间；不记录密码、JWT和受限业务内容。说明异常统一转换并保证事务回滚。</w:t>
      </w:r>
    </w:p>
    <w:p>
      <w:pPr>
        <w:ind w:firstLine="420"/>
        <w:jc w:val="both"/>
      </w:pPr>
      <w:r>
        <w:t>OperationLog记录ARTIFACT_REGISTER、VERSION_CREATE、RELATION_CHANGE、IMPACT_ANALYZE、CANDIDATE_REVIEW和TICKET_CONFIRM等动作。字段包括actor、action、objectType、objectId、resultCode、createdAt和不含敏感内容的summary。系统不保存密码、JWT、数据库口令或受限工件名称，也不将该日志描述为不可篡改的企业审计系统。</w:t>
      </w:r>
    </w:p>
    <w:p>
      <w:pPr>
        <w:ind w:firstLine="420"/>
        <w:jc w:val="both"/>
      </w:pPr>
      <w:r>
        <w:t>Controller层将校验异常、资源不存在、权限不足、状态冲突和未预期异常转换为统一响应。业务事务只在全部校验通过后写入；发生异常时由事务管理器回滚。日志写入失败不应掩盖原业务异常，后续实现可以在同一事务内记录成功操作，在异常处理器中记录最小失败信息。</w:t>
      </w:r>
    </w:p>
    <w:p>
      <w:pPr>
        <w:pStyle w:val="Heading3"/>
      </w:pPr>
      <w:r>
        <w:t>4.7.4 前端工作流与页面信息</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本小节描述用户完成任务需要看到什么，不进行复杂视觉设计。页面必须让用户清楚区分系统初始判断和人工结论，并能展开每条影响路径。</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请撰写“4.7.4 前端工作流与页面信息”。设计工件库、关系管理、追溯查询、影响报告和操作日志五个页面。影响报告用表格展示候选、等级、状态和路径按钮，工单创建使用二次确认弹窗。</w:t>
      </w:r>
    </w:p>
    <w:p>
      <w:pPr>
        <w:ind w:firstLine="420"/>
        <w:jc w:val="both"/>
      </w:pPr>
      <w:r>
        <w:t>前端新增五个工作区。工件库提供来源、类型和状态筛选以及登记入口；关系管理提供源版本、目标版本、关系类型和依据输入，并展示有效或停用状态；追溯查询提供起点、方向、深度和类型筛选，结果以节点列表和可展开路径为主，可选使用小型关系图辅助浏览；影响报告展示变更摘要、候选等级、系统初始分值、人工状态和解释路径；操作日志仅对管理员开放。</w:t>
      </w:r>
    </w:p>
    <w:p>
      <w:pPr>
        <w:ind w:firstLine="420"/>
        <w:jc w:val="both"/>
      </w:pPr>
      <w:r>
        <w:t>候选列表默认按分值降序排列，高、中、低等级只使用文字与颜色同时表示，避免仅依赖颜色。每一行提供“查看路径”“确认影响”“排除影响”和“待定”操作。创建工单前页面汇总选中目标、负责人、优先级和重复风险，并要求用户再次确认。达到深度、节点或权限边界时，页面在结果上方显示不可忽略的截断提示。</w:t>
      </w:r>
    </w:p>
    <w:p>
      <w:pPr>
        <w:pStyle w:val="FigurePlaceholder"/>
        <w:jc w:val="center"/>
      </w:pPr>
      <w:r>
        <w:t>【这里需要增加影响报告页面线框图或后续实际截图，包含变更摘要、候选表格、分值与等级、复核状态、可展开路径、截断警告、选择框和确认创建工单按钮；不得使用虚构企业数据】</w:t>
      </w:r>
    </w:p>
    <w:p>
      <w:pPr>
        <w:pStyle w:val="Caption"/>
        <w:keepNext/>
        <w:jc w:val="center"/>
      </w:pPr>
      <w:r>
        <w:t>图4.9 影响报告与人工复核页面设计</w:t>
      </w:r>
    </w:p>
    <w:p>
      <w:pPr>
        <w:pStyle w:val="Heading2"/>
      </w:pPr>
      <w:r>
        <w:t>4.8 需求覆盖与Demo实施顺序</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本节证明第四章设计覆盖第三章需求，并给出后续开发顺序。它既是章节收束，也是第五章的实施清单。开发顺序应优先形成可运行闭环，不要求一次完成全部界面。</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请撰写“4.8 需求覆盖与Demo实施顺序”的引导段。说明通过设计映射检查遗漏，并按数据模型、来源适配、关系、查询、影响、复核工单、前端与测试逐步实现。</w:t>
      </w:r>
    </w:p>
    <w:p>
      <w:pPr>
        <w:ind w:firstLine="420"/>
        <w:jc w:val="both"/>
      </w:pPr>
      <w:r>
        <w:t>设计覆盖检查以第三章需求编号为输入，以本章模块、实体、接口和约束为输出。每个功能需求至少对应一个设计对象和一个预期测试点，非功能需求落实为明确的深度、节点、事务、权限和部署约束。该映射可避免第五章只实现页面而遗漏业务规则，也能限制第六章的实验范围。</w:t>
      </w:r>
    </w:p>
    <w:p>
      <w:pPr>
        <w:pStyle w:val="Heading3"/>
      </w:pPr>
      <w:r>
        <w:t>4.8.1 设计与需求覆盖矩阵</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本小节用一张矩阵完成可追踪性检查。不要逐条重复第三章正文，只列需求范围、设计位置和验证证据。</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请撰写“4.8.1 设计与需求覆盖矩阵”。映射FR-ART-01至04、FR-REL-01至04、FR-QRY-01至05、FR-IMP-01至05、FR-TKT-01至04、FR-SEC-01至04和主要NFR到本章小节及第六章验证。</w:t>
      </w:r>
    </w:p>
    <w:p>
      <w:pPr>
        <w:pStyle w:val="Caption"/>
        <w:keepNext/>
        <w:jc w:val="center"/>
      </w:pPr>
      <w:r>
        <w:t>表4.11 第三章需求与第四章设计覆盖矩阵</w:t>
      </w:r>
    </w:p>
    <w:tbl>
      <w:tblPr>
        <w:tblStyle w:val="TableGrid"/>
        <w:tblW w:type="dxa" w:w="9000"/>
        <w:jc w:val="center"/>
        <w:tblLayout w:type="fixed"/>
        <w:tblLook w:firstColumn="1" w:firstRow="1" w:lastColumn="0" w:lastRow="0" w:noHBand="0" w:noVBand="1" w:val="04A0"/>
        <w:tblInd w:w="120" w:type="dxa"/>
      </w:tblPr>
      <w:tblGrid>
        <w:gridCol w:w="1800"/>
        <w:gridCol w:w="2000"/>
        <w:gridCol w:w="3350"/>
        <w:gridCol w:w="1850"/>
      </w:tblGrid>
      <w:tr>
        <w:trPr>
          <w:tblHeader w:val="true"/>
        </w:trPr>
        <w:tc>
          <w:tcPr>
            <w:tcW w:type="dxa" w:w="1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需求范围</w:t>
            </w:r>
          </w:p>
        </w:tc>
        <w:tc>
          <w:tcPr>
            <w:tcW w:type="dxa" w:w="20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本章设计位置</w:t>
            </w:r>
          </w:p>
        </w:tc>
        <w:tc>
          <w:tcPr>
            <w:tcW w:type="dxa" w:w="33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核心设计证据</w:t>
            </w:r>
          </w:p>
        </w:tc>
        <w:tc>
          <w:tcPr>
            <w:tcW w:type="dxa" w:w="18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第六章预期验证</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FR-ART-01～04</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4.3.1、4.3.2、4.6</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稳定身份、不可变版本、来源适配和唯一约束</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登记、重复、版本序列、受限来源</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FR-REL-01～04</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4.3.3、4.6.2</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有向类型、合法端点、重复与自连接校验、停用</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关系创建、非法端点、停用后查询</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FR-QRY-01～05</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4.4</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正反向BFS、深度与节点上限、循环和完整路径</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链、分支、环、空结果和截断数据集</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FR-IMP-01～05</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4.5.1～4.5.3</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变更记录、报告、评分、等级和规范化路径</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三类AEB答案集、分值复算、零候选报告</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FR-TKT-01～04</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4.5.4、4.7.1</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复核状态、重复提示、二次确认和事务链接</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确认、取消、重复、失败回滚</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FR-SEC-01～04</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4.3.2、4.7.2、4.7.3</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JWT/RBAC、来源可见性和操作日志</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匿名、越权、受限提示和日志字段</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NFR-PERF</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4.4.2、4.4.4</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默认深度3、最大5、节点100、批量读取</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30～100节点、≤300关系的实测耗时</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其他NFR</w:t>
            </w:r>
          </w:p>
        </w:tc>
        <w:tc>
          <w:tcPr>
            <w:tcW w:type="dxa" w:w="20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4.2.3、4.6.2、4.7</w:t>
            </w:r>
          </w:p>
        </w:tc>
        <w:tc>
          <w:tcPr>
            <w:tcW w:type="dxa" w:w="33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事务、唯一约束、环境变量、统一错误和可解释界面</w:t>
            </w:r>
          </w:p>
        </w:tc>
        <w:tc>
          <w:tcPr>
            <w:tcW w:type="dxa" w:w="18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一致性、配置、安全和可用性检查</w:t>
            </w:r>
          </w:p>
        </w:tc>
      </w:tr>
    </w:tbl>
    <w:p>
      <w:pPr>
        <w:pStyle w:val="Heading3"/>
      </w:pPr>
      <w:r>
        <w:t>4.8.2 Demo分阶段实施顺序</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本小节直接指导后续代码开发。每一阶段都要有可运行的完成条件，并保持规模小。顺序以先后依赖为依据，不按页面菜单排序。</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请撰写“4.8.2 Demo分阶段实施顺序”。分为数据库与种子数据、工件与适配器、关系与查询、影响报告、复核工单、前端与测试六阶段。每阶段给出最小完成条件，不引入复杂基础设施。</w:t>
      </w:r>
    </w:p>
    <w:p>
      <w:pPr>
        <w:pStyle w:val="Caption"/>
        <w:keepNext/>
        <w:jc w:val="center"/>
      </w:pPr>
      <w:r>
        <w:t>表4.12 Demo后续开发阶段及完成条件</w:t>
      </w:r>
    </w:p>
    <w:tbl>
      <w:tblPr>
        <w:tblStyle w:val="TableGrid"/>
        <w:tblW w:type="dxa" w:w="9000"/>
        <w:jc w:val="center"/>
        <w:tblLayout w:type="fixed"/>
        <w:tblLook w:firstColumn="1" w:firstRow="1" w:lastColumn="0" w:lastRow="0" w:noHBand="0" w:noVBand="1" w:val="04A0"/>
        <w:tblInd w:w="120" w:type="dxa"/>
      </w:tblPr>
      <w:tblGrid>
        <w:gridCol w:w="1800"/>
        <w:gridCol w:w="4700"/>
        <w:gridCol w:w="2500"/>
      </w:tblGrid>
      <w:tr>
        <w:trPr>
          <w:tblHeader w:val="true"/>
        </w:trPr>
        <w:tc>
          <w:tcPr>
            <w:tcW w:type="dxa" w:w="1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阶段</w:t>
            </w:r>
          </w:p>
        </w:tc>
        <w:tc>
          <w:tcPr>
            <w:tcW w:type="dxa" w:w="47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主要开发内容</w:t>
            </w:r>
          </w:p>
        </w:tc>
        <w:tc>
          <w:tcPr>
            <w:tcW w:type="dxa" w:w="25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最小完成条件</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阶段1 数据基线</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Flyway表结构、JPA实体、类型字典、30～100个固定AEB工件和≤300条关系</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PostgreSQL迁移可执行，H2测试可启动，种子数据可重复生成</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阶段2 工件与来源</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Artifact API、版本追加、Project/Market/Training/Content/Ticket适配器</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可登记现有对象，重复被拒绝，销量适配器只读</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阶段3 关系与查询</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关系API、端点规则、停用、正反向有限BFS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链、分支、环和截断测试通过，返回完整路径</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阶段4 影响分析</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ChangeRecord、ImpactReport、候选评分和Path/Step持久化</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三个AEB场景均可生成可复算报告，允许零候选</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阶段5 复核与工单</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候选状态、预览、重复检查、TicketCreationPort和事务链接</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一批候选一目标一工单，任一失败全部回滚</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阶段6 前端与验证</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五个工作区、权限提示、实验脚本和结果导出</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单用户完成端到端流程，并获得第六章真实指标</w:t>
            </w:r>
          </w:p>
        </w:tc>
      </w:tr>
    </w:tbl>
    <w:p>
      <w:pPr>
        <w:ind w:firstLine="420"/>
        <w:jc w:val="both"/>
      </w:pPr>
      <w:r>
        <w:t>实施过程中应优先完成后端数据闭环和自动测试，再增加关系图等辅助展示。阶段4完成后即可获得论文核心算法数据，阶段5完成后形成从变更到工单的端到端闭环。若毕业设计时间受限，可将操作日志高级筛选和图形化布局降为次要功能，但不得省略路径解释、人工确认、权限校验和事务回滚。</w:t>
      </w:r>
    </w:p>
    <w:p>
      <w:pPr>
        <w:pStyle w:val="Heading2"/>
      </w:pPr>
      <w:r>
        <w:t>4.9 本章小结</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本节只总结设计成果并引出第五章，不加入实验结论。总结中应再次强调关系数据库、有限遍历、规则排序和人工确认这四项核心取舍。</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请撰写“4.9 本章小结”，约300字。概括模块化单体总体架构、稳定工件与不可变版本、有向关系和传播模式、有限BFS、可解释评分、人工复核、事务工单、RBAC与来源适配，并引出系统实现章节。</w:t>
      </w:r>
    </w:p>
    <w:p>
      <w:pPr>
        <w:ind w:firstLine="420"/>
        <w:jc w:val="both"/>
      </w:pPr>
      <w:r>
        <w:t>本章基于第三章需求完成了跨域工件追溯与变更分析系统的目标设计。系统在ODS模块化单体内新增独立追溯模块，使用稳定工件身份与不可变版本引用现有及新增业务对象，以具有固定语义和传播模式的有向关系表达跨域联系。正反向查询采用深度和节点数量受限的广度优先遍历，能够处理循环、权限边界和结果截断。变更影响分析使用关系权重、变更类型匹配和路径衰减生成可解释候选，并将初始结果与人工复核结论分别保存。</w:t>
      </w:r>
    </w:p>
    <w:p>
      <w:pPr>
        <w:ind w:firstLine="420"/>
        <w:jc w:val="both"/>
      </w:pPr>
      <w:r>
        <w:t>工单协同采用一候选一工单、批量同事务和二次确认机制，来源适配器负责保持现有模块的可见性边界，JWT、RBAC和操作日志提供最小安全控制。数据库、接口和分阶段实施顺序均限定在个人Demo可完成和可验证的范围内。第五章可据此依次实现数据模型、关系查询、影响报告、人工复核和工单闭环，并如实记录实际完成状态。</w:t>
      </w:r>
    </w:p>
    <w:p>
      <w:r>
        <w:br w:type="page"/>
      </w:r>
    </w:p>
    <w:p>
      <w:pPr>
        <w:keepNext/>
        <w:spacing w:after="240"/>
        <w:jc w:val="center"/>
      </w:pPr>
      <w:r>
        <w:rPr>
          <w:rFonts w:ascii="Times New Roman" w:hAnsi="Times New Roman" w:eastAsia="黑体"/>
          <w:b/>
          <w:color w:val="000000"/>
          <w:sz w:val="32"/>
        </w:rPr>
        <w:t>参考文献</w:t>
      </w:r>
    </w:p>
    <w:p>
      <w:pPr>
        <w:spacing w:after="80"/>
        <w:ind w:left="420" w:hanging="420"/>
        <w:jc w:val="both"/>
      </w:pPr>
      <w:r>
        <w:t>[1] ISO/IEC/IEEE. ISO/IEC/IEEE 42010:2011 Systems and software engineering—Architecture description[S]. Geneva: ISO, 2011.</w:t>
      </w:r>
    </w:p>
    <w:p>
      <w:pPr>
        <w:spacing w:after="80"/>
        <w:ind w:left="420" w:hanging="420"/>
        <w:jc w:val="both"/>
      </w:pPr>
      <w:r>
        <w:t>[2] ISO/IEC/IEEE. ISO/IEC/IEEE 29148:2018 Systems and software engineering—Life cycle processes—Requirements engineering[S]. Geneva: ISO, 2018.</w:t>
      </w:r>
    </w:p>
    <w:p>
      <w:pPr>
        <w:spacing w:after="80"/>
        <w:ind w:left="420" w:hanging="420"/>
        <w:jc w:val="both"/>
      </w:pPr>
      <w:r>
        <w:t>[3] GOTEL O C Z, FINKELSTEIN A C W. An analysis of the requirements traceability problem[C]//Proceedings of IEEE International Conference on Requirements Engineering. Colorado Springs: IEEE, 1994: 94-101. DOI:10.1109/ICRE.1994.292398.</w:t>
      </w:r>
    </w:p>
    <w:p>
      <w:pPr>
        <w:spacing w:after="80"/>
        <w:ind w:left="420" w:hanging="420"/>
        <w:jc w:val="both"/>
      </w:pPr>
      <w:r>
        <w:t>[4] RAMESH B, JARKE M. Toward reference models for requirements traceability[J]. IEEE Transactions on Software Engineering, 2001, 27(1): 58-93. DOI:10.1109/32.895989.</w:t>
      </w:r>
    </w:p>
    <w:p>
      <w:pPr>
        <w:spacing w:after="80"/>
        <w:ind w:left="420" w:hanging="420"/>
        <w:jc w:val="both"/>
      </w:pPr>
      <w:r>
        <w:t>[5] PRETSCHNER A, BROY M, KRUGER I H, et al. Software engineering for automotive systems: A roadmap[C]//Future of Software Engineering. Minneapolis: IEEE, 2007: 55-71. DOI:10.1109/FOSE.2007.22.</w:t>
      </w:r>
    </w:p>
    <w:p>
      <w:pPr>
        <w:spacing w:after="80"/>
        <w:ind w:left="420" w:hanging="420"/>
        <w:jc w:val="both"/>
      </w:pPr>
      <w:r>
        <w:t>[6] SANDHU R S, COYNE E J, FEINSTEIN H L, et al. Role-based access control models[J]. Computer, 1996, 29(2): 38-47. DOI:10.1109/2.485845.</w:t>
      </w:r>
    </w:p>
    <w:p>
      <w:pPr>
        <w:spacing w:after="80"/>
        <w:ind w:left="420" w:hanging="420"/>
        <w:jc w:val="both"/>
      </w:pPr>
      <w:r>
        <w:t>[7] JONES M, BRADLEY J, SAKIMURA N. JSON Web Token (JWT): RFC 7519[S]. Internet Engineering Task Force, 2015. DOI:10.17487/RFC7519.</w:t>
      </w:r>
    </w:p>
    <w:p>
      <w:pPr>
        <w:spacing w:after="80"/>
        <w:ind w:left="420" w:hanging="420"/>
        <w:jc w:val="both"/>
      </w:pPr>
      <w:r>
        <w:t>[8] CORMEN T H, LEISERSON C E, RIVEST R L, et al. Introduction to Algorithms[M]. 4th ed. Cambridge: MIT Press, 2022.</w:t>
      </w:r>
    </w:p>
    <w:p>
      <w:pPr>
        <w:spacing w:after="80"/>
        <w:ind w:left="420" w:hanging="420"/>
        <w:jc w:val="both"/>
      </w:pPr>
      <w:r>
        <w:t>[9] FOWLER M. Patterns of Enterprise Application Architecture[M]. Boston: Addison-Wesley, 2002.</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Note">
    <w:name w:val="Editorial Note"/>
    <w:pPr>
      <w:spacing w:before="60" w:after="60" w:line="276" w:lineRule="auto"/>
      <w:ind w:left="198" w:right="198"/>
    </w:pPr>
    <w:rPr>
      <w:rFonts w:ascii="Times New Roman" w:hAnsi="Times New Roman" w:eastAsia="宋体"/>
      <w:sz w:val="19"/>
    </w:rPr>
  </w:style>
  <w:style w:type="paragraph" w:customStyle="1" w:styleId="FigurePlaceholder">
    <w:name w:val="Figure Placeholder"/>
    <w:pPr>
      <w:spacing w:before="160" w:after="80"/>
    </w:pPr>
    <w:rPr>
      <w:rFonts w:ascii="Times New Roman" w:hAnsi="Times New Roman" w:eastAsia="宋体"/>
      <w:color w:val="59595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