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</w:rPr>
        <w:t>第5章 系统实现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章的任务是把第四章的设计对象逐项映射到可定位的数据库表、Java类、REST接口和React页面。导语分为三段：第一段交代实现基线，第二段概括核心闭环，第三段声明Demo与构造数据边界。这样安排可以使读者在阅读算法和界面细节前先了解实现范围，并防止把设计目标误写为完成结果。本章仅引用少量测试记录作为实现存在性的证据，系统性实验与指标分析留到第六章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请撰写硕士论文第5章“系统实现”的章导语。论文题目为《自动驾驶跨域工件追溯与变更分析系统设计与实现》。依据ODS实际代码，说明React、Spring Boot模块化单体、Spring Security JWT、JPA、PostgreSQL/Flyway和H2基线，概括工件版本、关系、有限追溯、影响排序、人工复核和工单闭环。明确AEB数据为固定构造数据，系统为本地Demo，禁止声称企业部署、真实客户使用、道路测试或安全收益。采用客观、紧凑的IEEE风格中文。</w:t>
      </w:r>
    </w:p>
    <w:p>
      <w:pPr/>
      <w:r>
        <w:rPr>
          <w:rFonts w:ascii="Times New Roman" w:hAnsi="Times New Roman" w:eastAsia="宋体"/>
        </w:rPr>
        <w:t>本章依据第四章给出的模块划分和数据设计，对ODS平台中的追溯与变更分析功能进行实现说明。系统延续前后端分离的模块化单体结构：React Web通过基于JavaScript对象表示法（JavaScript Object Notation，JSON）的表述性状态转移接口（Representational State Transfer，REST）调用Spring Boot服务；Spring Security使用JSON Web Token（JWT）完成身份识别和角色授权；Spring Data JPA负责对象持久化；正式数据库结构由Flyway脚本面向PostgreSQL管理，H2仅用于本地快速启动和自动化测试。模块化单体将相关功能保留在同一部署单元内，同时通过包和服务边界限制职责，适合当前小规模Demo的实现条件[1][2]。</w:t>
      </w:r>
    </w:p>
    <w:p>
      <w:pPr/>
      <w:r>
        <w:rPr>
          <w:rFonts w:ascii="Times New Roman" w:hAnsi="Times New Roman" w:eastAsia="宋体"/>
        </w:rPr>
        <w:t>实现形成了“登记工件及版本—建立有向关系—执行正反向追溯—记录变更并生成影响候选—人工确认或排除—二次确认后创建工单”的最小闭环。工件和版本提供跨模块统一标识，关系表提供可遍历连接，有界搜索控制运行范围，规则评分只确定人工复核顺序，解释路径记录候选产生的依据。市场说明、培训课程、知识条目、视频指南和工单均可作为追溯链节点，因此AEB技术变化能够在同一关系模型中连接工程与协同内容。</w:t>
      </w:r>
    </w:p>
    <w:p>
      <w:pPr/>
      <w:r>
        <w:rPr>
          <w:rFonts w:ascii="Times New Roman" w:hAnsi="Times New Roman" w:eastAsia="宋体"/>
        </w:rPr>
        <w:t>本章描述的实现来自当前代码仓库，不代表企业生产系统。AEB工件、关系和变化场景均为论文Demo构造数据，不包含真实客户信息、量产项目数据或道路测试结论。已经实现的能力按实际类和接口陈述；仅建立数据表、预留接口或保留设计位置的能力明确标注为部分实现或未实现。详细性能、正确性和完整性评价在第六章通过可重复的小规模实验给出。</w:t>
      </w:r>
    </w:p>
    <w:p>
      <w:pPr>
        <w:pStyle w:val="Heading2"/>
      </w:pPr>
      <w:r>
        <w:rPr>
          <w:rFonts w:ascii="Times New Roman" w:hAnsi="Times New Roman" w:eastAsia="黑体"/>
        </w:rPr>
        <w:t>5.1 开发环境与实现结构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先给出可重复的实现环境，再说明代码如何对应第四章的五层设计，最后界定实际完成范围。每个环境项必须来自项目配置或验证记录，不能写成通用技术介绍。建议配一张代码目录截图，使评阅者能够从论文描述定位到源文件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请撰写“5.1 开发环境与实现结构”。使用Java 21、Spring Boot 3.4.5、JWT库0.12.6、Spring Data JPA、PostgreSQL、Flyway、H2、React、TypeScript和Vite的真实基线；说明模块化单体而非微服务；把前端页面、控制器、服务、领域对象、仓库和迁移脚本映射到代码目录；指出当前为本地Demo。不要虚构部署环境。</w:t>
      </w:r>
    </w:p>
    <w:p>
      <w:pPr/>
      <w:r>
        <w:rPr>
          <w:rFonts w:ascii="Times New Roman" w:hAnsi="Times New Roman" w:eastAsia="宋体"/>
        </w:rPr>
        <w:t>实现环境既决定代码的组织方式，也决定后续实验能否复现。为避免把框架名称堆叠为技术清单，本节按照运行工具、分层位置和完成边界组织内容。表5.1列出的版本来自构建配置和验证记录；源代码位置则对应第四章的表现层、接口层、应用领域层、来源访问层和数据层。</w:t>
      </w:r>
    </w:p>
    <w:p>
      <w:pPr>
        <w:pStyle w:val="Heading3"/>
      </w:pPr>
      <w:r>
        <w:rPr>
          <w:rFonts w:ascii="Times New Roman" w:hAnsi="Times New Roman" w:eastAsia="黑体"/>
        </w:rPr>
        <w:t>5.1.1 运行环境与工具链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用一张表回答“使用什么运行、如何构建、数据放在哪里”。正文第一段解释各技术在本系统中的职责，第二段强调H2与PostgreSQL不可混用为同一种验证证据。保留版本号便于复现实验，但不需要介绍框架历史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请撰写“5.1.1 运行环境与工具链”。列出Java 21、Spring Boot 3.4.5、Maven 3.9.9、Node.js 22.23.1、npm 10.9.8、React、TypeScript、Vite、PostgreSQL 17目标镜像、Flyway和H2。解释每项在Demo中的作用，强调PostgreSQL容器因当前机器无Docker尚未实际运行。语言简明。</w:t>
      </w:r>
    </w:p>
    <w:p>
      <w:pPr/>
      <w:r>
        <w:rPr>
          <w:rFonts w:ascii="Times New Roman" w:hAnsi="Times New Roman" w:eastAsia="宋体"/>
        </w:rPr>
        <w:t>后端以Java 21和Spring Boot 3.4.5构建，Maven负责依赖解析、编译与测试。前端由React和TypeScript实现，Vite提供开发构建与生产打包。身份令牌由0.12.6版本的JWT库解析和签名验证。数据访问通过Spring Data JPA完成，使领域对象与关系表之间保持明确映射；Jakarta Persistence规范给出了实体生命周期和关系映射的基础约定[3]。</w:t>
      </w:r>
    </w:p>
    <w:p>
      <w:pPr/>
      <w:r>
        <w:rPr>
          <w:rFonts w:ascii="Times New Roman" w:hAnsi="Times New Roman" w:eastAsia="宋体"/>
        </w:rPr>
        <w:t>数据库采用双环境策略。PostgreSQL及Flyway迁移脚本代表正式结构基线，V1至V3脚本按顺序建立平台表和追溯表；H2关闭Flyway并由Hibernate创建或更新结构，仅承担开发启动与测试。H2运行成功只能证明应用逻辑在本地关系数据库上可执行，不能代替PostgreSQL方言、迁移顺序和容器部署验证。</w:t>
      </w:r>
    </w:p>
    <w:p>
      <w:pPr>
        <w:pStyle w:val="Caption"/>
      </w:pPr>
      <w:r>
        <w:rPr>
          <w:rFonts w:ascii="Times New Roman" w:hAnsi="Times New Roman" w:eastAsia="宋体"/>
        </w:rPr>
        <w:t>表5.1 系统实现与验证工具链</w:t>
      </w:r>
    </w:p>
    <w:tbl>
      <w:tblPr>
        <w:tblStyle w:val="TableGrid"/>
        <w:tblInd w:w="120" w:type="dxa"/>
        <w:tblW w:type="dxa" w:w="8900"/>
        <w:tblLayout w:type="fixed"/>
        <w:tblLook w:firstColumn="1" w:firstRow="1" w:lastColumn="0" w:lastRow="0" w:noHBand="0" w:noVBand="1" w:val="04A0"/>
      </w:tblPr>
      <w:tblGrid>
        <w:gridCol w:w="1602"/>
        <w:gridCol w:w="2848"/>
        <w:gridCol w:w="4450"/>
      </w:tblGrid>
      <w:tr>
        <w:trPr>
          <w:tblHeader w:val="true"/>
        </w:trPr>
        <w:tc>
          <w:tcPr>
            <w:tcW w:type="dxa" w:w="1602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类别</w:t>
            </w:r>
          </w:p>
        </w:tc>
        <w:tc>
          <w:tcPr>
            <w:tcW w:type="dxa" w:w="2848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实际技术或版本</w:t>
            </w:r>
          </w:p>
        </w:tc>
        <w:tc>
          <w:tcPr>
            <w:tcW w:type="dxa" w:w="4450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本章中的用途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后端运行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Java 21；Spring Boot 3.4.5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承载REST接口、业务规则、事务与安全配置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后端构建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Maven 3.9.9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编译、依赖管理与JUnit测试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身份授权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Spring Security；JWT 0.12.6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登录身份、令牌过滤和方法级角色授权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数据访问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Spring Data JPA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实体映射、仓库查询和事务持久化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正式结构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PostgreSQL 17目标镜像；Flyway V1-V3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正式Schema基线；当前机器未完成容器运行验证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本地与测试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H2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本地启动、集成测试和API冒烟检查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前端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React；TypeScript；Vite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页面交互、类型检查和生产构建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前端工具</w:t>
            </w:r>
          </w:p>
        </w:tc>
        <w:tc>
          <w:tcPr>
            <w:tcW w:type="dxa" w:w="284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Node.js 22.23.1；npm 10.9.8</w:t>
            </w:r>
          </w:p>
        </w:tc>
        <w:tc>
          <w:tcPr>
            <w:tcW w:type="dxa" w:w="44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依赖安装、类型检查和打包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5.1.2 模块化单体的代码映射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本小节按请求经过的顺序说明代码结构，不只罗列包名。第一段从React到控制器，第二段从服务到仓库，第三段解释为什么当前规模不拆成微服务。建议截图展示trace包和前端页面文件，作为可定位的实现佐证。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请撰写“5.1.2 模块化单体的代码映射”。说明frontend/src/pages/TraceabilityPage.tsx、frontend/src/api/client.ts、TraceabilityController、ArtifactService、TraceQueryService、ImpactAnalysisService、ArtifactSourceRegistry、domain、repository和V3迁移脚本之间的调用关系。强调同一Spring Boot进程和同一数据库，不得写成微服务。</w:t>
      </w:r>
    </w:p>
    <w:p>
      <w:pPr/>
      <w:r>
        <w:rPr>
          <w:rFonts w:ascii="Times New Roman" w:hAnsi="Times New Roman" w:eastAsia="宋体"/>
        </w:rPr>
        <w:t>浏览器访问/traceability路由后加载TraceabilityPage.tsx。页面通过client.ts封装的请求方法访问/api/v1下的接口，并使用types.ts中的类型约束请求和响应字段。后端TraceabilityController负责接收请求、执行字段校验和调用应用服务，不在控制器中实现图遍历或评分逻辑。该安排使前端只承担输入与展示，使控制器只承担协议转换。</w:t>
      </w:r>
    </w:p>
    <w:p>
      <w:pPr/>
      <w:r>
        <w:rPr>
          <w:rFonts w:ascii="Times New Roman" w:hAnsi="Times New Roman" w:eastAsia="宋体"/>
        </w:rPr>
        <w:t>应用逻辑集中在trace包中。ArtifactService处理工件、版本与关系规则；TraceQueryService处理正反向追溯；ImpactAnalysisService处理变更记录、候选评分、人工复核和工单确认；ArtifactSourceRegistry连接现有项目、市场、课程、知识、视频和工单仓库。domain包定义实体与枚举，repository包提供JPA仓库，V3__traceability_and_impact_analysis.sql建立正式表结构。</w:t>
      </w:r>
    </w:p>
    <w:p>
      <w:pPr/>
      <w:r>
        <w:rPr>
          <w:rFonts w:ascii="Times New Roman" w:hAnsi="Times New Roman" w:eastAsia="宋体"/>
        </w:rPr>
        <w:t>上述组件与项目、培训、市场和Workspace等既有模块运行在同一Spring Boot进程并共享事务管理器。当前追溯规模限定为不超过100个查询节点、关系量为数百条的Demo，模块化单体可以减少网络调用、分布式事务和独立运维成本[1]。因此，本实现没有引入微服务、消息队列或图数据库；该取舍只适用于本研究规模，不构成对其他架构的普遍结论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【这里需要增加代码目录结构截图，展开backend中的trace/api、trace/domain、trace/repository、trace/service及frontend中的TraceabilityPage.tsx、api/client.ts和types.ts，并用方框标出第五章涉及的文件】</w:t>
      </w:r>
    </w:p>
    <w:p>
      <w:pPr>
        <w:pStyle w:val="Caption"/>
      </w:pPr>
      <w:r>
        <w:rPr>
          <w:rFonts w:ascii="Times New Roman" w:hAnsi="Times New Roman" w:eastAsia="宋体"/>
        </w:rPr>
        <w:t>图5.1 追溯模块代码结构与分层对应关系</w:t>
      </w:r>
    </w:p>
    <w:p>
      <w:pPr>
        <w:pStyle w:val="Heading3"/>
      </w:pPr>
      <w:r>
        <w:rPr>
          <w:rFonts w:ascii="Times New Roman" w:hAnsi="Times New Roman" w:eastAsia="黑体"/>
        </w:rPr>
        <w:t>5.1.3 设计到实现的范围控制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本小节是防止论文过度陈述的第一道检查。使用“已实现、部分实现、未实现”三种状态，把第四章设计逐项映射到当前代码。正文解释状态判定标准，表格列出最重要差异；详细限制在5.9再次汇总。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请撰写“5.1.3 设计到实现的范围控制”。已实现项包括工件版本、关系、BFS追溯、规则评分、人工复核、工单事务和JWT/RBAC；部分实现项包括来源适配、关系端点规则、解释路径、操作日志和前端工作区；未验证项包括PostgreSQL/Flyway实际运行与浏览器E2E。禁止把表或接口骨架等同于完整功能。</w:t>
      </w:r>
    </w:p>
    <w:p>
      <w:pPr/>
      <w:r>
        <w:rPr>
          <w:rFonts w:ascii="Times New Roman" w:hAnsi="Times New Roman" w:eastAsia="宋体"/>
        </w:rPr>
        <w:t>本章采用可运行闭环作为“已实现”的判定依据：相应数据结构、服务规则和接口均存在，并至少具有本地测试或冒烟调用证据。仅存在表结构、实体类或单项校验时记为“部分实现”；配置或测试代码存在但受环境限制未执行时记为“待验证”。这一判定方法将实现证据与设计意图分离，避免以源文件数量代替功能完成度。</w:t>
      </w:r>
    </w:p>
    <w:p>
      <w:pPr>
        <w:pStyle w:val="Caption"/>
      </w:pPr>
      <w:r>
        <w:rPr>
          <w:rFonts w:ascii="Times New Roman" w:hAnsi="Times New Roman" w:eastAsia="宋体"/>
        </w:rPr>
        <w:t>表5.2 第四章核心设计与当前实现状态</w:t>
      </w:r>
    </w:p>
    <w:tbl>
      <w:tblPr>
        <w:tblStyle w:val="TableGrid"/>
        <w:tblInd w:w="120" w:type="dxa"/>
        <w:tblW w:type="dxa" w:w="8900"/>
        <w:tblLayout w:type="fixed"/>
        <w:tblLook w:firstColumn="1" w:firstRow="1" w:lastColumn="0" w:lastRow="0" w:noHBand="0" w:noVBand="1" w:val="04A0"/>
      </w:tblPr>
      <w:tblGrid>
        <w:gridCol w:w="2492"/>
        <w:gridCol w:w="1246"/>
        <w:gridCol w:w="5162"/>
      </w:tblGrid>
      <w:tr>
        <w:trPr>
          <w:tblHeader w:val="true"/>
        </w:trPr>
        <w:tc>
          <w:tcPr>
            <w:tcW w:type="dxa" w:w="2492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设计能力</w:t>
            </w:r>
          </w:p>
        </w:tc>
        <w:tc>
          <w:tcPr>
            <w:tcW w:type="dxa" w:w="1246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  <w:tc>
          <w:tcPr>
            <w:tcW w:type="dxa" w:w="5162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当前证据与边界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工件、不可变版本与当前版本指针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ArtifactService、JPA实体、唯一约束和版本追加接口可用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有向关系与生命周期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自连接、重复关系、停用原因和恢复逻辑已实现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关系端点类型规则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表、实体和校验代码存在，但种子初始化未填充规则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正反向有界追溯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BFS、深度5、节点100、循环终止、路径和截断标志已实现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来源可见性控制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当前只校验来源对象存在；restricted固定为false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影响候选与解释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评分、等级和一条主路径已实现；可选第二路径未实现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人工复核与工单闭环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已实现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乐观锁、二次确认、重复检查和同事务建单已实现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操作日志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成功写操作有日志；失败操作记录不完整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前端工作区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部分实现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一个页面四个标签可用；未形成设计中的五个独立工作区</w:t>
            </w:r>
          </w:p>
        </w:tc>
      </w:tr>
      <w:tr>
        <w:tc>
          <w:tcPr>
            <w:tcW w:type="dxa" w:w="24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PostgreSQL与浏览器端验证</w:t>
            </w:r>
          </w:p>
        </w:tc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待验证</w:t>
            </w:r>
          </w:p>
        </w:tc>
        <w:tc>
          <w:tcPr>
            <w:tcW w:type="dxa" w:w="516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本机无Docker，且无前端组件测试或浏览器E2E</w:t>
            </w:r>
          </w:p>
        </w:tc>
      </w:tr>
    </w:tbl>
    <w:p/>
    <w:p>
      <w:pPr>
        <w:pStyle w:val="Heading2"/>
      </w:pPr>
      <w:r>
        <w:rPr>
          <w:rFonts w:ascii="Times New Roman" w:hAnsi="Times New Roman" w:eastAsia="黑体"/>
        </w:rPr>
        <w:t>5.2 数据库与领域对象实现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说明第四章的数据模型怎样落实为关系表和JPA实体。先解释迁移结构，再说明工件与版本，最后说明变更报告对象。表结构只列与逻辑理解有关的表和约束，不逐字段抄录SQL。建议增加由真实迁移脚本生成的ER图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请撰写“5.2 数据库与领域对象实现”。依据V3迁移中的13张追溯表、JPA实体和唯一约束，说明稳定工件、追加版本、有向关系、变更报告、解释路径、工单关联和日志的持久化。引用PostgreSQL与Flyway公开文档，强调H2不等价于PostgreSQL验证。</w:t>
      </w:r>
    </w:p>
    <w:p>
      <w:pPr/>
      <w:r>
        <w:rPr>
          <w:rFonts w:ascii="Times New Roman" w:hAnsi="Times New Roman" w:eastAsia="宋体"/>
        </w:rPr>
        <w:t>追溯数据既包含相对稳定的工件身份，也包含随时间增加的版本、关系、变更和复核记录。已有研究指出，追溯信息需要同时保存来源、对象和关系上下文，才能支持后续查询和变化分析[9][10]。本实现采用关系模型保存节点和边，并通过外键、唯一键与事务约束维护一致性。PostgreSQL提供UUID、时间戳、数值和索引等基础能力[4]，Flyway按版本执行迁移以使Schema变化可追踪[5]。</w:t>
      </w:r>
    </w:p>
    <w:p>
      <w:pPr>
        <w:pStyle w:val="Heading3"/>
      </w:pPr>
      <w:r>
        <w:rPr>
          <w:rFonts w:ascii="Times New Roman" w:hAnsi="Times New Roman" w:eastAsia="黑体"/>
        </w:rPr>
        <w:t>5.2.1 Flyway迁移与核心表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本小节先说明V3迁移的目的，再按身份、关系、分析和协同四组介绍13张表。表5.3避免逐字段展开，正文只解释关键外键、唯一键和索引为什么需要存在。PostgreSQL执行未验证这一事实应在结尾明确写出。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请撰写“5.2.1 Flyway迁移与核心表”。说明V3__traceability_and_impact_analysis.sql建立13张表，按工件身份、关系、影响分析、工单与日志分组；解释uk_trace_artifact_source、uk_trace_artifact_version、uk_trace_relation、候选唯一键、路径步序号和索引。明确本机未执行PostgreSQL容器。</w:t>
      </w:r>
    </w:p>
    <w:p>
      <w:pPr/>
      <w:r>
        <w:rPr>
          <w:rFonts w:ascii="Times New Roman" w:hAnsi="Times New Roman" w:eastAsia="宋体"/>
        </w:rPr>
        <w:t>V3迁移在既有平台表之后增加13张追溯表。工件身份组保存工件类型、稳定工件和版本；关系组保存关系类型、可选端点规则和实际关系；分析组保存变更、报告、候选、路径及路径步骤；协同组保存候选与既有tickets表之间的关联以及操作日志。该分组使变化频率不同的数据分别持久化，同时用外键保持引用完整性。</w:t>
      </w:r>
    </w:p>
    <w:p>
      <w:pPr/>
      <w:r>
        <w:rPr>
          <w:rFonts w:ascii="Times New Roman" w:hAnsi="Times New Roman" w:eastAsia="宋体"/>
        </w:rPr>
        <w:t>唯一约束承担主要一致性职责。来源模块、来源对象类型和来源对象标识的三元组只能登记一次；同一工件下的版本标识不能重复；同一源版本、目标版本和关系类型只能存在一条关系；同一报告中的目标版本只能形成一个候选；同一路径中的步骤序号不能重复。源边、目标边、候选所属报告和日志时间均建立索引，以支持常用查询。</w:t>
      </w:r>
    </w:p>
    <w:p>
      <w:pPr/>
      <w:r>
        <w:rPr>
          <w:rFonts w:ascii="Times New Roman" w:hAnsi="Times New Roman" w:eastAsia="宋体"/>
        </w:rPr>
        <w:t>迁移脚本按PostgreSQL语法编写，并由Testcontainers测试预留实际兼容性检查。当前开发机器没有Docker，因此该测试在本轮执行中被自动跳过。V3脚本和测试类证明正式结构已经定义，但不能证明PostgreSQL 17容器已在本机成功迁移。</w:t>
      </w:r>
    </w:p>
    <w:p>
      <w:pPr>
        <w:pStyle w:val="Caption"/>
      </w:pPr>
      <w:r>
        <w:rPr>
          <w:rFonts w:ascii="Times New Roman" w:hAnsi="Times New Roman" w:eastAsia="宋体"/>
        </w:rPr>
        <w:t>表5.3 V3迁移建立的追溯数据表</w:t>
      </w:r>
    </w:p>
    <w:tbl>
      <w:tblPr>
        <w:tblStyle w:val="TableGrid"/>
        <w:tblInd w:w="120" w:type="dxa"/>
        <w:tblW w:type="dxa" w:w="8900"/>
        <w:tblLayout w:type="fixed"/>
        <w:tblLook w:firstColumn="1" w:firstRow="1" w:lastColumn="0" w:lastRow="0" w:noHBand="0" w:noVBand="1" w:val="04A0"/>
      </w:tblPr>
      <w:tblGrid>
        <w:gridCol w:w="1602"/>
        <w:gridCol w:w="3560"/>
        <w:gridCol w:w="3738"/>
      </w:tblGrid>
      <w:tr>
        <w:trPr>
          <w:tblHeader w:val="true"/>
        </w:trPr>
        <w:tc>
          <w:tcPr>
            <w:tcW w:type="dxa" w:w="1602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数据组</w:t>
            </w:r>
          </w:p>
        </w:tc>
        <w:tc>
          <w:tcPr>
            <w:tcW w:type="dxa" w:w="3560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数据表</w:t>
            </w:r>
          </w:p>
        </w:tc>
        <w:tc>
          <w:tcPr>
            <w:tcW w:type="dxa" w:w="3738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主要职责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工件身份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trace_artifact_types；trace_artifacts；trace_artifact_versions</w:t>
            </w:r>
          </w:p>
        </w:tc>
        <w:tc>
          <w:tcPr>
            <w:tcW w:type="dxa" w:w="37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保存类型、稳定来源身份、历史版本和当前版本指针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关系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trace_relation_types；trace_relation_type_rules；trace_relations</w:t>
            </w:r>
          </w:p>
        </w:tc>
        <w:tc>
          <w:tcPr>
            <w:tcW w:type="dxa" w:w="37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保存关系语义、传播模式、权重、端点约束和有效状态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影响分析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trace_change_records；trace_impact_reports；trace_impact_candidates</w:t>
            </w:r>
          </w:p>
        </w:tc>
        <w:tc>
          <w:tcPr>
            <w:tcW w:type="dxa" w:w="37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保存变更输入、分析范围、初始分值和人工状态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解释路径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trace_impact_paths；trace_impact_path_steps</w:t>
            </w:r>
          </w:p>
        </w:tc>
        <w:tc>
          <w:tcPr>
            <w:tcW w:type="dxa" w:w="37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保存候选主路径和逐步关系依据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协同与记录</w:t>
            </w:r>
          </w:p>
        </w:tc>
        <w:tc>
          <w:tcPr>
            <w:tcW w:type="dxa" w:w="35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trace_analysis_ticket_links；trace_operation_logs</w:t>
            </w:r>
          </w:p>
        </w:tc>
        <w:tc>
          <w:tcPr>
            <w:tcW w:type="dxa" w:w="373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连接既有工单并记录成功写操作</w:t>
            </w:r>
          </w:p>
        </w:tc>
      </w:tr>
    </w:tbl>
    <w:p/>
    <w:p>
      <w:pPr>
        <w:pStyle w:val="FigurePlaceholder"/>
      </w:pPr>
      <w:r>
        <w:rPr>
          <w:rFonts w:ascii="Times New Roman" w:hAnsi="Times New Roman" w:eastAsia="宋体"/>
        </w:rPr>
        <w:t>【这里需要增加由V3迁移脚本绘制的ER图，至少展示Artifact、ArtifactVersion、TraceRelation、ChangeRecord、ImpactReport、ImpactCandidate、ImpactPath、ImpactPathStep、Ticket和OperationLog之间的主外键关系】</w:t>
      </w:r>
    </w:p>
    <w:p>
      <w:pPr>
        <w:pStyle w:val="Caption"/>
      </w:pPr>
      <w:r>
        <w:rPr>
          <w:rFonts w:ascii="Times New Roman" w:hAnsi="Times New Roman" w:eastAsia="宋体"/>
        </w:rPr>
        <w:t>图5.2 追溯与变更分析核心数据实体关系</w:t>
      </w:r>
    </w:p>
    <w:p>
      <w:pPr>
        <w:pStyle w:val="Heading3"/>
      </w:pPr>
      <w:r>
        <w:rPr>
          <w:rFonts w:ascii="Times New Roman" w:hAnsi="Times New Roman" w:eastAsia="黑体"/>
        </w:rPr>
        <w:t>5.2.2 稳定工件与追加版本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本小节用TTC V1/V2例子解释两个实体的区别。第一段写字段与唯一身份，第二段写创建事务，第三段写历史版本为何不能覆盖。不要宣称数据库完全禁止更新版本行，因为当前实现主要通过服务流程保证追加写入。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请撰写“5.2.2 稳定工件与追加版本”。定义Artifact和ArtifactVersion；说明来源三元组唯一、版本标签唯一、currentVersionId更新。用构造示例TTC由2.0 s变为2.5 s说明V1保留、V2追加。准确表述：服务没有提供修改旧版本的接口，但数据库层并非绝对不可更新。</w:t>
      </w:r>
    </w:p>
    <w:p>
      <w:pPr/>
      <w:r>
        <w:rPr>
          <w:rFonts w:ascii="Times New Roman" w:hAnsi="Times New Roman" w:eastAsia="宋体"/>
        </w:rPr>
        <w:t>Artifact实体表示跨时间保持不变的工件身份，核心字段为sourceModule、sourceObjectType和sourceObjectId。三元组直接指向ODS中的来源对象，或指向TRACE_LOCAL中的论文构造对象。ArtifactVersion保存versionLabel、displayName、status、owner、contentSummary、contentFingerprint和sourceUpdatedAt等快照信息；Artifact.currentVersionId指向最新采用版本。</w:t>
      </w:r>
    </w:p>
    <w:p>
      <w:pPr/>
      <w:r>
        <w:rPr>
          <w:rFonts w:ascii="Times New Roman" w:hAnsi="Times New Roman" w:eastAsia="宋体"/>
        </w:rPr>
        <w:t>创建工件时，ArtifactService先调用ArtifactSourceRegistry确认来源对象存在，再检查来源三元组是否重复，并检查工件类型是否启用。随后在同一事务中写入Artifact和首个ArtifactVersion，最后更新currentVersionId。新增版本时，服务只允许追加新的versionLabel，并将当前版本指针移向新记录。服务层没有提供覆盖旧版本内容的修改接口。</w:t>
      </w:r>
    </w:p>
    <w:p>
      <w:pPr/>
      <w:r>
        <w:rPr>
          <w:rFonts w:ascii="Times New Roman" w:hAnsi="Times New Roman" w:eastAsia="宋体"/>
        </w:rPr>
        <w:t>以构造的TTC阈值变化为例，2.0 s保存为V1，2.5 s保存为V2。新分析引用V2，既有报告仍引用V1，从而避免历史解释随当前值变化。当前“不可变”由追加式服务接口和论文工作流保证；数据库没有为版本表设置阻止所有UPDATE的触发器，因此不应将其表述为数据库级绝对不可变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工件创建与版本追加的时序图，参与者包括React页面、TraceabilityController、ArtifactService、ArtifactSourceRegistry、ArtifactRepository和ArtifactVersionRepository；标出来源校验、唯一性检查、写入V1/V2和更新currentVersionId】</w:t>
      </w:r>
    </w:p>
    <w:p>
      <w:pPr>
        <w:pStyle w:val="Caption"/>
      </w:pPr>
      <w:r>
        <w:rPr>
          <w:rFonts w:ascii="Times New Roman" w:hAnsi="Times New Roman" w:eastAsia="宋体"/>
        </w:rPr>
        <w:t>图5.3 工件登记与版本追加实现流程</w:t>
      </w:r>
    </w:p>
    <w:p>
      <w:pPr>
        <w:pStyle w:val="Heading3"/>
      </w:pPr>
      <w:r>
        <w:rPr>
          <w:rFonts w:ascii="Times New Roman" w:hAnsi="Times New Roman" w:eastAsia="黑体"/>
        </w:rPr>
        <w:t>5.2.3 关系、变更与报告对象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本小节解释为何关系连接具体版本而不是稳定工件，并说明变更、候选、路径和工单链接如何组成可回查记录。每段对应一组实体，避免大段罗列类名。结尾指出当前只保存一条主路径。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请撰写“5.2.3 关系、变更与报告对象”。说明TraceRelation连接两个ArtifactVersion，RelationTypeDefinition保存传播模式与权重；ChangeRecord、ImpactReport、ImpactCandidate、ImpactPath、ImpactPathStep和AnalysisTicketLink形成持久化链。指出候选初始分值与人工状态分开保存，目前只写入pathRank=1主路径。</w:t>
      </w:r>
    </w:p>
    <w:p>
      <w:pPr/>
      <w:r>
        <w:rPr>
          <w:rFonts w:ascii="Times New Roman" w:hAnsi="Times New Roman" w:eastAsia="宋体"/>
        </w:rPr>
        <w:t>TraceRelation连接两个具体ArtifactVersion，而不是连接Artifact。该处理保证关系含义对应确定版本，例如“参数V2配置算法V3”，不会因任一工件更新而自动改变历史关系。RelationTypeDefinition保存关系编码、箭头含义、传播模式和基础权重；TraceRelation保存建立依据、创建人、有效状态以及停用原因。</w:t>
      </w:r>
    </w:p>
    <w:p>
      <w:pPr/>
      <w:r>
        <w:rPr>
          <w:rFonts w:ascii="Times New Roman" w:hAnsi="Times New Roman" w:eastAsia="宋体"/>
        </w:rPr>
        <w:t>ChangeRecord记录来源版本、变化类型、变化前后内容和说明。ImpactReport记录分析深度、节点上限、规则版本、候选数与截断状态。每个ImpactCandidate保存目标版本、initialScore、initialLevel和reviewStatus，使系统初始判断与人工结论保持分离。ImpactPath及ImpactPathStep按顺序保存候选的解释链，步骤中保留关系、遍历方向、关系权重和累计分值。</w:t>
      </w:r>
    </w:p>
    <w:p>
      <w:pPr/>
      <w:r>
        <w:rPr>
          <w:rFonts w:ascii="Times New Roman" w:hAnsi="Times New Roman" w:eastAsia="宋体"/>
        </w:rPr>
        <w:t>AnalysisTicketLink将确认后的候选与既有Ticket实体连接，不复制工单业务字段。当前实现为每个候选保存一条pathRank等于1的主解释路径；第四章设计的可选第二路径尚未实现。该差异意味着报告可以回答“主要依据是什么”，但不能比较两条近似得分路径。</w:t>
      </w:r>
    </w:p>
    <w:p>
      <w:pPr>
        <w:pStyle w:val="Heading2"/>
      </w:pPr>
      <w:r>
        <w:rPr>
          <w:rFonts w:ascii="Times New Roman" w:hAnsi="Times New Roman" w:eastAsia="黑体"/>
        </w:rPr>
        <w:t>5.3 工件、版本与关系管理实现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从服务规则角度说明数据怎样被安全地写入。结构按工件、关系和来源适配展开，使每个业务约束都能对应到ArtifactService或ArtifactSourceRegistry中的实际判断。截图或代码片段只选择关键分支，不大段粘贴源代码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请撰写“5.3 工件、版本与关系管理实现”。说明ArtifactService中的来源存在检查、来源三元组唯一、版本追加、currentVersionId、自连接拒绝、关系类型检查、重复关系冲突、停用关系恢复和停用原因。单列ArtifactSourceRegistry当前仅实现exists的差距。</w:t>
      </w:r>
    </w:p>
    <w:p>
      <w:pPr/>
      <w:r>
        <w:rPr>
          <w:rFonts w:ascii="Times New Roman" w:hAnsi="Times New Roman" w:eastAsia="宋体"/>
        </w:rPr>
        <w:t>工件和关系是后续查询与分析的输入，其写入质量直接决定输出能否解释。实现将字段格式校验交给请求对象，将跨表业务规则放在ArtifactService，将唯一性和外键约束留给数据库。三层校验分别处理空值或范围错误、业务语义冲突和并发下的一致性。</w:t>
      </w:r>
    </w:p>
    <w:p>
      <w:pPr>
        <w:pStyle w:val="Heading3"/>
      </w:pPr>
      <w:r>
        <w:rPr>
          <w:rFonts w:ascii="Times New Roman" w:hAnsi="Times New Roman" w:eastAsia="黑体"/>
        </w:rPr>
        <w:t>5.3.1 工件登记与版本追加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本小节按服务执行顺序写，不重复数据库章节。第一段说明登记前检查，第二段说明事务写入，第三段说明返回结构及当前权限边界。建议配一段短伪代码或控制台截图，但无需展示完整Java方法。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请撰写“5.3.1 工件登记与版本追加”。依据ArtifactService.create与addVersion按步骤说明：来源存在、三元组冲突、类型启用、创建工件和版本、更新当前指针、记录成功日志；新增版本检查versionLabel。说明列表响应返回所有版本和当前版本。</w:t>
      </w:r>
    </w:p>
    <w:p>
      <w:pPr/>
      <w:r>
        <w:rPr>
          <w:rFonts w:ascii="Times New Roman" w:hAnsi="Times New Roman" w:eastAsia="宋体"/>
        </w:rPr>
        <w:t>登记请求首先给出来源模块、来源对象类型、来源对象标识、工件类型和首个版本内容。ArtifactSourceRegistry确认来源记录存在；随后仓库按来源三元组检查重复，工件类型仓库检查编码存在且处于启用状态。任一条件不满足时，服务在写入前返回业务错误或冲突错误。</w:t>
      </w:r>
    </w:p>
    <w:p>
      <w:pPr/>
      <w:r>
        <w:rPr>
          <w:rFonts w:ascii="Times New Roman" w:hAnsi="Times New Roman" w:eastAsia="宋体"/>
        </w:rPr>
        <w:t>校验通过后，create方法依次保存稳定工件和首个版本，并将版本标识写入currentVersionId。addVersion方法检查同一工件内的版本标签不重复，保存新版本后更新当前指针。两个方法均在Spring事务中执行，因此中间写入失败时不会留下只有工件而没有版本，或已经新增版本但当前指针未更新的不完整状态。</w:t>
      </w:r>
    </w:p>
    <w:p>
      <w:pPr/>
      <w:r>
        <w:rPr>
          <w:rFonts w:ascii="Times New Roman" w:hAnsi="Times New Roman" w:eastAsia="宋体"/>
        </w:rPr>
        <w:t>查询响应同时返回currentVersion和按创建时间倒序排列的versions列表，前端可展示当前状态并为后续历史视图保留数据。当前前端只提供新建工件入口，尚未提供版本追加表单；版本追加能力已经存在于后端接口，但不能写成完整的前端闭环。</w:t>
      </w:r>
    </w:p>
    <w:p>
      <w:pPr>
        <w:pStyle w:val="Heading3"/>
      </w:pPr>
      <w:r>
        <w:rPr>
          <w:rFonts w:ascii="Times New Roman" w:hAnsi="Times New Roman" w:eastAsia="黑体"/>
        </w:rPr>
        <w:t>5.3.2 关系创建、停用与恢复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本小节说明关系生命周期，不仅说明新增。用“源版本—关系类型—目标版本”三元组解释重复判断；说明停用而不删除的原因；准确写出端点规则只有配置后才生效。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请撰写“5.3.2 关系创建、停用与恢复”。依据ArtifactService.createRelation与changeRelationStatus，说明拒绝自连接、验证两个版本和启用关系类型、可选端点类型规则、相同活动关系409、相同停用关系恢复、停用必填原因。指出种子数据未配置端点规则。</w:t>
      </w:r>
    </w:p>
    <w:p>
      <w:pPr/>
      <w:r>
        <w:rPr>
          <w:rFonts w:ascii="Times New Roman" w:hAnsi="Times New Roman" w:eastAsia="宋体"/>
        </w:rPr>
        <w:t>关系创建请求包含源版本、目标版本、关系类型和建立依据。服务先拒绝源目标相同的自连接，再读取两个版本与启用的关系类型。若某关系类型已经配置端点类型规则，则只有规则表中允许的源类型和目标类型组合可以写入；若该类型没有任何规则，则当前实现按开放方式处理。</w:t>
      </w:r>
    </w:p>
    <w:p>
      <w:pPr/>
      <w:r>
        <w:rPr>
          <w:rFonts w:ascii="Times New Roman" w:hAnsi="Times New Roman" w:eastAsia="宋体"/>
        </w:rPr>
        <w:t>关系唯一性由源版本、目标版本和关系类型三元组确定。完全相同的有效关系再次提交时返回冲突，防止重复边改变遍历结果；若相同关系已经停用，则创建请求恢复原记录，而不再生成一条历史重复记录。停用操作不删除关系，并强制填写原因；恢复时清除停用状态。查询和影响分析只使用active为true且关系类型仍启用的边。</w:t>
      </w:r>
    </w:p>
    <w:p>
      <w:pPr/>
      <w:r>
        <w:rPr>
          <w:rFonts w:ascii="Times New Roman" w:hAnsi="Times New Roman" w:eastAsia="宋体"/>
        </w:rPr>
        <w:t>V3迁移已经建立trace_relation_type_rules表，ArtifactService也实现了相应检查，但TraceabilityDataInitializer没有写入端点规则种子数据。因此，当前AEB Demo中的关系合法性主要由关系类型存在、自连接和重复检查控制，尚不能证明类型组合限制已在演示数据中生效。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【这里需要增加关系管理页面截图，显示源版本、目标版本、关系类型、建立依据和有效状态；截图应使用固定AEB构造数据，并遮蔽任何本地账号信息】</w:t>
      </w:r>
    </w:p>
    <w:p>
      <w:pPr>
        <w:pStyle w:val="Caption"/>
      </w:pPr>
      <w:r>
        <w:rPr>
          <w:rFonts w:ascii="Times New Roman" w:hAnsi="Times New Roman" w:eastAsia="宋体"/>
        </w:rPr>
        <w:t>图5.4 工件关系创建与状态展示</w:t>
      </w:r>
    </w:p>
    <w:p>
      <w:pPr>
        <w:pStyle w:val="Heading3"/>
      </w:pPr>
      <w:r>
        <w:rPr>
          <w:rFonts w:ascii="Times New Roman" w:hAnsi="Times New Roman" w:eastAsia="黑体"/>
        </w:rPr>
        <w:t>5.3.3 来源注册表的当前实现边界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本小节专门解释第四章来源适配器设计与当前代码的差距。先写已完成的exists检查，再写未完成的canRead、摘要和链接，最后说明这会怎样影响查询结果。该内容必须明确，不能用“接口可扩展”掩盖权限缺口。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请撰写“5.3.3 来源注册表的当前实现边界”。列出ArtifactSourceRegistry支持PROJECT、PMO、VEHICLE_MARKET、ACADEMY、KNOWLEDGE、VIDEO_GUIDELINE、WORKSPACE和TRACE_LOCAL，只实现exists。明确canRead、loadSummary、buildDetailUrl和细粒度来源可见性未实现，restrictedCount恒为0、响应restricted=false。</w:t>
      </w:r>
    </w:p>
    <w:p>
      <w:pPr/>
      <w:r>
        <w:rPr>
          <w:rFonts w:ascii="Times New Roman" w:hAnsi="Times New Roman" w:eastAsia="宋体"/>
        </w:rPr>
        <w:t>ArtifactSourceRegistry当前根据sourceModule选择对应仓库，并使用sourceObjectId检查来源记录是否存在。PROJECT、PMO、VEHICLE_MARKET、ACADEMY、KNOWLEDGE、VIDEO_GUIDELINE和WORKSPACE要求来源标识能够解析为UUID且仓库中存在记录；TRACE_LOCAL直接接受本地构造工件。该实现可以阻止明显无效的跨模块引用。</w:t>
      </w:r>
    </w:p>
    <w:p>
      <w:pPr/>
      <w:r>
        <w:rPr>
          <w:rFonts w:ascii="Times New Roman" w:hAnsi="Times New Roman" w:eastAsia="宋体"/>
        </w:rPr>
        <w:t>第四章设计的canRead、loadSummary和buildDetailUrl尚未实现，来源注册表也没有按当前用户和来源对象执行细粒度可见性判断。ArtifactResponse中的restricted字段固定为false，TraceQueryResponse中的restrictedCount固定为0。由此，当前Demo只能证明跨模块对象存在性校验，不能证明受限工件隐藏、权限边界截断、来源摘要同步或详情跳转已经完成。</w:t>
      </w:r>
    </w:p>
    <w:p>
      <w:pPr/>
      <w:r>
        <w:rPr>
          <w:rFonts w:ascii="Times New Roman" w:hAnsi="Times New Roman" w:eastAsia="宋体"/>
        </w:rPr>
        <w:t>该差距不会改变本章对构造AEB数据的本地演示，但限制了系统在多用户环境中的适用性。第六章的功能验证不把restrictedCount等于0解释为“没有权限问题”，而只记录当前实现未进入来源可见性分支。</w:t>
      </w:r>
    </w:p>
    <w:p>
      <w:pPr>
        <w:pStyle w:val="Heading2"/>
      </w:pPr>
      <w:r>
        <w:rPr>
          <w:rFonts w:ascii="Times New Roman" w:hAnsi="Times New Roman" w:eastAsia="黑体"/>
        </w:rPr>
        <w:t>5.4 有界追溯查询实现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本节解释论文核心查询功能。先定义输入与邻接表，再解释BFS、循环终止和边界，最后解释返回的节点、边、路径和截断标志。正文应让不了解图算法的读者也能理解“从一个工件一层一层向外查找”。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请撰写“5.4 有界追溯查询实现”。依据TraceQueryService，说明活动边邻接表、FORWARD/REVERSE、默认深度3、最大5、默认和最大节点100、队列、visited集合、每个到达节点一条最短路径、循环终止、关系过滤先执行、工件过滤后执行以及durationMs。引用BFS公开教材。</w:t>
      </w:r>
    </w:p>
    <w:p>
      <w:pPr/>
      <w:r>
        <w:rPr>
          <w:rFonts w:ascii="Times New Roman" w:hAnsi="Times New Roman" w:eastAsia="宋体"/>
        </w:rPr>
        <w:t>追溯查询的目标是从一个确定版本出发，沿关系箭头正向寻找下游，或逆向寻找上游。实现采用有界广度优先搜索（Breadth-First Search，BFS）：先访问距离起点一跳的节点，再访问两跳节点，直至达到深度或节点上限。BFS在无权图中能够首先得到边数最少的到达路径[6]，适合作为解释路径的基础。</w:t>
      </w:r>
    </w:p>
    <w:p>
      <w:pPr>
        <w:pStyle w:val="Heading3"/>
      </w:pPr>
      <w:r>
        <w:rPr>
          <w:rFonts w:ascii="Times New Roman" w:hAnsi="Times New Roman" w:eastAsia="黑体"/>
        </w:rPr>
        <w:t>5.4.1 查询输入与邻接结构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本小节从请求字段开始写，解释方向和过滤器如何改变可遍历边。必须区分关系过滤与工件过滤：前者影响走哪条边，后者只影响最终展示。说明一次装载活动边适用于当前小规模数据。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请撰写“5.4.1 查询输入与邻接结构”。说明TraceQueryRequest包含sourceVersionId、direction、maxDepth、maxNodes、relationTypeCodes和artifactTypeCodes。TraceQueryService一次读取有效关系，在内存构建正向或反向邻接表；关系过滤在建表时执行，工件过滤只用于结果输出。</w:t>
      </w:r>
    </w:p>
    <w:p>
      <w:pPr/>
      <w:r>
        <w:rPr>
          <w:rFonts w:ascii="Times New Roman" w:hAnsi="Times New Roman" w:eastAsia="宋体"/>
        </w:rPr>
        <w:t>查询请求以sourceVersionId为起点，并接受direction、maxDepth、maxNodes、relationTypeCodes和artifactTypeCodes。方向为FORWARD时，邻接表以关系的sourceVersionId为键并指向targetVersionId；方向为REVERSE时，以targetVersionId为键并指向sourceVersionId，同时在返回步骤中记录实际遍历方向。</w:t>
      </w:r>
    </w:p>
    <w:p>
      <w:pPr/>
      <w:r>
        <w:rPr>
          <w:rFonts w:ascii="Times New Roman" w:hAnsi="Times New Roman" w:eastAsia="宋体"/>
        </w:rPr>
        <w:t>服务一次读取全部有效关系，在内存中建立本次查询的邻接表。relationTypeCodes在邻接表构建阶段过滤，因此未选关系既不展示也不参与向外扩展；artifactTypeCodes在遍历完成后过滤节点与路径终点，因此中间节点仍可作为连接桥梁。该语义可防止某类中间工件被展示筛选意外切断路径。</w:t>
      </w:r>
    </w:p>
    <w:p>
      <w:pPr/>
      <w:r>
        <w:rPr>
          <w:rFonts w:ascii="Times New Roman" w:hAnsi="Times New Roman" w:eastAsia="宋体"/>
        </w:rPr>
        <w:t>一次装载活动边会使查询成本随当前关系总量增长，但在最多数百条关系的Demo中实现简单且可测。若后续扩展到大量工件，应改为按批次读取邻接边或使用专门的图查询方案；本章不把当前内存策略外推为大规模系统方案。</w:t>
      </w:r>
    </w:p>
    <w:p>
      <w:pPr>
        <w:pStyle w:val="Heading3"/>
      </w:pPr>
      <w:r>
        <w:rPr>
          <w:rFonts w:ascii="Times New Roman" w:hAnsi="Times New Roman" w:eastAsia="黑体"/>
        </w:rPr>
        <w:t>5.4.2 广度优先遍历与循环终止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本小节用队列、已访问集合和前驱路径三个通俗概念解释算法。正文给出伪代码式步骤和复杂度，不粘贴Java源码。四节点环测试应作为实现证据提及，但完整结果放到第六章。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请撰写“5.4.2 广度优先遍历与循环终止”。说明ArrayDeque队列、LinkedHashMap visited、PathState路径副本。起点深度0；首次到达节点时保存路径；已访问节点不再入队；达到maxDepth或maxNodes设置截断标志。给出O(V+E)复杂度，并提及四节点环集成测试终止。</w:t>
      </w:r>
    </w:p>
    <w:p>
      <w:pPr/>
      <w:r>
        <w:rPr>
          <w:rFonts w:ascii="Times New Roman" w:hAnsi="Times New Roman" w:eastAsia="宋体"/>
        </w:rPr>
        <w:t>遍历开始时，队列只包含起点，深度为0，路径为空；visited集合同时记录起点。每次从队首取出一个PathState，枚举其邻接边。若目标版本已在visited中，则跳过该边；否则复制当前路径、追加新边，保存新节点和路径，并把新状态放到队尾。由于节点只在第一次到达时加入visited，循环关系不会使节点无限入队。</w:t>
      </w:r>
    </w:p>
    <w:p>
      <w:pPr/>
      <w:r>
        <w:rPr>
          <w:rFonts w:ascii="Times New Roman" w:hAnsi="Times New Roman" w:eastAsia="宋体"/>
        </w:rPr>
        <w:t>当当前深度达到maxDepth时，服务不再扩展该节点；若仍存在未访问邻接节点，则truncatedByDepth设为true。当已访问节点达到maxNodes时，服务停止加入新节点，并设置truncatedByNodeLimit。请求未给出上限时，默认深度为3、节点数为100；参数校验将深度限制在1至5，将节点数限制在1至100。</w:t>
      </w:r>
    </w:p>
    <w:p>
      <w:pPr/>
      <w:r>
        <w:rPr>
          <w:rFonts w:ascii="Times New Roman" w:hAnsi="Times New Roman" w:eastAsia="宋体"/>
        </w:rPr>
        <w:t>在本次已加载的活动子图中，算法时间复杂度为O(V+E)，V为访问节点数，E为检查边数；路径副本会增加与路径长度相关的少量开销。集成测试构造A→B→C→A的三节点环并从C连接D，查询最终返回4个节点和3条到达路径，说明循环能够终止。该测试在本章只用于证明实现存在，完整测试设计与判定在第六章展开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【这里需要增加有界BFS流程图，包含起点入队、取队首、深度检查、遍历活动邻接边、visited判定、节点上限判定、保存路径、入队以及输出截断标志】</w:t>
      </w:r>
    </w:p>
    <w:p>
      <w:pPr>
        <w:pStyle w:val="Caption"/>
      </w:pPr>
      <w:r>
        <w:rPr>
          <w:rFonts w:ascii="Times New Roman" w:hAnsi="Times New Roman" w:eastAsia="宋体"/>
        </w:rPr>
        <w:t>图5.5 有界正反向追溯查询流程</w:t>
      </w:r>
    </w:p>
    <w:p>
      <w:pPr>
        <w:pStyle w:val="Heading3"/>
      </w:pPr>
      <w:r>
        <w:rPr>
          <w:rFonts w:ascii="Times New Roman" w:hAnsi="Times New Roman" w:eastAsia="黑体"/>
        </w:rPr>
        <w:t>5.4.3 查询结果与截断信息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本小节说明接口为什么不能只返回节点列表。正文依次解释nodes、edges、paths、截断字段、restrictedCount和durationMs。需明确一节点只保留首次到达路径，因此结果不是全部可能路径集合。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请撰写“5.4.3 查询结果与截断信息”。说明TraceQueryResponse返回sourceVersionId、direction、maxDepth、maxNodes、nodes、edges、paths、truncatedByDepth、truncatedByNodeLimit、restrictedCount、durationMs。每个节点一条BFS最短路径；不是所有路径。说明restrictedCount当前为0。</w:t>
      </w:r>
    </w:p>
    <w:p>
      <w:pPr/>
      <w:r>
        <w:rPr>
          <w:rFonts w:ascii="Times New Roman" w:hAnsi="Times New Roman" w:eastAsia="宋体"/>
        </w:rPr>
        <w:t>查询响应同时返回节点、去重边和到达路径。nodes用于显示工件名称、类型、来源和版本；edges用于解释节点之间的实际连接；paths按目标版本保存从起点到该目标的一条完整步骤序列。由于visited在第一次到达时即固定节点，路径是BFS发现的一条最少跳数路径，不是起点与目标之间的全部可能路径。</w:t>
      </w:r>
    </w:p>
    <w:p>
      <w:pPr/>
      <w:r>
        <w:rPr>
          <w:rFonts w:ascii="Times New Roman" w:hAnsi="Times New Roman" w:eastAsia="宋体"/>
        </w:rPr>
        <w:t>truncatedByDepth和truncatedByNodeLimit分别表示结果是否因深度或节点数量边界提前停止。前端在任一标志为true时显示结果可能不完整的提示。durationMs记录服务内部查询耗时，可作为第六章响应时间实验的原始指标之一，但单次时长不用于证明稳定性能。</w:t>
      </w:r>
    </w:p>
    <w:p>
      <w:pPr/>
      <w:r>
        <w:rPr>
          <w:rFonts w:ascii="Times New Roman" w:hAnsi="Times New Roman" w:eastAsia="宋体"/>
        </w:rPr>
        <w:t>restrictedCount预留用于统计因来源权限不能展开的节点，当前实现始终返回0，节点的restricted也固定为false。因此，查询结果能够表达深度和节点限制，尚不能表达真实权限截断。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【这里需要增加追溯查询页面实际截图，选择一个AEB构造工件，显示正向或反向、深度、节点列表、完整路径和截断提示；截图旁注明数据为Demo构造数据】</w:t>
      </w:r>
    </w:p>
    <w:p>
      <w:pPr>
        <w:pStyle w:val="Caption"/>
      </w:pPr>
      <w:r>
        <w:rPr>
          <w:rFonts w:ascii="Times New Roman" w:hAnsi="Times New Roman" w:eastAsia="宋体"/>
        </w:rPr>
        <w:t>图5.6 有界追溯查询结果展示</w:t>
      </w:r>
    </w:p>
    <w:p>
      <w:pPr>
        <w:pStyle w:val="Heading2"/>
      </w:pPr>
      <w:r>
        <w:rPr>
          <w:rFonts w:ascii="Times New Roman" w:hAnsi="Times New Roman" w:eastAsia="黑体"/>
        </w:rPr>
        <w:t>5.5 变更影响分析实现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说明如何从追溯关系生成可解释候选。结构按变更记录、传播与评分、候选持久化、AEB场景展开。核心写作原则是把分值定义为复核优先级，而不是故障概率或安全风险。公式中的每个因子都要用普通语言解释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请撰写“5.5 变更影响分析实现”。依据ImpactAnalysisService说明ChangeRecord、传播模式FORWARD/REVERSE/BOTH、关系权重乘积、0.85路径衰减、未匹配变化系数0.85、最高分路径保留、HIGH&gt;=70、MEDIUM&gt;=40、LOW&lt;40和一条主解释路径。明确分值不是概率。</w:t>
      </w:r>
    </w:p>
    <w:p>
      <w:pPr/>
      <w:r>
        <w:rPr>
          <w:rFonts w:ascii="Times New Roman" w:hAnsi="Times New Roman" w:eastAsia="宋体"/>
        </w:rPr>
        <w:t>变更影响分析复用追溯图，但遍历方向不直接等同于关系箭头方向。每种关系类型通过propagationMode定义变化应沿箭头正向、反向或双向传播。系统在传播过程中计算候选分值并保存解释路径，输出用于缩小人工检查范围，而不自动修改工件、市场内容、课程或工单。</w:t>
      </w:r>
    </w:p>
    <w:p>
      <w:pPr>
        <w:pStyle w:val="Heading3"/>
      </w:pPr>
      <w:r>
        <w:rPr>
          <w:rFonts w:ascii="Times New Roman" w:hAnsi="Times New Roman" w:eastAsia="黑体"/>
        </w:rPr>
        <w:t>5.5.1 变更记录与报告创建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本小节先写输入，再写报告生成状态。说明没有关系时零候选也是合法结果，不能把空报告当作异常。提示变化前后内容是论文构造值。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请撰写“5.5.1 变更记录与报告创建”。说明POST /changes保存sourceVersionId、changeType、beforeContent、afterContent、description和createdBy；分析接口默认深度3、节点100，创建ImpactReport后计算并排序候选。零候选时报告直接进入已复核状态。</w:t>
      </w:r>
    </w:p>
    <w:p>
      <w:pPr/>
      <w:r>
        <w:rPr>
          <w:rFonts w:ascii="Times New Roman" w:hAnsi="Times New Roman" w:eastAsia="宋体"/>
        </w:rPr>
        <w:t>变更首先作为ChangeRecord独立保存。请求指定发生变化的工件版本、PARAMETER、HARDWARE、GOAL或OTHER类型，以及变化前内容、变化后内容和文字说明。独立记录变更可以使同一来源版本在不同假设下生成不同报告，也使报告能够回查输入。Demo中的前后值均为构造内容。</w:t>
      </w:r>
    </w:p>
    <w:p>
      <w:pPr/>
      <w:r>
        <w:rPr>
          <w:rFonts w:ascii="Times New Roman" w:hAnsi="Times New Roman" w:eastAsia="宋体"/>
        </w:rPr>
        <w:t>分析接口读取变更后创建ImpactReport，并记录最大深度、最大节点数、规则版本和创建人。未指定范围时采用深度3和节点100。服务完成传播后按分值降序写入候选，保存深度或节点截断状态；若候选数为0，则报告直接标记为已复核，因为不存在需要人工处理的项目。零候选只表示在当前关系、传播模式和范围内未找到对象，不证明变化没有实际影响。</w:t>
      </w:r>
    </w:p>
    <w:p>
      <w:pPr>
        <w:pStyle w:val="Heading3"/>
      </w:pPr>
      <w:r>
        <w:rPr>
          <w:rFonts w:ascii="Times New Roman" w:hAnsi="Times New Roman" w:eastAsia="黑体"/>
        </w:rPr>
        <w:t>5.5.2 传播规则与简化评分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本小节给出公式和分级阈值。第一段解释传播邻接表，第二段给公式，第三段解释变化类型匹配，第四段说明边界。必须注明参数是Demo规则，不是训练得到或行业标准。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请撰写“5.5.2 传播规则与简化评分”。给出S=100×min(1,关系权重乘积×0.85^(L-1)×M)；M匹配为1，否则0.85。PARAMETER偏好CONSTRAINS/CONFIGURES/VERIFIED_BY/DESCRIBED_BY；HARDWARE偏好CONFIGURES/DEPENDS_ON/IMPLEMENTED_BY/VERIFIED_BY；GOAL偏好DECOMPOSES/CONSTRAINS/IMPLEMENTED_BY/VERIFIED_BY。解释等级阈值且声明非概率。</w:t>
      </w:r>
    </w:p>
    <w:p>
      <w:pPr/>
      <w:r>
        <w:rPr>
          <w:rFonts w:ascii="Times New Roman" w:hAnsi="Times New Roman" w:eastAsia="宋体"/>
        </w:rPr>
        <w:t>传播邻接表只包含有效关系和启用的关系类型。FORWARD关系从源版本传播到目标版本，REVERSE关系从目标版本传播到源版本，BOTH同时建立两个方向。遍历状态保存当前关系权重乘积、路径是否出现与变化类型匹配的关系、路径步骤和路径内节点集合。路径内节点集合用于阻止同一路径再次进入已出现节点。</w:t>
      </w:r>
    </w:p>
    <w:p>
      <w:pPr/>
      <w:r>
        <w:rPr>
          <w:rFonts w:ascii="Times New Roman" w:hAnsi="Times New Roman" w:eastAsia="宋体"/>
        </w:rPr>
        <w:t>设路径p包含L条关系，第i条关系的基础权重为w_i，路径衰减常数为d=0.85，变化类型匹配系数为M。候选初始分值定义为：</w:t>
      </w:r>
    </w:p>
    <w:p>
      <w:pPr>
        <w:jc w:val="center"/>
      </w:pPr>
      <w:r>
        <w:rPr>
          <w:rFonts w:ascii="Times New Roman" w:hAnsi="Times New Roman" w:eastAsia="宋体"/>
        </w:rPr>
        <w:t>S(p,c) = 100 × min{1, (∏ w_i) × 0.85^(L-1) × M(c,p)}</w:t>
      </w:r>
    </w:p>
    <w:p>
      <w:pPr/>
      <w:r>
        <w:rPr>
          <w:rFonts w:ascii="Times New Roman" w:hAnsi="Times New Roman" w:eastAsia="宋体"/>
        </w:rPr>
        <w:t>第一跳不衰减，第二跳起每增加一跳乘以0.85。若路径中至少存在一种与变化类型偏好集合匹配的关系，则M等于1；否则M等于0.85。PARAMETER偏好CONSTRAINS、CONFIGURES、VERIFIED_BY和DESCRIBED_BY；HARDWARE偏好CONFIGURES、DEPENDS_ON、IMPLEMENTED_BY和VERIFIED_BY；GOAL偏好DECOMPOSES、CONSTRAINS、IMPLEMENTED_BY和VERIFIED_BY；OTHER不设置偏好。</w:t>
      </w:r>
    </w:p>
    <w:p>
      <w:pPr/>
      <w:r>
        <w:rPr>
          <w:rFonts w:ascii="Times New Roman" w:hAnsi="Times New Roman" w:eastAsia="宋体"/>
        </w:rPr>
        <w:t>同一目标可能由多条路径到达，服务只保留分值最高的候选和该路径，并且仅在新的到达分值高于既有展开分值时继续扩展。分值不低于70划为HIGH，不低于40且小于70划为MEDIUM，其余划为LOW。关系权重、衰减常数、偏好集合和阈值均为本论文Demo的透明规则，没有通过企业历史数据训练，也不表示事故概率、失效概率或安全风险。它们只用于安排人工复核顺序。</w:t>
      </w:r>
    </w:p>
    <w:p>
      <w:pPr>
        <w:pStyle w:val="Heading3"/>
      </w:pPr>
      <w:r>
        <w:rPr>
          <w:rFonts w:ascii="Times New Roman" w:hAnsi="Times New Roman" w:eastAsia="黑体"/>
        </w:rPr>
        <w:t>5.5.3 候选去重与解释路径持久化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本小节说明可解释性如何落库。区分“候选去重”和“环路防止”：前者按目标保留最高分，后者按当前路径节点集合阻止循环。说明路径步骤保存哪些字段，并诚实写出只保存一条路径。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请撰写“5.5.3 候选去重与解释路径持久化”。说明bestCandidates按目标版本保留最高分，bestExpandedScore控制是否继续扩展，pathNodes阻止路径内循环。ImpactCandidate保存分值和等级，ImpactPath保存rank=1、长度与总分，ImpactPathStep保存顺序、关系、源目标、方向、权重和累计分。</w:t>
      </w:r>
    </w:p>
    <w:p>
      <w:pPr/>
      <w:r>
        <w:rPr>
          <w:rFonts w:ascii="Times New Roman" w:hAnsi="Times New Roman" w:eastAsia="宋体"/>
        </w:rPr>
        <w:t>分析过程使用bestCandidates按目标版本去重。目标第一次出现时建立候选；后续路径只有在分值更高时才替换候选。bestExpandedScore另行记录某节点已经用于向外扩展的最高分值，较低分路径不再重复扩展。pathNodes仅约束当前路径，既阻止环路，又允许同一节点由另一条更高分路径重新到达。</w:t>
      </w:r>
    </w:p>
    <w:p>
      <w:pPr/>
      <w:r>
        <w:rPr>
          <w:rFonts w:ascii="Times New Roman" w:hAnsi="Times New Roman" w:eastAsia="宋体"/>
        </w:rPr>
        <w:t>持久化时，ImpactCandidate保存三位小数的initialScore和初始等级。ImpactPath保存pathRank=1、totalScore、length和primaryPath=true；每个ImpactPathStep按sequenceNo保存对应关系、源版本、目标版本、实际遍历方向、关系权重和该步累计分值。前端可据此逐步显示“从哪个版本，经何种关系，到达哪个版本”。</w:t>
      </w:r>
    </w:p>
    <w:p>
      <w:pPr/>
      <w:r>
        <w:rPr>
          <w:rFonts w:ascii="Times New Roman" w:hAnsi="Times New Roman" w:eastAsia="宋体"/>
        </w:rPr>
        <w:t>当前实现没有保存次高路径，也没有计算多路径合并置信度。因此，候选解释代表当前规则下分值最高的一条传播链，而不是所有可能依据。该限制降低了实现复杂度，也限定了第六章只能验证主路径完整性。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【这里需要增加影响分析算法流程图，包含传播邻接表、路径循环检查、关系权重、路径衰减、变化类型匹配、目标最高分更新、分级和主路径落库】</w:t>
      </w:r>
    </w:p>
    <w:p>
      <w:pPr>
        <w:pStyle w:val="Caption"/>
      </w:pPr>
      <w:r>
        <w:rPr>
          <w:rFonts w:ascii="Times New Roman" w:hAnsi="Times New Roman" w:eastAsia="宋体"/>
        </w:rPr>
        <w:t>图5.7 可解释影响候选生成流程</w:t>
      </w:r>
    </w:p>
    <w:p>
      <w:pPr>
        <w:pStyle w:val="Heading3"/>
      </w:pPr>
      <w:r>
        <w:rPr>
          <w:rFonts w:ascii="Times New Roman" w:hAnsi="Times New Roman" w:eastAsia="黑体"/>
        </w:rPr>
        <w:t>5.5.4 三类AEB构造变化的实现配置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本小节把用户确定的TTC、硬件和制动距离三类变化落到可操作输入。表格要写变化源、类型、预期检查链和需要保存的证据，但不预先填写实验命中率或性能结论。所有数值标注为构造示例。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请撰写“5.5.4 三类AEB构造变化的实现配置”。场景一TTC 2.0 s到2.5 s，PARAMETER；场景二前向雷达探测配置或视场参数变化，HARDWARE；场景三同一预设工况下安全制动距离目标40 m到45 m，GOAL。说明可能关联算法、测试、车型说明、市场内容、培训、知识、指南和工单。明确不代表实车参数。</w:t>
      </w:r>
    </w:p>
    <w:p>
      <w:pPr/>
      <w:r>
        <w:rPr>
          <w:rFonts w:ascii="Times New Roman" w:hAnsi="Times New Roman" w:eastAsia="宋体"/>
        </w:rPr>
        <w:t>为覆盖不同传播语义，Demo配置参数、硬件和目标三类AEB变化。每个场景只修改一个构造工件版本，并在相同深度和节点上限下生成报告。场景输入的用途是观察关系类型、传播方向和路径衰减能否形成可解释候选，不用于评价真实AEB控制效果。</w:t>
      </w:r>
    </w:p>
    <w:p>
      <w:pPr>
        <w:pStyle w:val="Caption"/>
      </w:pPr>
      <w:r>
        <w:rPr>
          <w:rFonts w:ascii="Times New Roman" w:hAnsi="Times New Roman" w:eastAsia="宋体"/>
        </w:rPr>
        <w:t>表5.4 AEB构造变化与预期检查范围</w:t>
      </w:r>
    </w:p>
    <w:tbl>
      <w:tblPr>
        <w:tblStyle w:val="TableGrid"/>
        <w:tblInd w:w="120" w:type="dxa"/>
        <w:tblW w:type="dxa" w:w="8900"/>
        <w:tblLayout w:type="fixed"/>
        <w:tblLook w:firstColumn="1" w:firstRow="1" w:lastColumn="0" w:lastRow="0" w:noHBand="0" w:noVBand="1" w:val="04A0"/>
      </w:tblPr>
      <w:tblGrid>
        <w:gridCol w:w="1246"/>
        <w:gridCol w:w="2225"/>
        <w:gridCol w:w="1424"/>
        <w:gridCol w:w="4005"/>
      </w:tblGrid>
      <w:tr>
        <w:trPr>
          <w:tblHeader w:val="true"/>
        </w:trPr>
        <w:tc>
          <w:tcPr>
            <w:tcW w:type="dxa" w:w="1246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场景</w:t>
            </w:r>
          </w:p>
        </w:tc>
        <w:tc>
          <w:tcPr>
            <w:tcW w:type="dxa" w:w="2225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构造变化输入</w:t>
            </w:r>
          </w:p>
        </w:tc>
        <w:tc>
          <w:tcPr>
            <w:tcW w:type="dxa" w:w="1424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变化类型</w:t>
            </w:r>
          </w:p>
        </w:tc>
        <w:tc>
          <w:tcPr>
            <w:tcW w:type="dxa" w:w="4005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应重点人工检查的工件</w:t>
            </w:r>
          </w:p>
        </w:tc>
      </w:tr>
      <w:tr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S1 TTC阈值</w:t>
            </w:r>
          </w:p>
        </w:tc>
        <w:tc>
          <w:tcPr>
            <w:tcW w:type="dxa" w:w="22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2.0 s调整为2.5 s</w:t>
            </w:r>
          </w:p>
        </w:tc>
        <w:tc>
          <w:tcPr>
            <w:tcW w:type="dxa" w:w="14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PARAMETER</w:t>
            </w:r>
          </w:p>
        </w:tc>
        <w:tc>
          <w:tcPr>
            <w:tcW w:type="dxa" w:w="4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决策算法、TTC边界测试、车型配置、知识说明、市场口径与培训材料</w:t>
            </w:r>
          </w:p>
        </w:tc>
      </w:tr>
      <w:tr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S2 前向雷达</w:t>
            </w:r>
          </w:p>
        </w:tc>
        <w:tc>
          <w:tcPr>
            <w:tcW w:type="dxa" w:w="22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探测配置或视场参数变更</w:t>
            </w:r>
          </w:p>
        </w:tc>
        <w:tc>
          <w:tcPr>
            <w:tcW w:type="dxa" w:w="14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HARDWARE</w:t>
            </w:r>
          </w:p>
        </w:tc>
        <w:tc>
          <w:tcPr>
            <w:tcW w:type="dxa" w:w="4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融合算法、依赖关系、雷达/视场/延迟测试、车型配置与说明材料</w:t>
            </w:r>
          </w:p>
        </w:tc>
      </w:tr>
      <w:tr>
        <w:tc>
          <w:tcPr>
            <w:tcW w:type="dxa" w:w="124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S3制动距离目标</w:t>
            </w:r>
          </w:p>
        </w:tc>
        <w:tc>
          <w:tcPr>
            <w:tcW w:type="dxa" w:w="222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同一预设工况下40 m调整为45 m</w:t>
            </w:r>
          </w:p>
        </w:tc>
        <w:tc>
          <w:tcPr>
            <w:tcW w:type="dxa" w:w="14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GOAL</w:t>
            </w:r>
          </w:p>
        </w:tc>
        <w:tc>
          <w:tcPr>
            <w:tcW w:type="dxa" w:w="400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AEB要求、控制策略、制动执行器、安全距离测试、指南与后续工单</w:t>
            </w:r>
          </w:p>
        </w:tc>
      </w:tr>
    </w:tbl>
    <w:p/>
    <w:p>
      <w:pPr/>
      <w:r>
        <w:rPr>
          <w:rFonts w:ascii="Times New Roman" w:hAnsi="Times New Roman" w:eastAsia="宋体"/>
        </w:rPr>
        <w:t>S1从TTC参数版本出发，偏好CONFIGURES、VERIFIED_BY和DESCRIBED_BY等关系，因此算法、边界测试、知识条目以及通过车型配置连接的市场或培训内容可能进入候选。S2从雷达硬件版本出发，重点沿CONFIGURES、DEPENDS_ON和VERIFIED_BY检查融合算法与硬件测试。S3从制动距离目标出发，优先经过DECOMPOSES、CONSTRAINS、IMPLEMENTED_BY和VERIFIED_BY检查要求、控制策略与测试。</w:t>
      </w:r>
    </w:p>
    <w:p>
      <w:pPr/>
      <w:r>
        <w:rPr>
          <w:rFonts w:ascii="Times New Roman" w:hAnsi="Times New Roman" w:eastAsia="宋体"/>
        </w:rPr>
        <w:t>“可能进入候选”取决于当前32条构造关系、传播模式和查询边界，不表示表中所有工件必然受影响。40 m、45 m、2.0 s和2.5 s仅为便于重复输入的论文构造值，不对应具体车型、法规工况或企业标定。市场模块中的历史销量保持只读，只有单独的市场说明工件参与变更链。</w:t>
      </w:r>
    </w:p>
    <w:p>
      <w:pPr>
        <w:pStyle w:val="Heading2"/>
      </w:pPr>
      <w:r>
        <w:rPr>
          <w:rFonts w:ascii="Times New Roman" w:hAnsi="Times New Roman" w:eastAsia="黑体"/>
        </w:rPr>
        <w:t>5.6 人工复核与工单闭环实现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本节说明系统如何避免评分直接触发业务动作。先写复核状态和并发控制，再写二次确认与事务，最后写操作日志。需要强调人工结论不会覆盖初始分值，工单只面向已确认候选。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请撰写“5.6 人工复核与工单闭环实现”。依据ImpactAnalysisService.review与confirmTickets说明PENDING/CONFIRMED/EXCLUDED、initialScore保留、报告乐观锁、expectedVersion、confirmed=true、候选归属检查、重复未关闭工单检查、一候选一工单、同事务保存Ticket和AnalysisTicketLink、TRACE_IMPACT与ODS-IMP-前缀。</w:t>
      </w:r>
    </w:p>
    <w:p>
      <w:pPr/>
      <w:r>
        <w:rPr>
          <w:rFonts w:ascii="Times New Roman" w:hAnsi="Times New Roman" w:eastAsia="宋体"/>
        </w:rPr>
        <w:t>影响分值只能提供检查顺序，不能代替工程判断。实现将系统生成的initialScore和initialLevel与人工reviewStatus、reviewComment、reviewedBy和reviewedAt分别存储。只有人工确认的候选才能进入工单创建流程，从而把自动计算限制在建议层。</w:t>
      </w:r>
    </w:p>
    <w:p>
      <w:pPr>
        <w:pStyle w:val="Heading3"/>
      </w:pPr>
      <w:r>
        <w:rPr>
          <w:rFonts w:ascii="Times New Roman" w:hAnsi="Times New Roman" w:eastAsia="黑体"/>
        </w:rPr>
        <w:t>5.6.1 候选复核与并发控制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本小节按一次复核请求说明状态变化。解释expectedVersion的作用要通俗：两个页面同时修改时，后提交者必须刷新。集成测试只作为分值不被覆盖的证据提及。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请撰写“5.6.1 候选复核与并发控制”。说明候选初始PENDING，复核只能提交CONFIRMED或EXCLUDED；候选必须属于当前报告；全部非PENDING后报告进入已复核。使用@Version和expectedVersion检测并发更新，冲突返回409。说明复核不修改initialScore。</w:t>
      </w:r>
    </w:p>
    <w:p>
      <w:pPr/>
      <w:r>
        <w:rPr>
          <w:rFonts w:ascii="Times New Roman" w:hAnsi="Times New Roman" w:eastAsia="宋体"/>
        </w:rPr>
        <w:t>候选创建后状态为PENDING。复核请求携带报告当前version和一个或多个候选结论；服务拒绝再次提交PENDING，也拒绝不属于当前报告的候选标识。若仍有待处理候选，报告保持复核中；全部候选均为CONFIRMED或EXCLUDED后，报告进入已复核状态。</w:t>
      </w:r>
    </w:p>
    <w:p>
      <w:pPr/>
      <w:r>
        <w:rPr>
          <w:rFonts w:ascii="Times New Roman" w:hAnsi="Times New Roman" w:eastAsia="宋体"/>
        </w:rPr>
        <w:t>ImpactReport使用乐观锁版本字段。客户端提交的expectedVersion必须与数据库当前version一致；若另一用户或另一页面已经修改报告，后到请求返回409冲突并要求刷新。该机制不锁住整张表，适合低并发Demo，也能避免旧页面覆盖新结论。</w:t>
      </w:r>
    </w:p>
    <w:p>
      <w:pPr/>
      <w:r>
        <w:rPr>
          <w:rFonts w:ascii="Times New Roman" w:hAnsi="Times New Roman" w:eastAsia="宋体"/>
        </w:rPr>
        <w:t>candidate.review只更新人工状态、说明、人员和时间，不修改initialScore与initialLevel。集成测试在复核前记录原始分值，复核后再次比较并确认数值保持不变。该证据支持“系统判断与人工结论分离”的实现陈述。</w:t>
      </w:r>
    </w:p>
    <w:p>
      <w:pPr>
        <w:pStyle w:val="Heading3"/>
      </w:pPr>
      <w:r>
        <w:rPr>
          <w:rFonts w:ascii="Times New Roman" w:hAnsi="Times New Roman" w:eastAsia="黑体"/>
        </w:rPr>
        <w:t>5.6.2 二次确认与工单事务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本小节要把创建工单的前置条件、重复检查和事务边界写清楚。建议用时序图展示用户确认、服务校验、逐项建单、关联保存和整体回滚。不要声称已经对接JIRA。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请撰写“5.6.2 二次确认与工单事务”。说明confirmed必须为true；报告版本匹配；候选属于报告且状态CONFIRMED；allowDuplicate=false时检查未关闭关联工单；每个候选创建一张现有Workspace Ticket，source为TRACE_IMPACT、externalKey以ODS-IMP-开头，并保存AnalysisTicketLink。整个方法@Transactional，任何失败整批回滚。</w:t>
      </w:r>
    </w:p>
    <w:p>
      <w:pPr/>
      <w:r>
        <w:rPr>
          <w:rFonts w:ascii="Times New Roman" w:hAnsi="Times New Roman" w:eastAsia="宋体"/>
        </w:rPr>
        <w:t>工单确认请求必须显式提交confirmed=true，同时携带报告版本、候选列表、负责人、优先级、到期日和是否允许重复。服务再次检查报告版本，并验证每个候选属于该报告且已被人工确认为受影响。前端使用确认对话框收集第二次确认，后端再次检查布尔字段，避免只依赖页面行为。</w:t>
      </w:r>
    </w:p>
    <w:p>
      <w:pPr/>
      <w:r>
        <w:rPr>
          <w:rFonts w:ascii="Times New Roman" w:hAnsi="Times New Roman" w:eastAsia="宋体"/>
        </w:rPr>
        <w:t>当allowDuplicate为false时，服务查询候选既有链接，只要存在状态非DONE的工单即返回冲突。校验通过后，每个候选分别创建一张Workspace工单，source设置为TRACE_IMPACT，externalKey使用ODS-IMP-加随机短标识；随后保存AnalysisTicketLink。该实现是内部工单复用，没有接入JIRA。</w:t>
      </w:r>
    </w:p>
    <w:p>
      <w:pPr/>
      <w:r>
        <w:rPr>
          <w:rFonts w:ascii="Times New Roman" w:hAnsi="Times New Roman" w:eastAsia="宋体"/>
        </w:rPr>
        <w:t>confirmTickets方法处于同一数据库事务中。若任一候选建单或关联保存失败，事务整体回滚，避免出现部分候选有工单、部分候选无工单的中间状态。集成测试选择一个已确认候选，验证生成一张TRACE_IMPACT工单和一条候选链接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【这里需要增加人工复核与工单创建时序图，包含用户、React页面、ImpactAnalysisService、ImpactReport、TicketService、TicketRepository和AnalysisTicketLinkRepository；标出乐观锁、二次确认、重复检查和事务回滚】</w:t>
      </w:r>
    </w:p>
    <w:p>
      <w:pPr>
        <w:pStyle w:val="Caption"/>
      </w:pPr>
      <w:r>
        <w:rPr>
          <w:rFonts w:ascii="Times New Roman" w:hAnsi="Times New Roman" w:eastAsia="宋体"/>
        </w:rPr>
        <w:t>图5.8 人工复核与工单闭环实现时序</w:t>
      </w:r>
    </w:p>
    <w:p>
      <w:pPr>
        <w:pStyle w:val="Heading3"/>
      </w:pPr>
      <w:r>
        <w:rPr>
          <w:rFonts w:ascii="Times New Roman" w:hAnsi="Times New Roman" w:eastAsia="黑体"/>
        </w:rPr>
        <w:t>5.6.3 操作日志实现与限制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本小节说明哪些成功动作被记录以及谁能读取。日志限制必须直接写明：失败请求没有形成完整日志，当前能力不能称为生产审计。不要混淆应用日志和业务操作日志。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请撰写“5.6.3 操作日志实现与限制”。说明OperationLogService记录工件登记、版本创建、关系变化、变更创建、影响分析、候选复核和工单确认的成功结果，字段含actor、action、objectType、objectId、resultCode、summary和时间；查询仅ADMIN。指出失败日志不完整。</w:t>
      </w:r>
    </w:p>
    <w:p>
      <w:pPr/>
      <w:r>
        <w:rPr>
          <w:rFonts w:ascii="Times New Roman" w:hAnsi="Times New Roman" w:eastAsia="宋体"/>
        </w:rPr>
        <w:t>写服务在成功完成工件登记、版本追加、关系变化、变更创建、影响分析、候选复核和工单确认后调用OperationLogService。日志记录操作者、动作编码、对象类型、对象标识、结果编码、摘要和时间，并按创建时间倒序提供最近记录。/operation-logs接口只允许ADMIN角色访问。</w:t>
      </w:r>
    </w:p>
    <w:p>
      <w:pPr/>
      <w:r>
        <w:rPr>
          <w:rFonts w:ascii="Times New Roman" w:hAnsi="Times New Roman" w:eastAsia="宋体"/>
        </w:rPr>
        <w:t>当前日志调用位于成功业务路径，异常处理器没有对所有失败请求统一写入trace_operation_logs。因此，日志可以证明部分成功写操作发生过，不能完整重建失败尝试、拒绝访问或事务回滚过程。该实现不满足生产审计的完整性要求，本论文只将其作为Demo级操作记录。</w:t>
      </w:r>
    </w:p>
    <w:p>
      <w:pPr>
        <w:pStyle w:val="Heading2"/>
      </w:pPr>
      <w:r>
        <w:rPr>
          <w:rFonts w:ascii="Times New Roman" w:hAnsi="Times New Roman" w:eastAsia="黑体"/>
        </w:rPr>
        <w:t>5.7 REST接口、安全与异常处理实现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本节说明外部如何调用已实现能力。先按资源分组列接口，再解释JWT与RBAC，最后解释错误码。接口表只列方法、路径和用途，角色细节在正文归纳，避免表格过宽。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请撰写“5.7 REST接口、安全与异常处理实现”。依据TraceabilityController列出工件类型、关系类型、工件、版本、关系、追溯、变更、报告、复核、确认工单和日志接口；说明统一/api/v1和ApiResponse；说明JWT、方法级PreAuthorize、400/403/404/409/422错误。</w:t>
      </w:r>
    </w:p>
    <w:p>
      <w:pPr/>
      <w:r>
        <w:rPr>
          <w:rFonts w:ascii="Times New Roman" w:hAnsi="Times New Roman" w:eastAsia="宋体"/>
        </w:rPr>
        <w:t>追溯模块沿用ODS的/api/v1前缀和JSON数据格式。控制器使用请求对象承载参数、使用@Valid执行字段校验、使用Principal记录当前用户名，并把实际业务处理委托给三个服务。成功结果统一包装在data字段中，错误由全局异常处理器转换为固定结构。</w:t>
      </w:r>
    </w:p>
    <w:p>
      <w:pPr>
        <w:pStyle w:val="Heading3"/>
      </w:pPr>
      <w:r>
        <w:rPr>
          <w:rFonts w:ascii="Times New Roman" w:hAnsi="Times New Roman" w:eastAsia="黑体"/>
        </w:rPr>
        <w:t>5.7.1 资源接口与调用顺序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本小节按业务顺序组织接口，不逐个解释HTTP基础概念。表后用一段文字说明典型闭环的调用顺序，并指出后端有而前端未暴露的接口。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请撰写“5.7.1 资源接口与调用顺序”。按类型字典、工件、关系、追溯、变更报告、工单和日志分组列出TraceabilityController路由。说明典型顺序：取类型—登记工件—建关系—查询—建变更—分析—复核—确认工单。指出版本追加、关系状态、报告历史和日志前端未接入。</w:t>
      </w:r>
    </w:p>
    <w:p>
      <w:pPr/>
      <w:r>
        <w:rPr>
          <w:rFonts w:ascii="Times New Roman" w:hAnsi="Times New Roman" w:eastAsia="宋体"/>
        </w:rPr>
        <w:t>TraceabilityController提供从基础字典到工单确认的完整后端路由。读接口用于加载类型、工件、关系和报告；写接口分别承担登记、版本追加、关系状态、追溯请求、变更分析、人工复核和工单确认。表5.5按资源而不是页面列出接口，使其可直接对应服务职责。</w:t>
      </w:r>
    </w:p>
    <w:p>
      <w:pPr>
        <w:pStyle w:val="Caption"/>
      </w:pPr>
      <w:r>
        <w:rPr>
          <w:rFonts w:ascii="Times New Roman" w:hAnsi="Times New Roman" w:eastAsia="宋体"/>
        </w:rPr>
        <w:t>表5.5 追溯模块REST接口分组</w:t>
      </w:r>
    </w:p>
    <w:tbl>
      <w:tblPr>
        <w:tblStyle w:val="TableGrid"/>
        <w:tblInd w:w="120" w:type="dxa"/>
        <w:tblW w:type="dxa" w:w="8900"/>
        <w:tblLayout w:type="fixed"/>
        <w:tblLook w:firstColumn="1" w:firstRow="1" w:lastColumn="0" w:lastRow="0" w:noHBand="0" w:noVBand="1" w:val="04A0"/>
      </w:tblPr>
      <w:tblGrid>
        <w:gridCol w:w="1602"/>
        <w:gridCol w:w="4094"/>
        <w:gridCol w:w="3204"/>
      </w:tblGrid>
      <w:tr>
        <w:trPr>
          <w:tblHeader w:val="true"/>
        </w:trPr>
        <w:tc>
          <w:tcPr>
            <w:tcW w:type="dxa" w:w="1602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资源组</w:t>
            </w:r>
          </w:p>
        </w:tc>
        <w:tc>
          <w:tcPr>
            <w:tcW w:type="dxa" w:w="4094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方法与路径</w:t>
            </w:r>
          </w:p>
        </w:tc>
        <w:tc>
          <w:tcPr>
            <w:tcW w:type="dxa" w:w="3204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类型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GET /artifact-types；GET /relation-types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加载工件与关系类型字典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工件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GET/POST /artifacts；GET /artifacts/{id}；POST /artifacts/{id}/versions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查询、登记工件和追加版本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关系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GET/POST /relations；PATCH /relations/{id}/status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查询、创建、停用或恢复关系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追溯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POST /trace-queries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执行正向或反向有界查询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变更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POST /changes；POST /changes/{id}/analyze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保存变化输入并生成影响报告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报告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GET /impact-reports；GET /impact-reports/{id}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读取报告列表与详情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复核与工单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PATCH /impact-reports/{id}/candidates；POST /impact-reports/{id}/confirm-tickets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保存人工结论并二次确认建单</w:t>
            </w:r>
          </w:p>
        </w:tc>
      </w:tr>
      <w:tr>
        <w:tc>
          <w:tcPr>
            <w:tcW w:type="dxa" w:w="16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日志</w:t>
            </w:r>
          </w:p>
        </w:tc>
        <w:tc>
          <w:tcPr>
            <w:tcW w:type="dxa" w:w="409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GET /operation-logs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管理员读取最近成功操作</w:t>
            </w:r>
          </w:p>
        </w:tc>
      </w:tr>
    </w:tbl>
    <w:p/>
    <w:p>
      <w:pPr/>
      <w:r>
        <w:rPr>
          <w:rFonts w:ascii="Times New Roman" w:hAnsi="Times New Roman" w:eastAsia="宋体"/>
        </w:rPr>
        <w:t>典型调用先加载类型和工件，再建立关系；查询接口可独立执行；影响闭环依次创建变更、调用分析、读取报告、提交候选复核并确认工单。变更创建与分析分成两个请求，使同一变更记录可以保留并明确区分输入保存和算法执行。</w:t>
      </w:r>
    </w:p>
    <w:p>
      <w:pPr/>
      <w:r>
        <w:rPr>
          <w:rFonts w:ascii="Times New Roman" w:hAnsi="Times New Roman" w:eastAsia="宋体"/>
        </w:rPr>
        <w:t>后端已经提供版本追加、关系启停、报告列表/详情和操作日志接口，但当前TraceabilityPage.tsx没有相应入口。因而表5.5表示后端接口完成范围，不等同于所有接口均已有前端操作页面。</w:t>
      </w:r>
    </w:p>
    <w:p>
      <w:pPr>
        <w:pStyle w:val="Heading3"/>
      </w:pPr>
      <w:r>
        <w:rPr>
          <w:rFonts w:ascii="Times New Roman" w:hAnsi="Times New Roman" w:eastAsia="黑体"/>
        </w:rPr>
        <w:t>5.7.2 JWT身份与角色授权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本小节先用通俗语言解释JWT和RBAC，再按读、维护、分析、复核、建单和日志六类操作归纳角色。无需重复所有角色字符串，但关键差异要准确。最后指出没有实现来源对象级可见性。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请撰写“5.7.2 JWT身份与角色授权”。引用RFC 7519和RBAC论文。说明登录后JWT随请求发送，Spring Security恢复身份，@PreAuthorize限制方法。读取需登录；维护角色较广；分析不含TRAINER/COORDINATOR；复核包含；建单限PJM/LPM/TRAINER/COORDINATOR/ADMIN；日志仅ADMIN。指出未实现来源级权限。</w:t>
      </w:r>
    </w:p>
    <w:p>
      <w:pPr/>
      <w:r>
        <w:rPr>
          <w:rFonts w:ascii="Times New Roman" w:hAnsi="Times New Roman" w:eastAsia="宋体"/>
        </w:rPr>
        <w:t>JWT是带签名的紧凑声明格式，客户端登录后在后续请求中携带令牌，服务端验证签名并恢复用户名与角色[7]。基于角色的访问控制（Role-Based Access Control，RBAC）把权限授予角色，再把用户关联到角色，适合表达本Demo的职责差异[8]。Spring Security在请求过滤阶段完成身份检查，控制器上的@PreAuthorize执行方法级角色判断。</w:t>
      </w:r>
    </w:p>
    <w:p>
      <w:pPr/>
      <w:r>
        <w:rPr>
          <w:rFonts w:ascii="Times New Roman" w:hAnsi="Times New Roman" w:eastAsia="宋体"/>
        </w:rPr>
        <w:t>类型、工件、关系、查询和报告读取面向已登录用户。工件版本和关系维护允许TPJM、PJM、EBE、EPO、LPM、TRAINER、COORDINATOR和ADMIN；变更创建与分析不包含TRAINER和COORDINATOR；候选复核允许PJM、EBE、EPO、LPM、TRAINER、COORDINATOR和ADMIN；工单确认进一步限制为PJM、LPM、TRAINER、COORDINATOR和ADMIN；操作日志只允许ADMIN。</w:t>
      </w:r>
    </w:p>
    <w:p>
      <w:pPr/>
      <w:r>
        <w:rPr>
          <w:rFonts w:ascii="Times New Roman" w:hAnsi="Times New Roman" w:eastAsia="宋体"/>
        </w:rPr>
        <w:t>前端根据相同角色集合隐藏或显示操作按钮，但后端方法授权仍是最终检查。当前授权粒度停留在接口动作层，尚未根据来源模块和具体工件执行对象级可见性过滤，因此不能把该实现描述为完整的多租户或企业数据权限方案。</w:t>
      </w:r>
    </w:p>
    <w:p>
      <w:pPr>
        <w:pStyle w:val="Heading3"/>
      </w:pPr>
      <w:r>
        <w:rPr>
          <w:rFonts w:ascii="Times New Roman" w:hAnsi="Times New Roman" w:eastAsia="黑体"/>
        </w:rPr>
        <w:t>5.7.3 参数校验与统一异常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本小节说明不同错误为何使用不同状态码。给出两三个与追溯相关的例子即可，不需要列出所有异常类。强调前端显示服务端message，但没有形成失败审计日志。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请撰写“5.7.3 参数校验与统一异常”。说明Bean Validation处理必填和范围并返回400，未找到返回404，角色不足返回403，重复或版本冲突返回409，业务规则违反返回422。错误结构含code、message、fieldErrors、path和timestamp。举深度超限、自连接、重复关系和报告版本冲突例子。</w:t>
      </w:r>
    </w:p>
    <w:p>
      <w:pPr/>
      <w:r>
        <w:rPr>
          <w:rFonts w:ascii="Times New Roman" w:hAnsi="Times New Roman" w:eastAsia="宋体"/>
        </w:rPr>
        <w:t>请求对象使用Bean Validation限制必填字段、字符串长度和数值范围。字段缺失或深度超限等格式问题返回400；资源不存在返回404；角色不足返回403；来源重复、有效关系重复或报告版本不一致返回409；自连接、停用未填写原因、未确认候选建单等业务规则错误返回422。</w:t>
      </w:r>
    </w:p>
    <w:p>
      <w:pPr/>
      <w:r>
        <w:rPr>
          <w:rFonts w:ascii="Times New Roman" w:hAnsi="Times New Roman" w:eastAsia="宋体"/>
        </w:rPr>
        <w:t>GlobalExceptionHandler把异常转换为code、message、fieldErrors、path和timestamp组成的统一结构。前端client.ts在响应失败时提取message并显示在通知栏，使用户能够区分输入错误、权限错误和并发冲突。当前异常路径没有统一写入业务操作日志，因此错误响应一致性已经实现，失败审计仍未完成。</w:t>
      </w:r>
    </w:p>
    <w:p>
      <w:pPr>
        <w:pStyle w:val="Heading2"/>
      </w:pPr>
      <w:r>
        <w:rPr>
          <w:rFonts w:ascii="Times New Roman" w:hAnsi="Times New Roman" w:eastAsia="黑体"/>
        </w:rPr>
        <w:t>5.8 前端交互实现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本节只描述当前真实页面，不沿用第四章尚未实现的五工作区表述。先写路由和四标签，再写完整操作流程，最后列出缺口。建议使用实际截图替换占位符，截图必须来自构造数据。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请撰写“5.8 前端交互实现”。依据TraceabilityPage.tsx，说明/traceability路由和artifacts、relations、query、impact四个标签；说明角色按钮、通知栏、表单、路径details、候选分值/等级/人工状态、window.prompt复核和window.confirm建单。指出缺失的前端功能。</w:t>
      </w:r>
    </w:p>
    <w:p>
      <w:pPr/>
      <w:r>
        <w:rPr>
          <w:rFonts w:ascii="Times New Roman" w:hAnsi="Times New Roman" w:eastAsia="宋体"/>
        </w:rPr>
        <w:t>前端将追溯功能集中在/traceability路由中，通过一个React组件完成数据加载与状态切换。页面首次加载时并行请求工件、关系和两类字典，并优先选择名称中包含TTC的版本作为默认查询与影响源。通知栏显示加载数量、查询耗时、候选数量或错误信息。</w:t>
      </w:r>
    </w:p>
    <w:p>
      <w:pPr>
        <w:pStyle w:val="Heading3"/>
      </w:pPr>
      <w:r>
        <w:rPr>
          <w:rFonts w:ascii="Times New Roman" w:hAnsi="Times New Roman" w:eastAsia="黑体"/>
        </w:rPr>
        <w:t>5.8.1 四标签工作区与状态管理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本小节逐一说明四个标签的输入和输出。强调这是同一页面中的标签，不是四个或五个独立页面。说明useState和useMemo只需到职责层，不展开React教程。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请撰写“5.8.1 四标签工作区与状态管理”。说明artifacts、relations、query和impact四个Tab。工件页登记TRACE_LOCAL V1并列表；关系页创建并列表；查询页选择起点、方向、深度；影响页输入变化、复核候选和建单。说明角色控制按钮可见性。</w:t>
      </w:r>
    </w:p>
    <w:p>
      <w:pPr/>
      <w:r>
        <w:rPr>
          <w:rFonts w:ascii="Times New Roman" w:hAnsi="Times New Roman" w:eastAsia="宋体"/>
        </w:rPr>
        <w:t>artifacts标签展示工件类型、来源、当前版本和状态，并为有维护权限的角色提供TRACE_LOCAL工件及V1版本登记表单。relations标签提供源版本、目标版本、关系类型和依据输入，并显示关系的箭头语义、传播模式与有效状态。query标签提供起点、正反方向和1至5级深度选择。impact标签提供变化类型、变化前后内容、说明和分析深度。</w:t>
      </w:r>
    </w:p>
    <w:p>
      <w:pPr/>
      <w:r>
        <w:rPr>
          <w:rFonts w:ascii="Times New Roman" w:hAnsi="Times New Roman" w:eastAsia="宋体"/>
        </w:rPr>
        <w:t>组件使用useState保存表单、加载、查询结果和当前报告，使用useMemo把工件版本转换为下拉选项并建立版本名称映射。维护、分析、复核和建单按钮分别根据登录用户角色显示；即使前端隐藏按钮，后端仍执行独立授权检查。</w:t>
      </w:r>
    </w:p>
    <w:p>
      <w:pPr/>
      <w:r>
        <w:rPr>
          <w:rFonts w:ascii="Times New Roman" w:hAnsi="Times New Roman" w:eastAsia="宋体"/>
        </w:rPr>
        <w:t>当前实现是一个页面中的四个标签，不是第四章设计的五个独立工作区。报告查看与复核合并在impact标签中，操作日志没有页面入口。论文中的界面数量应以当前实现为准。</w:t>
      </w:r>
    </w:p>
    <w:p>
      <w:pPr>
        <w:pStyle w:val="Heading3"/>
      </w:pPr>
      <w:r>
        <w:rPr>
          <w:rFonts w:ascii="Times New Roman" w:hAnsi="Times New Roman" w:eastAsia="黑体"/>
        </w:rPr>
        <w:t>5.8.2 查询、复核与建单交互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本小节按用户动作顺序描述。截图应覆盖路径展开、系统初始分值和人工状态并列、截断提醒、二次确认。注意window.prompt和window.confirm是简单Demo交互，不写成复杂工作流引擎。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请撰写“5.8.2 查询、复核与建单交互”。说明查询结果显示节点卡片与可展开路径；影响表显示目标、initialScore、initialLevel、路径、reviewStatus和工单号；复核用prompt填写说明；建单前筛选CONFIRMED且无工单候选并用confirm二次确认；截断时显示警告。</w:t>
      </w:r>
    </w:p>
    <w:p>
      <w:pPr/>
      <w:r>
        <w:rPr>
          <w:rFonts w:ascii="Times New Roman" w:hAnsi="Times New Roman" w:eastAsia="宋体"/>
        </w:rPr>
        <w:t>执行追溯后，页面显示节点卡片和按目标组织的可展开路径。路径步骤展示关系编码、遍历方向及源目标名称；达到深度或节点上限时，结果上方出现“可能被截断”提示。该展示以文本为主，尚未实现交互式关系图。</w:t>
      </w:r>
    </w:p>
    <w:p>
      <w:pPr/>
      <w:r>
        <w:rPr>
          <w:rFonts w:ascii="Times New Roman" w:hAnsi="Times New Roman" w:eastAsia="宋体"/>
        </w:rPr>
        <w:t>执行影响分析后，候选表并列展示目标工件、初始等级、初始分值、主解释路径和人工状态。用户选择确认或排除时，页面通过简单输入框收集复核说明，并携带当前报告version提交。创建工单时，页面只选择已确认且尚无工单的候选，随后弹出二次确认对话框。</w:t>
      </w:r>
    </w:p>
    <w:p>
      <w:pPr/>
      <w:r>
        <w:rPr>
          <w:rFonts w:ascii="Times New Roman" w:hAnsi="Times New Roman" w:eastAsia="宋体"/>
        </w:rPr>
        <w:t>上述交互足以演示从分析到工单的闭环，但window.prompt和window.confirm只适合Demo。它们没有表单级校验、批量选择控制、负责人搜索或可访问性增强，不应写成已经成熟的企业工作流界面。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【这里需要增加影响分析标签实际截图，展示AEB构造变更输入、候选分值与等级、人工状态、可展开路径和已创建工单编号；必要时分成上下两张截图】</w:t>
      </w:r>
    </w:p>
    <w:p>
      <w:pPr>
        <w:pStyle w:val="Caption"/>
      </w:pPr>
      <w:r>
        <w:rPr>
          <w:rFonts w:ascii="Times New Roman" w:hAnsi="Times New Roman" w:eastAsia="宋体"/>
        </w:rPr>
        <w:t>图5.9 影响候选、解释路径与人工复核界面</w:t>
      </w:r>
    </w:p>
    <w:p>
      <w:pPr>
        <w:pStyle w:val="Heading3"/>
      </w:pPr>
      <w:r>
        <w:rPr>
          <w:rFonts w:ascii="Times New Roman" w:hAnsi="Times New Roman" w:eastAsia="黑体"/>
        </w:rPr>
        <w:t>5.8.3 前端未覆盖能力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本小节集中列出后端与前端差异，避免读者根据接口表误判页面完成度。按缺失操作、缺失视图和缺失测试三类写，结尾说明这不影响哪个最小演示闭环。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请撰写“5.8.3 前端未覆盖能力”。明确前端未暴露版本追加、关系启停、报告历史、操作日志；未形成五独立工作区；没有来源受限展示、图形化拓扑、报告导出；没有组件测试或浏览器E2E。说明现有四标签仍能完成新建工件、建关系、查询、分析、复核和建单。</w:t>
      </w:r>
    </w:p>
    <w:p>
      <w:pPr/>
      <w:r>
        <w:rPr>
          <w:rFonts w:ascii="Times New Roman" w:hAnsi="Times New Roman" w:eastAsia="宋体"/>
        </w:rPr>
        <w:t>后端版本追加和关系状态修改接口尚未接入前端，用户只能通过API调用这些能力。报告列表与详情虽有接口，页面没有历史报告入口；管理员操作日志也没有导航或展示组件。来源受限节点、详情跳转、关系端点规则配置、报告导出和交互式拓扑图均未实现。</w:t>
      </w:r>
    </w:p>
    <w:p>
      <w:pPr/>
      <w:r>
        <w:rPr>
          <w:rFonts w:ascii="Times New Roman" w:hAnsi="Times New Roman" w:eastAsia="宋体"/>
        </w:rPr>
        <w:t>前端当前没有组件级自动测试，也没有使用浏览器自动化执行端到端测试。已有证据仅包括TypeScript类型检查、生产构建和H2环境下的API冒烟调用。尽管如此，四标签页面能够完成工件登记、关系创建、追溯查询、变更分析、逐项复核和确认建单这一最小演示流程。</w:t>
      </w:r>
    </w:p>
    <w:p>
      <w:pPr>
        <w:pStyle w:val="Heading2"/>
      </w:pPr>
      <w:r>
        <w:rPr>
          <w:rFonts w:ascii="Times New Roman" w:hAnsi="Times New Roman" w:eastAsia="黑体"/>
        </w:rPr>
        <w:t>5.9 AEB构造数据与实际完成范围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本节把数据来源、验证证据和限制集中说明，是论文可信度的重要部分。先写种子数据如何构造，再列已获得的最小证据，最后逐项说明尚未完成内容。不要把构造数据称为仿真数据、实车数据或企业数据。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请撰写“5.9 AEB构造数据与实际完成范围”。说明ods.seed.enabled控制固定种子，13类工件、8类关系、30个AEB工件和32条关系；覆盖TTC、雷达、摄像头、制动、算法、车型、测试、市场说明、课程、知识、指南、项目和工单。列出39/40后端测试、H2冒烟和前端构建证据，并如实写限制。</w:t>
      </w:r>
    </w:p>
    <w:p>
      <w:pPr/>
      <w:r>
        <w:rPr>
          <w:rFonts w:ascii="Times New Roman" w:hAnsi="Times New Roman" w:eastAsia="宋体"/>
        </w:rPr>
        <w:t>汽车软件同时连接需求、算法、硬件、验证和组织协作，相关软件工程研究也强调跨阶段一致性与可追踪的重要性[11]。本Demo数据的目的不是模拟真实自动驾驶性能，而是提供固定、可重复的跨域关系图。初始化器仅在ods.seed.enabled=true时运行，使测试或正式配置能够关闭演示数据。工件名称、参数值、关系权重和变化场景均由论文实现构造。</w:t>
      </w:r>
    </w:p>
    <w:p>
      <w:pPr>
        <w:pStyle w:val="Heading3"/>
      </w:pPr>
      <w:r>
        <w:rPr>
          <w:rFonts w:ascii="Times New Roman" w:hAnsi="Times New Roman" w:eastAsia="黑体"/>
        </w:rPr>
        <w:t>5.9.1 固定种子数据构造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本小节说明数据规模、类别和跨域来源。正文要解释市场、培训和工单为什么不是无关模块：它们是变化后的说明、知识传递和执行闭环。明确历史销量只读、市场说明另建工件。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请撰写“5.9.1 固定种子数据构造”。说明TraceabilityDataInitializer在开关开启时创建13类工件、8类关系、30个工件和32条关系。列举AEB目标、要求、TTC、减速度、雷达、摄像头、制动、融合/决策/控制算法、A1/B1配置、测试、市场说明、课程、知识、指南、项目和工单。强调数据为构造。</w:t>
      </w:r>
    </w:p>
    <w:p>
      <w:pPr/>
      <w:r>
        <w:rPr>
          <w:rFonts w:ascii="Times New Roman" w:hAnsi="Times New Roman" w:eastAsia="宋体"/>
        </w:rPr>
        <w:t>TraceabilityDataInitializer建立13类工件和8类关系。八类关系分别为DECOMPOSES、CONSTRAINS、CONFIGURES、IMPLEMENTED_BY、VERIFIED_BY、DEPENDS_ON、DESCRIBED_BY和TRIGGERS_TASK，并为每类设置方向说明、传播模式和0.60至1.00之间的构造权重。</w:t>
      </w:r>
    </w:p>
    <w:p>
      <w:pPr/>
      <w:r>
        <w:rPr>
          <w:rFonts w:ascii="Times New Roman" w:hAnsi="Times New Roman" w:eastAsia="宋体"/>
        </w:rPr>
        <w:t>初始化器生成30个AEB工件和32条关系，覆盖安全制动距离目标、AEB要求、TTC与减速度参数、雷达、摄像头、制动执行器、融合/决策/控制算法、A1/B1车型配置、边界/雷达/视场/延迟/制动/回归测试、市场说明、课程、知识、视频指南、项目和工单。部分课程、知识、视频和工单引用ODS既有种子对象，不存在时退回TRACE_LOCAL对象。</w:t>
      </w:r>
    </w:p>
    <w:p>
      <w:pPr/>
      <w:r>
        <w:rPr>
          <w:rFonts w:ascii="Times New Roman" w:hAnsi="Times New Roman" w:eastAsia="宋体"/>
        </w:rPr>
        <w:t>市场、培训和工单并非追溯之外的附属模块。技术变化可能要求更新车型能力说明、培训材料和处理任务，因此这些对象作为链上工件参与解释。历史销量记录表示已经发生的事实，只用于来源存在性引用且保持只读；可修改的市场口径由独立MARKET_CONTENT工件表达。所有数据均为固定论文构造数据，不包含真实企业或客户信息。</w:t>
      </w:r>
    </w:p>
    <w:p>
      <w:pPr>
        <w:pStyle w:val="FigurePlaceholder"/>
      </w:pPr>
      <w:r>
        <w:rPr>
          <w:rFonts w:ascii="Times New Roman" w:hAnsi="Times New Roman" w:eastAsia="宋体"/>
        </w:rPr>
        <w:t>【这里需要增加AEB固定种子关系图，选取12至15个代表节点，至少包含TTC、雷达、决策/融合算法、测试、A1车型、市场说明、培训课程、指南和工单；图注明“论文构造数据”】</w:t>
      </w:r>
    </w:p>
    <w:p>
      <w:pPr>
        <w:pStyle w:val="Caption"/>
      </w:pPr>
      <w:r>
        <w:rPr>
          <w:rFonts w:ascii="Times New Roman" w:hAnsi="Times New Roman" w:eastAsia="宋体"/>
        </w:rPr>
        <w:t>图5.10 AEB跨域构造工件与关系示例</w:t>
      </w:r>
    </w:p>
    <w:p>
      <w:pPr>
        <w:pStyle w:val="Heading3"/>
      </w:pPr>
      <w:r>
        <w:rPr>
          <w:rFonts w:ascii="Times New Roman" w:hAnsi="Times New Roman" w:eastAsia="黑体"/>
        </w:rPr>
        <w:t>5.9.2 当前验证证据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本小节只回答“代码是否能运行到这些位置”，不完成第六章的实验论证。使用表格列命令、结果和能证明什么，同时写不能证明什么。测试数字必须与verification.md一致。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请撰写“5.9.2 当前验证证据”。列出mvn test执行40项、39通过、1个PostgreSQL/Testcontainers测试因无Docker跳过；前端typecheck和build通过；H2启动、登录和API冒烟通过，返回30工件和8关系类型；集成测试验证四节点环、3候选、路径、分值保留和1张TRACE_IMPACT工单。详细评价留第六章。</w:t>
      </w:r>
    </w:p>
    <w:p>
      <w:pPr/>
      <w:r>
        <w:rPr>
          <w:rFonts w:ascii="Times New Roman" w:hAnsi="Times New Roman" w:eastAsia="宋体"/>
        </w:rPr>
        <w:t>当前验证记录提供三类实现证据。后端自动测试共执行40项，其中39项通过，PostgreSQL/Testcontainers用例因本机没有Docker而跳过；前端TypeScript检查和生产构建通过；H2环境完成应用启动、登录和主要API冒烟调用。管理员查询追溯接口返回30个AEB工件和8类关系定义。</w:t>
      </w:r>
    </w:p>
    <w:p>
      <w:pPr/>
      <w:r>
        <w:rPr>
          <w:rFonts w:ascii="Times New Roman" w:hAnsi="Times New Roman" w:eastAsia="宋体"/>
        </w:rPr>
        <w:t>追溯集成测试在一个事务中构造四节点关系，其中包含三节点环。查询返回4个节点和3条到达路径；影响分析生成3个带路径候选；人工复核后初始分值保持不变；选择1个已确认候选后创建1张source为TRACE_IMPACT的工单并保存1条链接。上述结果证明最小后端闭环能够执行。</w:t>
      </w:r>
    </w:p>
    <w:p>
      <w:pPr/>
      <w:r>
        <w:rPr>
          <w:rFonts w:ascii="Times New Roman" w:hAnsi="Times New Roman" w:eastAsia="宋体"/>
        </w:rPr>
        <w:t>这些记录不构成性能、召回率、准确率或生产可靠性结论。第六章应使用固定种子数据分别执行三类AEB变化，记录候选数量、预设应检查对象的覆盖情况、路径完整性、误报情况和响应时间，并重复运行以减少偶然误差。实验规模保持在个人Demo可执行范围内。</w:t>
      </w:r>
    </w:p>
    <w:p>
      <w:pPr>
        <w:pStyle w:val="Caption"/>
      </w:pPr>
      <w:r>
        <w:rPr>
          <w:rFonts w:ascii="Times New Roman" w:hAnsi="Times New Roman" w:eastAsia="宋体"/>
        </w:rPr>
        <w:t>表5.6 第五章采用的实现证据及其边界</w:t>
      </w:r>
    </w:p>
    <w:tbl>
      <w:tblPr>
        <w:tblStyle w:val="TableGrid"/>
        <w:tblInd w:w="120" w:type="dxa"/>
        <w:tblW w:type="dxa" w:w="8900"/>
        <w:tblLayout w:type="fixed"/>
        <w:tblLook w:firstColumn="1" w:firstRow="1" w:lastColumn="0" w:lastRow="0" w:noHBand="0" w:noVBand="1" w:val="04A0"/>
      </w:tblPr>
      <w:tblGrid>
        <w:gridCol w:w="1869"/>
        <w:gridCol w:w="3204"/>
        <w:gridCol w:w="3827"/>
      </w:tblGrid>
      <w:tr>
        <w:trPr>
          <w:tblHeader w:val="true"/>
        </w:trPr>
        <w:tc>
          <w:tcPr>
            <w:tcW w:type="dxa" w:w="1869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证据</w:t>
            </w:r>
          </w:p>
        </w:tc>
        <w:tc>
          <w:tcPr>
            <w:tcW w:type="dxa" w:w="3204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已记录结果</w:t>
            </w:r>
          </w:p>
        </w:tc>
        <w:tc>
          <w:tcPr>
            <w:tcW w:type="dxa" w:w="3827"/>
            <w:vAlign w:val="center"/>
            <w:shd w:fill="D9E2F3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sz w:val="21"/>
              </w:rPr>
              <w:t>能够支持的陈述</w:t>
            </w:r>
          </w:p>
        </w:tc>
      </w:tr>
      <w:tr>
        <w:tc>
          <w:tcPr>
            <w:tcW w:type="dxa" w:w="18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后端自动测试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40项执行，39项通过，1项因无Docker跳过</w:t>
            </w:r>
          </w:p>
        </w:tc>
        <w:tc>
          <w:tcPr>
            <w:tcW w:type="dxa" w:w="38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H2下主要后端规则可执行；不能证明PostgreSQL兼容</w:t>
            </w:r>
          </w:p>
        </w:tc>
      </w:tr>
      <w:tr>
        <w:tc>
          <w:tcPr>
            <w:tcW w:type="dxa" w:w="18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前端检查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typecheck与生产build通过</w:t>
            </w:r>
          </w:p>
        </w:tc>
        <w:tc>
          <w:tcPr>
            <w:tcW w:type="dxa" w:w="38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类型与打包通过；不能证明页面交互正确</w:t>
            </w:r>
          </w:p>
        </w:tc>
      </w:tr>
      <w:tr>
        <w:tc>
          <w:tcPr>
            <w:tcW w:type="dxa" w:w="18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H2 API冒烟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启动、登录、追溯接口可调用；返回30工件、8关系类型</w:t>
            </w:r>
          </w:p>
        </w:tc>
        <w:tc>
          <w:tcPr>
            <w:tcW w:type="dxa" w:w="38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本地接口链路可用；不能证明生产部署</w:t>
            </w:r>
          </w:p>
        </w:tc>
      </w:tr>
      <w:tr>
        <w:tc>
          <w:tcPr>
            <w:tcW w:type="dxa" w:w="186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宋体"/>
                <w:sz w:val="20"/>
              </w:rPr>
              <w:t>追溯集成测试</w:t>
            </w:r>
          </w:p>
        </w:tc>
        <w:tc>
          <w:tcPr>
            <w:tcW w:type="dxa" w:w="32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环路终止、4节点、3路径、3候选、复核分值保留、1工单链接</w:t>
            </w:r>
          </w:p>
        </w:tc>
        <w:tc>
          <w:tcPr>
            <w:tcW w:type="dxa" w:w="3827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宋体"/>
                <w:sz w:val="20"/>
              </w:rPr>
              <w:t>最小算法与事务闭环存在；不能替代完整实验</w:t>
            </w:r>
          </w:p>
        </w:tc>
      </w:tr>
    </w:tbl>
    <w:p/>
    <w:p>
      <w:pPr>
        <w:pStyle w:val="Heading3"/>
      </w:pPr>
      <w:r>
        <w:rPr>
          <w:rFonts w:ascii="Times New Roman" w:hAnsi="Times New Roman" w:eastAsia="黑体"/>
        </w:rPr>
        <w:t>5.9.3 实现差异与论文表述限制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本小节用集中清单收束所有缺口，便于后续第六章和第七章引用。每一项同时写“当前状态”和“论文中允许的表述”。这样可避免答辩时被追问未实现功能。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请撰写“5.9.3 实现差异与论文表述限制”。完整列出：来源只查存在；细粒度可见性未实现；restricted恒0/false；端点规则未种子化；只存一条路径；前端四标签；缺少版本追加、关系启停、报告历史、日志页面；成功日志为主；PostgreSQL未运行；无前端/E2E；无企业部署和生产审计。</w:t>
      </w:r>
    </w:p>
    <w:p>
      <w:pPr/>
      <w:r>
        <w:rPr>
          <w:rFonts w:ascii="Times New Roman" w:hAnsi="Times New Roman" w:eastAsia="宋体"/>
        </w:rPr>
        <w:t>当前实现差异集中在来源适配、规则配置、解释丰富度、前端覆盖和验证环境五方面。ArtifactSourceRegistry只检查对象存在，不加载摘要、详情地址或用户可见性；restrictedCount保持0且工件restricted保持false。关系端点规则表和检查代码存在，但种子数据未配置规则。影响候选只保存一条主路径。</w:t>
      </w:r>
    </w:p>
    <w:p>
      <w:pPr/>
      <w:r>
        <w:rPr>
          <w:rFonts w:ascii="Times New Roman" w:hAnsi="Times New Roman" w:eastAsia="宋体"/>
        </w:rPr>
        <w:t>前端为一个页面的四个标签，未提供版本追加、关系启停、报告历史和操作日志入口，也未形成设计中的五个独立工作区。操作日志主要记录成功写操作，失败记录不完整。前端没有组件测试和浏览器端到端测试。</w:t>
      </w:r>
    </w:p>
    <w:p>
      <w:pPr/>
      <w:r>
        <w:rPr>
          <w:rFonts w:ascii="Times New Roman" w:hAnsi="Times New Roman" w:eastAsia="宋体"/>
        </w:rPr>
        <w:t>PostgreSQL/Flyway兼容测试因无Docker未实际运行，Compose全栈也未在本机启动。系统没有真实企业部署、真实客户数据、道路测试、生产审计、可用性承诺或安全改进证据。论文可以陈述“设计并实现本地Demo闭环”和“为后续扩展保留结构”，不得陈述“完成企业级平台”“提高AEB安全性”或“产生业务收益”。</w:t>
      </w:r>
    </w:p>
    <w:p>
      <w:pPr>
        <w:pStyle w:val="Heading2"/>
      </w:pPr>
      <w:r>
        <w:rPr>
          <w:rFonts w:ascii="Times New Roman" w:hAnsi="Times New Roman" w:eastAsia="黑体"/>
        </w:rPr>
        <w:t>5.10 本章小结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写作说明（定稿时删除）：</w:t>
      </w:r>
      <w:r>
        <w:rPr>
          <w:rFonts w:ascii="Times New Roman" w:hAnsi="Times New Roman" w:eastAsia="宋体"/>
        </w:rPr>
        <w:t>本节用两段总结，不再引入新接口或新指标。第一段概括后端数据与算法实现，第二段概括前端、证据和限制，并自然引出第六章。需继续使用事实口吻，不写“效果显著”等未验证结论。</w:t>
      </w:r>
    </w:p>
    <w:p>
      <w:pPr>
        <w:pStyle w:val="EditorialNote"/>
      </w:pPr>
      <w:r>
        <w:rPr>
          <w:rFonts w:ascii="Times New Roman" w:hAnsi="Times New Roman" w:eastAsia="宋体"/>
          <w:b/>
        </w:rPr>
        <w:t>AI续写提示词（定稿时删除）：</w:t>
      </w:r>
      <w:r>
        <w:rPr>
          <w:rFonts w:ascii="Times New Roman" w:hAnsi="Times New Roman" w:eastAsia="宋体"/>
        </w:rPr>
        <w:t>请撰写“5.10 本章小结”，约400至500字。概括模块化单体、13张表、稳定工件和追加版本、关系生命周期、有界BFS、规则评分、一条主解释路径、人工复核、乐观锁、二次确认和工单事务；说明四标签前端、固定AEB数据和当前验证边界；引出第六章小规模实验。</w:t>
      </w:r>
    </w:p>
    <w:p>
      <w:pPr/>
      <w:r>
        <w:rPr>
          <w:rFonts w:ascii="Times New Roman" w:hAnsi="Times New Roman" w:eastAsia="宋体"/>
        </w:rPr>
        <w:t>本章在ODS模块化单体内实现了跨域工件追溯与变更分析的最小闭环。V3迁移建立13张追溯表，ArtifactService实现来源存在检查、稳定工件、追加版本、关系创建与状态管理；TraceQueryService使用深度和节点数受限的BFS完成正反向查询，并返回节点、边、主到达路径和截断标志；ImpactAnalysisService依据传播方向、关系权重、路径衰减和变化类型匹配生成候选，保存初始分值、等级和一条主解释路径。</w:t>
      </w:r>
    </w:p>
    <w:p>
      <w:pPr/>
      <w:r>
        <w:rPr>
          <w:rFonts w:ascii="Times New Roman" w:hAnsi="Times New Roman" w:eastAsia="宋体"/>
        </w:rPr>
        <w:t>人工复核状态与系统初始结果分别保存，报告乐观锁防止旧版本覆盖，只有已确认候选在二次确认后才能创建TRACE_IMPACT工单，工单与候选在同一事务中关联。React前端通过四个标签提供工件登记、关系创建、追溯查询、影响分析、复核和建单操作。固定种子数据覆盖TTC、硬件、制动目标及市场、培训、知识、指南和工单等跨域对象。当前实现仍缺少来源级可见性、第二解释路径、部分前端入口、失败日志、PostgreSQL实测和浏览器自动化验证。第六章将在这些真实边界内，使用三类构造AEB变化开展小规模、可重复的功能与性能实验。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28"/>
        </w:rPr>
        <w:t>参考文献</w:t>
      </w:r>
    </w:p>
    <w:p>
      <w:pPr>
        <w:ind w:hanging="360" w:left="360"/>
      </w:pPr>
      <w:r>
        <w:rPr>
          <w:rFonts w:ascii="Times New Roman" w:hAnsi="Times New Roman" w:eastAsia="宋体"/>
        </w:rPr>
        <w:t>[1] FOWLER M. Patterns of Enterprise Application Architecture[M]. Boston: Addison-Wesley, 2002.</w:t>
      </w:r>
    </w:p>
    <w:p>
      <w:pPr>
        <w:ind w:hanging="360" w:left="360"/>
      </w:pPr>
      <w:r>
        <w:rPr>
          <w:rFonts w:ascii="Times New Roman" w:hAnsi="Times New Roman" w:eastAsia="宋体"/>
        </w:rPr>
        <w:t>[2] VMware, Inc. Spring Boot Reference Documentation, Version 3.4.5[EB/OL]. 2025. https://docs.spring.io/spring-boot/3.4/. Accessed 2026-08-05.</w:t>
      </w:r>
    </w:p>
    <w:p>
      <w:pPr>
        <w:ind w:hanging="360" w:left="360"/>
      </w:pPr>
      <w:r>
        <w:rPr>
          <w:rFonts w:ascii="Times New Roman" w:hAnsi="Times New Roman" w:eastAsia="宋体"/>
        </w:rPr>
        <w:t>[3] Eclipse Foundation. Jakarta Persistence 3.1 Specification[S/OL]. 2022. https://jakarta.ee/specifications/persistence/3.1/. Accessed 2026-08-05.</w:t>
      </w:r>
    </w:p>
    <w:p>
      <w:pPr>
        <w:ind w:hanging="360" w:left="360"/>
      </w:pPr>
      <w:r>
        <w:rPr>
          <w:rFonts w:ascii="Times New Roman" w:hAnsi="Times New Roman" w:eastAsia="宋体"/>
        </w:rPr>
        <w:t>[4] PostgreSQL Global Development Group. PostgreSQL 17 Documentation[EB/OL]. 2024. https://www.postgresql.org/docs/17/. Accessed 2026-08-05.</w:t>
      </w:r>
    </w:p>
    <w:p>
      <w:pPr>
        <w:ind w:hanging="360" w:left="360"/>
      </w:pPr>
      <w:r>
        <w:rPr>
          <w:rFonts w:ascii="Times New Roman" w:hAnsi="Times New Roman" w:eastAsia="宋体"/>
        </w:rPr>
        <w:t>[5] Redgate Software Ltd. Flyway Documentation[EB/OL]. https://documentation.red-gate.com/flyway. Accessed 2026-08-05.</w:t>
      </w:r>
    </w:p>
    <w:p>
      <w:pPr>
        <w:ind w:hanging="360" w:left="360"/>
      </w:pPr>
      <w:r>
        <w:rPr>
          <w:rFonts w:ascii="Times New Roman" w:hAnsi="Times New Roman" w:eastAsia="宋体"/>
        </w:rPr>
        <w:t>[6] CORMEN T H, LEISERSON C E, RIVEST R L, et al. Introduction to Algorithms[M]. 4th ed. Cambridge: MIT Press, 2022.</w:t>
      </w:r>
    </w:p>
    <w:p>
      <w:pPr>
        <w:ind w:hanging="360" w:left="360"/>
      </w:pPr>
      <w:r>
        <w:rPr>
          <w:rFonts w:ascii="Times New Roman" w:hAnsi="Times New Roman" w:eastAsia="宋体"/>
        </w:rPr>
        <w:t>[7] JONES M, BRADLEY J, SAKIMURA N. JSON Web Token (JWT): RFC 7519[S]. Internet Engineering Task Force, 2015. DOI:10.17487/RFC7519.</w:t>
      </w:r>
    </w:p>
    <w:p>
      <w:pPr>
        <w:ind w:hanging="360" w:left="360"/>
      </w:pPr>
      <w:r>
        <w:rPr>
          <w:rFonts w:ascii="Times New Roman" w:hAnsi="Times New Roman" w:eastAsia="宋体"/>
        </w:rPr>
        <w:t>[8] SANDHU R S, COYNE E J, FEINSTEIN H L, et al. Role-based access control models[J]. Computer, 1996, 29(2): 38-47. DOI:10.1109/2.485845.</w:t>
      </w:r>
    </w:p>
    <w:p>
      <w:pPr>
        <w:ind w:hanging="360" w:left="360"/>
      </w:pPr>
      <w:r>
        <w:rPr>
          <w:rFonts w:ascii="Times New Roman" w:hAnsi="Times New Roman" w:eastAsia="宋体"/>
        </w:rPr>
        <w:t>[9] GOTEL O C Z, FINKELSTEIN A C W. An analysis of the requirements traceability problem[C]//Proceedings of IEEE International Conference on Requirements Engineering. Colorado Springs: IEEE, 1994: 94-101. DOI:10.1109/ICRE.1994.292398.</w:t>
      </w:r>
    </w:p>
    <w:p>
      <w:pPr>
        <w:ind w:hanging="360" w:left="360"/>
      </w:pPr>
      <w:r>
        <w:rPr>
          <w:rFonts w:ascii="Times New Roman" w:hAnsi="Times New Roman" w:eastAsia="宋体"/>
        </w:rPr>
        <w:t>[10] RAMESH B, JARKE M. Toward reference models for requirements traceability[J]. IEEE Transactions on Software Engineering, 2001, 27(1): 58-93. DOI:10.1109/32.895989.</w:t>
      </w:r>
    </w:p>
    <w:p>
      <w:pPr>
        <w:ind w:hanging="360" w:left="360"/>
      </w:pPr>
      <w:r>
        <w:rPr>
          <w:rFonts w:ascii="Times New Roman" w:hAnsi="Times New Roman" w:eastAsia="宋体"/>
        </w:rPr>
        <w:t>[11] PRETSCHNER A, BROY M, KRUGER I H, et al. Software engineering for automotive systems: A roadmap[C]//Future of Software Engineering. Minneapolis: IEEE, 2007: 55-71. DOI:10.1109/FOSE.2007.22.</w:t>
      </w:r>
    </w:p>
    <w:sectPr w:rsidR="00FC693F" w:rsidRPr="0006063C" w:rsidSect="00034616">
      <w:footerReference w:type="default" r:id="rId9"/>
      <w:pgSz w:w="11906" w:h="16838"/>
      <w:pgMar w:top="1440" w:right="1440" w:bottom="1440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ditorialNote">
    <w:name w:val="Editorial Note"/>
    <w:pPr>
      <w:spacing w:before="60" w:after="60" w:line="276" w:lineRule="auto"/>
      <w:ind w:left="198" w:right="198"/>
    </w:pPr>
    <w:rPr>
      <w:rFonts w:ascii="Times New Roman" w:hAnsi="Times New Roman" w:eastAsia="宋体"/>
      <w:sz w:val="19"/>
    </w:rPr>
  </w:style>
  <w:style w:type="paragraph" w:customStyle="1" w:styleId="FigurePlaceholder">
    <w:name w:val="Figure Placeholder"/>
    <w:pPr>
      <w:spacing w:before="160" w:after="80"/>
    </w:pPr>
    <w:rPr>
      <w:rFonts w:ascii="Times New Roman" w:hAnsi="Times New Roman" w:eastAsia="宋体"/>
      <w:color w:val="595959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第5章 系统实现</dc:title>
  <dc:subject>自动驾驶跨域工件追溯与变更分析系统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