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PCG Real-ACC 功能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Real-ACC功能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相比于Dual-ACC，Real-ACC不需要提前扫描，利用小光斑提前探测到particle，在主光斑处进行降功率保护。功能设计原理和难点等不再赘述。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方案介绍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该阶段所有的flag信息都需要从timing板随encode发送到IMC，所以相比于之前的设计，触发和传递链路有不少的改动，现整体的处理过程和过程中的各个延时如下图：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方案细节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数据密度对齐</w:t>
      </w:r>
      <w:bookmarkEnd w:id="4"/>
    </w:p>
    <w:p>
      <w:pPr>
        <w:spacing w:before="120" w:after="120" w:line="288" w:lineRule="auto"/>
        <w:ind w:left="0" w:firstLine="42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ZP6 True ACC设计-基于数据下采样</w:t>
        </w:r>
      </w:hyperlink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以上是下采样方案，用于对齐数据密度，方便上位机使用固定数据量进行gpu运算。如果仅在ACC检测中使用下采样，可以很方便的完成前后track数据对齐和主副光斑间隔判断，而不影响现有的fir和数据链路。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方案参数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Real-ACC参数同FIR一样，以track为单位，包含不同track下采样的参数、track间对齐的丢点参数、不同track内主副光斑间隔时间参数。参数计算脚本如下：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[track_parameter_generate_20240813.py]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脚本内包含ACC参数计算以及合并到FIR参数后的格式。在扫描recipe确定后，MainPC需要计算相应的FIR参数和ACC参数，并一起下发。下方方式与当前FIR参数相同。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注意（2024/06/07）：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脚本内的主副光斑间隔应该使用真实间隔减去marge长度，由系统工程师配置；</w:t>
            </w:r>
            <w:r>
              <w:rPr>
                <w:rFonts w:eastAsia="等线" w:ascii="Arial" w:cs="Arial" w:hAnsi="Arial"/>
                <w:sz w:val="22"/>
              </w:rPr>
              <w:t xml:space="preserve"> 脚本内已增加marge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脚本中只是组合了参数，组合后下发前需要对每行的结尾补零，直到每行128*4个字节。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更新光斑间隔倍率，用于ACC前后track检测范围设置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MainPC控制流程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参数下发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在recipe确定后，计算并下发参数，PMT单板接口如下：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0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下发完成后，配置track_para_en，写0再写1，触发参数更新确认。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在recipe不变时（既参数内容不变），只需要在scan前配置track_para_en（写0再写1），而不需要每次scan前重复下发该参数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6" style="width:414pt;height:39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ACC Scan前配置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4.2.1 </w:t>
      </w:r>
      <w:r>
        <w:rPr>
          <w:rFonts w:eastAsia="等线" w:ascii="Arial" w:cs="Arial" w:hAnsi="Arial"/>
          <w:b w:val="true"/>
          <w:sz w:val="28"/>
        </w:rPr>
        <w:t>确认AOM外控发光控制处于打开状态，ACC控制基础</w:t>
      </w:r>
      <w:bookmarkEnd w:id="9"/>
    </w:p>
    <w:p>
      <w:pPr>
        <w:spacing w:before="120" w:after="120" w:line="288" w:lineRule="auto"/>
        <w:ind w:left="0"/>
      </w:pPr>
      <w:r>
        <w:object>
          <v:shape id="_x0000_i1027" style="width:414pt;height:39pt;mso-width-percent:0;mso-height-percent:0;mso-width-percent:0;mso-height-percent:0" type="#_x0000_t75" o:ole="">
            <v:imagedata r:id="rId12" o:title=""/>
          </v:shape>
          <o:OLEObject DrawAspect="Icon" ObjectID="_1718471221" ProgID="Excel.Sheet.12" ShapeID="_x0000_i1027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4.2.2 </w:t>
      </w:r>
      <w:r>
        <w:rPr>
          <w:rFonts w:eastAsia="等线" w:ascii="Arial" w:cs="Arial" w:hAnsi="Arial"/>
          <w:b w:val="true"/>
          <w:sz w:val="28"/>
        </w:rPr>
        <w:t>写PMT内配置寄存器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在Real-ACC scan前需要配置相关的寄存器，PMT板内为触发阈值和flag相关延时，这些寄存器没有先后顺序，配置后会锁存，具体如下如下：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4" o:title=""/>
          </v:shape>
          <o:OLEObject DrawAspect="Icon" ObjectID="_1718471222" ProgID="Excel.Sheet.12" ShapeID="_x0000_i1028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4.2.3 </w:t>
      </w:r>
      <w:r>
        <w:rPr>
          <w:rFonts w:eastAsia="等线" w:ascii="Arial" w:cs="Arial" w:hAnsi="Arial"/>
          <w:b w:val="true"/>
          <w:sz w:val="28"/>
        </w:rPr>
        <w:t>打开PMT内功能使能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trike w:val="true"/>
          <w:sz w:val="22"/>
        </w:rPr>
        <w:t>以下寄存器都设置为1，打开FIR和Real-ACC功能，关闭校准模式（0x0054=0）。FIR和Real-ACC功能本身相互独立，但为了Real-ACC效果，需要打开FIR。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以下寄存器都设置为1，打开Real-ACC功能，关闭校准模式（0x0054=0）。FIR和Real-ACC功能本身相互独立，v1.7.0及以后版本解耦FIR和ACC。</w:t>
      </w:r>
    </w:p>
    <w:p>
      <w:pPr>
        <w:spacing w:before="120" w:after="120" w:line="288" w:lineRule="auto"/>
        <w:ind w:left="0"/>
      </w:pPr>
      <w:r>
        <w:object>
          <v:shape id="_x0000_i1029" style="width:414pt;height:90pt;mso-width-percent:0;mso-height-percent:0;mso-width-percent:0;mso-height-percent:0" type="#_x0000_t75" o:ole="">
            <v:imagedata r:id="rId16" o:title=""/>
          </v:shape>
          <o:OLEObject DrawAspect="Icon" ObjectID="_1718471223" ProgID="Excel.Sheet.12" ShapeID="_x0000_i1029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4.2.4 </w:t>
      </w:r>
      <w:r>
        <w:rPr>
          <w:rFonts w:eastAsia="等线" w:ascii="Arial" w:cs="Arial" w:hAnsi="Arial"/>
          <w:b w:val="true"/>
          <w:sz w:val="28"/>
        </w:rPr>
        <w:t>写Timing板内配置寄存器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配置Timing板内配置相关的寄存器，包含AOM初始电压、触发电压等，这些寄存器没有先后顺序，配置后会锁存，具体如下：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8" o:title=""/>
          </v:shape>
          <o:OLEObject DrawAspect="Icon" ObjectID="_1718471224" ProgID="Excel.Sheet.12" ShapeID="_x0000_i1030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ACC Scan过程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4.3.1 </w:t>
      </w:r>
      <w:r>
        <w:rPr>
          <w:rFonts w:eastAsia="等线" w:ascii="Arial" w:cs="Arial" w:hAnsi="Arial"/>
          <w:b w:val="true"/>
          <w:sz w:val="28"/>
        </w:rPr>
        <w:t>写Timing版内使能寄存器</w:t>
      </w:r>
      <w:bookmarkEnd w:id="1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配置Timing板内使能相关寄存器，包含保护使能、开关使能等，这些寄存器配置需要按照顺序配置，配置后会锁存，具体如下：</w:t>
      </w:r>
    </w:p>
    <w:p>
      <w:pPr>
        <w:spacing w:before="120" w:after="120" w:line="288" w:lineRule="auto"/>
        <w:ind w:left="0"/>
      </w:pPr>
      <w:r>
        <w:object>
          <v:shape id="_x0000_i1031" style="width:414pt;height:136pt;mso-width-percent:0;mso-height-percent:0;mso-width-percent:0;mso-height-percent:0" type="#_x0000_t75" o:ole="">
            <v:imagedata r:id="rId20" o:title=""/>
          </v:shape>
          <o:OLEObject DrawAspect="Icon" ObjectID="_1718471225" ProgID="Excel.Sheet.12" ShapeID="_x0000_i1031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以上寄存器设置都设置为1，即</w:t>
      </w:r>
      <w:r>
        <w:rPr>
          <w:rFonts w:eastAsia="等线" w:ascii="Arial" w:cs="Arial" w:hAnsi="Arial"/>
          <w:strike w:val="true"/>
          <w:sz w:val="22"/>
        </w:rPr>
        <w:t>打开激光器AOM保护</w:t>
      </w:r>
      <w:r>
        <w:rPr>
          <w:rFonts w:eastAsia="等线" w:ascii="Arial" w:cs="Arial" w:hAnsi="Arial"/>
          <w:sz w:val="22"/>
        </w:rPr>
        <w:t>，打开ACC-job功能。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4.3.2 </w:t>
      </w:r>
      <w:r>
        <w:rPr>
          <w:rFonts w:eastAsia="等线" w:ascii="Arial" w:cs="Arial" w:hAnsi="Arial"/>
          <w:b w:val="true"/>
          <w:sz w:val="28"/>
        </w:rPr>
        <w:t>Scan</w:t>
      </w:r>
      <w:bookmarkEnd w:id="1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正常进行Scan。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4.3.3 </w:t>
      </w:r>
      <w:r>
        <w:rPr>
          <w:rFonts w:eastAsia="等线" w:ascii="Arial" w:cs="Arial" w:hAnsi="Arial"/>
          <w:b w:val="true"/>
          <w:sz w:val="28"/>
        </w:rPr>
        <w:t>关闭PMT和Timig板内使能寄存器</w:t>
      </w:r>
      <w:bookmarkEnd w:id="1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以下寄存器都设置为0。</w:t>
      </w:r>
    </w:p>
    <w:p>
      <w:pPr>
        <w:spacing w:before="120" w:after="120" w:line="288" w:lineRule="auto"/>
        <w:ind w:left="0"/>
      </w:pPr>
      <w:r>
        <w:object>
          <v:shape id="_x0000_i1032" style="width:414pt;height:72pt;mso-width-percent:0;mso-height-percent:0;mso-width-percent:0;mso-height-percent:0" type="#_x0000_t75" o:ole="">
            <v:imagedata r:id="rId22" o:title=""/>
          </v:shape>
          <o:OLEObject DrawAspect="Icon" ObjectID="_1718471226" ProgID="Excel.Sheet.12" ShapeID="_x0000_i1032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以下寄存器都设置为0。</w:t>
      </w:r>
    </w:p>
    <w:p>
      <w:pPr>
        <w:spacing w:before="120" w:after="120" w:line="288" w:lineRule="auto"/>
        <w:ind w:left="0"/>
      </w:pPr>
      <w:r>
        <w:object>
          <v:shape id="_x0000_i1033" style="width:414pt;height:102pt;mso-width-percent:0;mso-height-percent:0;mso-width-percent:0;mso-height-percent:0" type="#_x0000_t75" o:ole="">
            <v:imagedata r:id="rId24" o:title=""/>
          </v:shape>
          <o:OLEObject DrawAspect="Icon" ObjectID="_1718471227" ProgID="Excel.Sheet.12" ShapeID="_x0000_i1033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4.4 </w:t>
      </w:r>
      <w:r>
        <w:rPr>
          <w:rFonts w:eastAsia="等线" w:ascii="Arial" w:cs="Arial" w:hAnsi="Arial"/>
          <w:b w:val="true"/>
          <w:sz w:val="30"/>
        </w:rPr>
        <w:t>Scan后读取控制过程统计结果</w:t>
      </w:r>
      <w:bookmarkEnd w:id="1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PMT侧统计结果，scan开始时清零，记录scan过程中下发到AOM的触发次数。</w:t>
      </w:r>
    </w:p>
    <w:p>
      <w:pPr>
        <w:spacing w:before="120" w:after="120" w:line="288" w:lineRule="auto"/>
        <w:ind w:left="0"/>
      </w:pPr>
      <w:r>
        <w:object>
          <v:shape id="_x0000_i1034" style="width:414pt;height:58pt;mso-width-percent:0;mso-height-percent:0;mso-width-percent:0;mso-height-percent:0" type="#_x0000_t75" o:ole="">
            <v:imagedata r:id="rId26" o:title=""/>
          </v:shape>
          <o:OLEObject DrawAspect="Icon" ObjectID="_1718471228" ProgID="Excel.Sheet.12" ShapeID="_x0000_i1034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Timing侧统计结果，scan开始时清零，记录scan过程中对AOM的触发次数，和触发开始时的encode位置。</w:t>
      </w:r>
    </w:p>
    <w:p>
      <w:pPr>
        <w:spacing w:before="120" w:after="120" w:line="288" w:lineRule="auto"/>
        <w:ind w:left="0"/>
      </w:pPr>
      <w:r>
        <w:object>
          <v:shape id="_x0000_i1035" style="width:414pt;height:163pt;mso-width-percent:0;mso-height-percent:0;mso-width-percent:0;mso-height-percent:0" type="#_x0000_t75" o:ole="">
            <v:imagedata r:id="rId28" o:title=""/>
          </v:shape>
          <o:OLEObject DrawAspect="Icon" ObjectID="_1718471229" ProgID="Excel.Sheet.12" ShapeID="_x0000_i1035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初版预定为ACC过程中触发位置统计，触发次数统计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由于连续多次读取寄存器很占时间，建议增加一个开关，在调试时可以读取全部结果做调试使用，在不需要的时候可以关闭该功能或限制读取数量。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进阶预定为ACC过程中触发的一段数据完整记录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其他功能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5.1.1 </w:t>
      </w:r>
      <w:r>
        <w:rPr>
          <w:rFonts w:eastAsia="等线" w:ascii="Arial" w:cs="Arial" w:hAnsi="Arial"/>
          <w:b w:val="true"/>
          <w:sz w:val="28"/>
        </w:rPr>
        <w:t>ACC低功率校准功能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6" style="width:414pt;height:117pt;mso-width-percent:0;mso-height-percent:0;mso-width-percent:0;mso-height-percent:0" type="#_x0000_t75" o:ole="">
            <v:imagedata r:id="rId30" o:title=""/>
          </v:shape>
          <o:OLEObject DrawAspect="Icon" ObjectID="_1718471230" ProgID="Excel.Sheet.12" ShapeID="_x0000_i1036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32" o:title=""/>
          </v:shape>
          <o:OLEObject DrawAspect="Icon" ObjectID="_1718471231" ProgID="Excel.Sheet.12" ShapeID="_x0000_i1037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打开该功能后会以固定方波做AOM触发操作。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该功能目的为校准timing板内参数flag trigger delay time、pmt板内参数trigger delay time、pmt版本ADC恢复系数，校准过程如下：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设置flag trigger delay time（0x0326） = 1；设置acc_cali_low/acc_cali_high；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打开校准模式acc_cali_mode = 1；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Timing板内设置acc_job_init_vol 和acc_aom_class1电压；设置flag trigger delay time（0x0326）=1， 时间为10ns；设置flag hold time（0x0328）=1，时间为10ns；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Timing板内设置acc_job_control（0x030b）=1；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校准扫描；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IMC计算出ACC flag上升沿到ADC水平下降的时间差 DT1；DT1-30ns 即为flag trigger delay time；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flag trigger delay time + 410ns 即为trigger delay time；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ADC下降水平倍率差即为lp_recover_factor;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关闭校准模式acc_cali_mode = 0。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0716校准模式更新：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将flag换到pmt上传后，校准模式更新流程如下：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设置flag trigger delay time（0x0326） = 1；设置acc_cali_low/acc_cali_high；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打开校准模式acc_cali_mode = 1；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Timing板内设置acc_job_init_vol 和acc_aom_class1电压；设置flag trigger delay time（0x0326）=1， 时间为10ns；设置flag hold time（0x0328）=1，时间为10ns；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Timing板内设置acc_job_control（0x030b）=1；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校准扫描；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IMC计算出ACC flag上升沿到ADC水平下降的时间差 DT1；DT1即为flag trigger delay time + 信号处理延时；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ADC下降水平倍率差即为lp_recover_factor;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关闭校准模式acc_cali_mode = 0。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5.1.2 </w:t>
      </w:r>
      <w:r>
        <w:rPr>
          <w:rFonts w:eastAsia="等线" w:ascii="Arial" w:cs="Arial" w:hAnsi="Arial"/>
          <w:b w:val="true"/>
          <w:sz w:val="28"/>
        </w:rPr>
        <w:t>ACC调试模式</w:t>
      </w:r>
      <w:bookmarkEnd w:id="21"/>
    </w:p>
    <w:p>
      <w:pPr>
        <w:spacing w:before="120" w:after="120" w:line="288" w:lineRule="auto"/>
        <w:ind w:left="0"/>
      </w:pPr>
      <w:r>
        <w:object>
          <v:shape id="_x0000_i1038" style="width:414pt;height:117pt;mso-width-percent:0;mso-height-percent:0;mso-width-percent:0;mso-height-percent:0" type="#_x0000_t75" o:ole="">
            <v:imagedata r:id="rId34" o:title=""/>
          </v:shape>
          <o:OLEObject DrawAspect="Icon" ObjectID="_1718471232" ProgID="Excel.Sheet.12" ShapeID="_x0000_i1038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0x0104：使用前需要打开FIR和ACC使能。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0x0108：使用前需打开FIR使能。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以上调试模式打开后会按照对应的数据顺序，混合发送。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0x0110：使用前需要打开FIR和ACC使能。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该模式可以和前两种模式一起打开，第一次先不要打开。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未完成功能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调试模式3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当前track触发信号保存段数据供排查使用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附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从信号前沿到判断出结果总延时：1160ns（FPGA内部处理时间）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 信号从PMT到Timing板的通讯延时：410ns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笔记：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客户端 zp5 使用通道1  real acc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zp6 alpha 最终不使用real acc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8205">
    <w:lvl>
      <w:start w:val="1"/>
      <w:numFmt w:val="decimal"/>
      <w:suff w:val="tab"/>
      <w:lvlText w:val="%1."/>
      <w:rPr>
        <w:color w:val="3370ff"/>
      </w:rPr>
    </w:lvl>
  </w:abstractNum>
  <w:abstractNum w:abstractNumId="858206">
    <w:lvl>
      <w:start w:val="2"/>
      <w:numFmt w:val="decimal"/>
      <w:suff w:val="tab"/>
      <w:lvlText w:val="%1."/>
      <w:rPr>
        <w:color w:val="3370ff"/>
      </w:rPr>
    </w:lvl>
  </w:abstractNum>
  <w:abstractNum w:abstractNumId="858207">
    <w:lvl>
      <w:start w:val="3"/>
      <w:numFmt w:val="decimal"/>
      <w:suff w:val="tab"/>
      <w:lvlText w:val="%1."/>
      <w:rPr>
        <w:color w:val="3370ff"/>
      </w:rPr>
    </w:lvl>
  </w:abstractNum>
  <w:abstractNum w:abstractNumId="858208">
    <w:lvl>
      <w:start w:val="1"/>
      <w:numFmt w:val="decimal"/>
      <w:suff w:val="tab"/>
      <w:lvlText w:val="%1."/>
      <w:rPr>
        <w:color w:val="3370ff"/>
      </w:rPr>
    </w:lvl>
  </w:abstractNum>
  <w:abstractNum w:abstractNumId="858209">
    <w:lvl>
      <w:start w:val="2"/>
      <w:numFmt w:val="decimal"/>
      <w:suff w:val="tab"/>
      <w:lvlText w:val="%1."/>
      <w:rPr>
        <w:color w:val="3370ff"/>
      </w:rPr>
    </w:lvl>
  </w:abstractNum>
  <w:abstractNum w:abstractNumId="858210">
    <w:lvl>
      <w:start w:val="1"/>
      <w:numFmt w:val="decimal"/>
      <w:suff w:val="tab"/>
      <w:lvlText w:val="%1."/>
      <w:rPr>
        <w:color w:val="3370ff"/>
      </w:rPr>
    </w:lvl>
  </w:abstractNum>
  <w:abstractNum w:abstractNumId="858211">
    <w:lvl>
      <w:start w:val="2"/>
      <w:numFmt w:val="decimal"/>
      <w:suff w:val="tab"/>
      <w:lvlText w:val="%1."/>
      <w:rPr>
        <w:color w:val="3370ff"/>
      </w:rPr>
    </w:lvl>
  </w:abstractNum>
  <w:abstractNum w:abstractNumId="858212">
    <w:lvl>
      <w:start w:val="1"/>
      <w:numFmt w:val="lowerLetter"/>
      <w:suff w:val="tab"/>
      <w:lvlText w:val="%1."/>
      <w:rPr>
        <w:color w:val="3370ff"/>
      </w:rPr>
    </w:lvl>
  </w:abstractNum>
  <w:abstractNum w:abstractNumId="858213">
    <w:lvl>
      <w:start w:val="2"/>
      <w:numFmt w:val="lowerLetter"/>
      <w:suff w:val="tab"/>
      <w:lvlText w:val="%1."/>
      <w:rPr>
        <w:color w:val="3370ff"/>
      </w:rPr>
    </w:lvl>
  </w:abstractNum>
  <w:abstractNum w:abstractNumId="858214">
    <w:lvl>
      <w:start w:val="3"/>
      <w:numFmt w:val="lowerLetter"/>
      <w:suff w:val="tab"/>
      <w:lvlText w:val="%1."/>
      <w:rPr>
        <w:color w:val="3370ff"/>
      </w:rPr>
    </w:lvl>
  </w:abstractNum>
  <w:abstractNum w:abstractNumId="858215">
    <w:lvl>
      <w:start w:val="4"/>
      <w:numFmt w:val="lowerLetter"/>
      <w:suff w:val="tab"/>
      <w:lvlText w:val="%1."/>
      <w:rPr>
        <w:color w:val="3370ff"/>
      </w:rPr>
    </w:lvl>
  </w:abstractNum>
  <w:abstractNum w:abstractNumId="858216">
    <w:lvl>
      <w:start w:val="5"/>
      <w:numFmt w:val="lowerLetter"/>
      <w:suff w:val="tab"/>
      <w:lvlText w:val="%1."/>
      <w:rPr>
        <w:color w:val="3370ff"/>
      </w:rPr>
    </w:lvl>
  </w:abstractNum>
  <w:abstractNum w:abstractNumId="858217">
    <w:lvl>
      <w:start w:val="6"/>
      <w:numFmt w:val="lowerLetter"/>
      <w:suff w:val="tab"/>
      <w:lvlText w:val="%1."/>
      <w:rPr>
        <w:color w:val="3370ff"/>
      </w:rPr>
    </w:lvl>
  </w:abstractNum>
  <w:abstractNum w:abstractNumId="858218">
    <w:lvl>
      <w:start w:val="7"/>
      <w:numFmt w:val="lowerLetter"/>
      <w:suff w:val="tab"/>
      <w:lvlText w:val="%1."/>
      <w:rPr>
        <w:color w:val="3370ff"/>
      </w:rPr>
    </w:lvl>
  </w:abstractNum>
  <w:abstractNum w:abstractNumId="858219">
    <w:lvl>
      <w:start w:val="8"/>
      <w:numFmt w:val="lowerLetter"/>
      <w:suff w:val="tab"/>
      <w:lvlText w:val="%1."/>
      <w:rPr>
        <w:color w:val="3370ff"/>
      </w:rPr>
    </w:lvl>
  </w:abstractNum>
  <w:abstractNum w:abstractNumId="858220">
    <w:lvl>
      <w:start w:val="9"/>
      <w:numFmt w:val="lowerLetter"/>
      <w:suff w:val="tab"/>
      <w:lvlText w:val="%1."/>
      <w:rPr>
        <w:color w:val="3370ff"/>
      </w:rPr>
    </w:lvl>
  </w:abstractNum>
  <w:abstractNum w:abstractNumId="858221">
    <w:lvl>
      <w:start w:val="1"/>
      <w:numFmt w:val="decimal"/>
      <w:suff w:val="tab"/>
      <w:lvlText w:val="%1."/>
      <w:rPr>
        <w:color w:val="3370ff"/>
      </w:rPr>
    </w:lvl>
  </w:abstractNum>
  <w:abstractNum w:abstractNumId="858222">
    <w:lvl>
      <w:start w:val="2"/>
      <w:numFmt w:val="decimal"/>
      <w:suff w:val="tab"/>
      <w:lvlText w:val="%1."/>
      <w:rPr>
        <w:color w:val="3370ff"/>
      </w:rPr>
    </w:lvl>
  </w:abstractNum>
  <w:abstractNum w:abstractNumId="858223">
    <w:lvl>
      <w:start w:val="3"/>
      <w:numFmt w:val="decimal"/>
      <w:suff w:val="tab"/>
      <w:lvlText w:val="%1."/>
      <w:rPr>
        <w:color w:val="3370ff"/>
      </w:rPr>
    </w:lvl>
  </w:abstractNum>
  <w:abstractNum w:abstractNumId="858224">
    <w:lvl>
      <w:start w:val="4"/>
      <w:numFmt w:val="decimal"/>
      <w:suff w:val="tab"/>
      <w:lvlText w:val="%1."/>
      <w:rPr>
        <w:color w:val="3370ff"/>
      </w:rPr>
    </w:lvl>
  </w:abstractNum>
  <w:abstractNum w:abstractNumId="858225">
    <w:lvl>
      <w:start w:val="5"/>
      <w:numFmt w:val="decimal"/>
      <w:suff w:val="tab"/>
      <w:lvlText w:val="%1."/>
      <w:rPr>
        <w:color w:val="3370ff"/>
      </w:rPr>
    </w:lvl>
  </w:abstractNum>
  <w:abstractNum w:abstractNumId="858226">
    <w:lvl>
      <w:start w:val="6"/>
      <w:numFmt w:val="decimal"/>
      <w:suff w:val="tab"/>
      <w:lvlText w:val="%1."/>
      <w:rPr>
        <w:color w:val="3370ff"/>
      </w:rPr>
    </w:lvl>
  </w:abstractNum>
  <w:abstractNum w:abstractNumId="858227">
    <w:lvl>
      <w:start w:val="7"/>
      <w:numFmt w:val="decimal"/>
      <w:suff w:val="tab"/>
      <w:lvlText w:val="%1."/>
      <w:rPr>
        <w:color w:val="3370ff"/>
      </w:rPr>
    </w:lvl>
  </w:abstractNum>
  <w:abstractNum w:abstractNumId="858228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858205"/>
  </w:num>
  <w:num w:numId="2">
    <w:abstractNumId w:val="858206"/>
  </w:num>
  <w:num w:numId="3">
    <w:abstractNumId w:val="858207"/>
  </w:num>
  <w:num w:numId="4">
    <w:abstractNumId w:val="858208"/>
  </w:num>
  <w:num w:numId="5">
    <w:abstractNumId w:val="858209"/>
  </w:num>
  <w:num w:numId="6">
    <w:abstractNumId w:val="858210"/>
  </w:num>
  <w:num w:numId="7">
    <w:abstractNumId w:val="858211"/>
  </w:num>
  <w:num w:numId="8">
    <w:abstractNumId w:val="858212"/>
  </w:num>
  <w:num w:numId="9">
    <w:abstractNumId w:val="858213"/>
  </w:num>
  <w:num w:numId="10">
    <w:abstractNumId w:val="858214"/>
  </w:num>
  <w:num w:numId="11">
    <w:abstractNumId w:val="858215"/>
  </w:num>
  <w:num w:numId="12">
    <w:abstractNumId w:val="858216"/>
  </w:num>
  <w:num w:numId="13">
    <w:abstractNumId w:val="858217"/>
  </w:num>
  <w:num w:numId="14">
    <w:abstractNumId w:val="858218"/>
  </w:num>
  <w:num w:numId="15">
    <w:abstractNumId w:val="858219"/>
  </w:num>
  <w:num w:numId="16">
    <w:abstractNumId w:val="858220"/>
  </w:num>
  <w:num w:numId="17">
    <w:abstractNumId w:val="858221"/>
  </w:num>
  <w:num w:numId="18">
    <w:abstractNumId w:val="858222"/>
  </w:num>
  <w:num w:numId="19">
    <w:abstractNumId w:val="858223"/>
  </w:num>
  <w:num w:numId="20">
    <w:abstractNumId w:val="858224"/>
  </w:num>
  <w:num w:numId="21">
    <w:abstractNumId w:val="858225"/>
  </w:num>
  <w:num w:numId="22">
    <w:abstractNumId w:val="858226"/>
  </w:num>
  <w:num w:numId="23">
    <w:abstractNumId w:val="858227"/>
  </w:num>
  <w:num w:numId="24">
    <w:abstractNumId w:val="8582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3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4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5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6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7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8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9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0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1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2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embeddings/Microsoft_Excel_Worksheet13.xlsx" Type="http://schemas.openxmlformats.org/officeDocument/2006/relationships/package"/><Relationship Id="rId32" Target="media/image14.png" Type="http://schemas.openxmlformats.org/officeDocument/2006/relationships/image"/><Relationship Id="rId33" Target="embeddings/Microsoft_Excel_Worksheet14.xlsx" Type="http://schemas.openxmlformats.org/officeDocument/2006/relationships/package"/><Relationship Id="rId34" Target="media/image15.png" Type="http://schemas.openxmlformats.org/officeDocument/2006/relationships/image"/><Relationship Id="rId35" Target="media/image16.png" Type="http://schemas.openxmlformats.org/officeDocument/2006/relationships/image"/><Relationship Id="rId36" Target="media/image17.png" Type="http://schemas.openxmlformats.org/officeDocument/2006/relationships/image"/><Relationship Id="rId37" Target="header1.xml" Type="http://schemas.openxmlformats.org/officeDocument/2006/relationships/header"/><Relationship Id="rId4" Target="media/image1.jpeg" Type="http://schemas.openxmlformats.org/officeDocument/2006/relationships/image"/><Relationship Id="rId5" Target="https://if8oet7rhs.feishu.cn/docx/YNgwdHNR4on31dxkRoxcWbiVnEe" TargetMode="External" Type="http://schemas.openxmlformats.org/officeDocument/2006/relationships/hyperlink"/><Relationship Id="rId6" Target="numbering.xml" Type="http://schemas.openxmlformats.org/officeDocument/2006/relationships/numbering"/><Relationship Id="rId7" Target="embeddings/Microsoft_Excel_Worksheet1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2026-01-22T02:26:15Z</dcterms:created>
  <dc:creator>Apache POI</dc:creator>
</cp:coreProperties>
</file>