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ZP6 AUTO focus 数据链路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总体数据流向</w:t>
      </w:r>
      <w:bookmarkEnd w:id="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分为DUP和PCIE两条路径，分别上传到MainPC和IMC中，前者数据经过平均降采样处理，FBC和QPD的带宽均为 1kHz*20Byte ；后者不做处理，两路合并发送，带宽为128kHz*32Byte。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862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和其他版本的区别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334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当前四台集成机台的硬件差异如上图，新增FBC 通道bypass配置寄存器和QPD使能配置寄存器：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05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QPD会在FBC打开时同步打开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UDP路径</w:t>
      </w:r>
      <w:bookmarkEnd w:id="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color w:val="3370ff"/>
          <w:sz w:val="28"/>
        </w:rPr>
        <w:t xml:space="preserve">3.1 </w:t>
      </w:r>
      <w:r>
        <w:rPr>
          <w:rFonts w:eastAsia="等线" w:ascii="Arial" w:cs="Arial" w:hAnsi="Arial"/>
          <w:b w:val="true"/>
          <w:sz w:val="28"/>
        </w:rPr>
        <w:t>删除FBCr1移除模式，增加FBC通道 bypass适配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191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color w:val="3370ff"/>
          <w:sz w:val="28"/>
        </w:rPr>
        <w:t xml:space="preserve">3.2 </w:t>
      </w:r>
      <w:r>
        <w:rPr>
          <w:rFonts w:eastAsia="等线" w:ascii="Arial" w:cs="Arial" w:hAnsi="Arial"/>
          <w:b w:val="true"/>
          <w:sz w:val="28"/>
        </w:rPr>
        <w:t>增加QPD的udp包上传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286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color w:val="3370ff"/>
          <w:sz w:val="28"/>
        </w:rPr>
        <w:t xml:space="preserve">3.3 </w:t>
      </w:r>
      <w:r>
        <w:rPr>
          <w:rFonts w:eastAsia="等线" w:ascii="Arial" w:cs="Arial" w:hAnsi="Arial"/>
          <w:b w:val="true"/>
          <w:sz w:val="28"/>
        </w:rPr>
        <w:t>增加QPD的背景校准指令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19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color w:val="3370ff"/>
          <w:sz w:val="28"/>
        </w:rPr>
        <w:t xml:space="preserve">3.4 </w:t>
      </w:r>
      <w:r>
        <w:rPr>
          <w:rFonts w:eastAsia="等线" w:ascii="Arial" w:cs="Arial" w:hAnsi="Arial"/>
          <w:b w:val="true"/>
          <w:sz w:val="28"/>
        </w:rPr>
        <w:t>删除FBC的校准模式，FBC和QPautoD的背景数据包分时复用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811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PCIE路径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数据格式改动如下，同样在螺旋线scan结束后发送到IMC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287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2026-01-22T02:31:16Z</dcterms:created>
  <dc:creator>Apache POI</dc:creator>
</cp:coreProperties>
</file>