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F5B" w:rsidRDefault="00C74F54">
      <w:pPr>
        <w:rPr>
          <w:rFonts w:ascii="MicrosoftYaHei-Bold" w:eastAsia="MicrosoftYaHei-Bold" w:cs="MicrosoftYaHei-Bold"/>
          <w:b/>
          <w:bCs/>
          <w:color w:val="333333"/>
          <w:kern w:val="0"/>
          <w:sz w:val="34"/>
          <w:szCs w:val="34"/>
        </w:rPr>
      </w:pPr>
      <w:r>
        <w:rPr>
          <w:rFonts w:ascii="MicrosoftYaHei-Bold" w:eastAsia="MicrosoftYaHei-Bold" w:cs="MicrosoftYaHei-Bold" w:hint="eastAsia"/>
          <w:b/>
          <w:bCs/>
          <w:color w:val="333333"/>
          <w:kern w:val="0"/>
          <w:sz w:val="34"/>
          <w:szCs w:val="34"/>
        </w:rPr>
        <w:t>项目信息</w:t>
      </w:r>
    </w:p>
    <w:p w:rsidR="00C74F54" w:rsidRPr="00F15AAA" w:rsidRDefault="00C74F54" w:rsidP="00F15AAA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 w:rsidRPr="00C74F54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项目名称：</w:t>
      </w:r>
      <w:r w:rsidR="00F15AAA" w:rsidRPr="00C74F54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基于昇思MindQuantum，实现量子蒙特</w:t>
      </w:r>
      <w:r w:rsidR="00F15AAA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卡洛算法</w:t>
      </w:r>
    </w:p>
    <w:p w:rsidR="00C74F54" w:rsidRPr="008059C4" w:rsidRDefault="00C74F54" w:rsidP="00675463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 w:rsidRPr="008059C4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方案描述：</w:t>
      </w:r>
      <w:r w:rsidR="00FF6B8F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基于</w:t>
      </w:r>
      <w:r w:rsidR="00FF6B8F">
        <w:rPr>
          <w:rFonts w:ascii="T3Font_1" w:eastAsia="T3Font_1" w:cs="T3Font_1" w:hint="eastAsia"/>
          <w:color w:val="333333"/>
          <w:kern w:val="0"/>
          <w:sz w:val="20"/>
          <w:szCs w:val="20"/>
        </w:rPr>
        <w:t>Quantum</w:t>
      </w:r>
      <w:r w:rsidR="00FF6B8F">
        <w:rPr>
          <w:rFonts w:ascii="T3Font_1" w:eastAsia="T3Font_1" w:cs="T3Font_1"/>
          <w:color w:val="333333"/>
          <w:kern w:val="0"/>
          <w:sz w:val="20"/>
          <w:szCs w:val="20"/>
        </w:rPr>
        <w:t xml:space="preserve"> Computing Quantum Monte Carlo</w:t>
      </w:r>
      <w:r w:rsidR="00FF6B8F">
        <w:rPr>
          <w:rFonts w:ascii="T3Font_1" w:eastAsia="T3Font_1" w:cs="T3Font_1"/>
          <w:color w:val="333333"/>
          <w:kern w:val="0"/>
          <w:sz w:val="20"/>
          <w:szCs w:val="20"/>
        </w:rPr>
        <w:t xml:space="preserve"> </w:t>
      </w:r>
      <w:r w:rsidR="00FF6B8F">
        <w:rPr>
          <w:rFonts w:ascii="T3Font_1" w:eastAsia="T3Font_1" w:cs="T3Font_1" w:hint="eastAsia"/>
          <w:color w:val="333333"/>
          <w:kern w:val="0"/>
          <w:sz w:val="20"/>
          <w:szCs w:val="20"/>
        </w:rPr>
        <w:t>(</w:t>
      </w:r>
      <w:r w:rsidR="00FF6B8F" w:rsidRPr="00E71F76">
        <w:rPr>
          <w:rFonts w:ascii="T3Font_2" w:eastAsia="T3Font_2" w:cs="T3Font_2"/>
          <w:color w:val="333333"/>
          <w:kern w:val="0"/>
          <w:sz w:val="20"/>
          <w:szCs w:val="20"/>
        </w:rPr>
        <w:t>arXiv:2206.10431v1</w:t>
      </w:r>
      <w:r w:rsidR="00FF6B8F">
        <w:rPr>
          <w:rFonts w:ascii="T3Font_2" w:eastAsia="T3Font_2" w:cs="T3Font_2"/>
          <w:color w:val="333333"/>
          <w:kern w:val="0"/>
          <w:sz w:val="20"/>
          <w:szCs w:val="20"/>
        </w:rPr>
        <w:t>)</w:t>
      </w:r>
      <w:r w:rsidR="00FF6B8F">
        <w:rPr>
          <w:rFonts w:ascii="T3Font_2" w:eastAsia="T3Font_2" w:cs="T3Font_2" w:hint="eastAsia"/>
          <w:color w:val="333333"/>
          <w:kern w:val="0"/>
          <w:sz w:val="20"/>
          <w:szCs w:val="20"/>
        </w:rPr>
        <w:t>实现量子蒙特卡洛算法</w:t>
      </w:r>
      <w:r w:rsidR="00D22C96">
        <w:rPr>
          <w:rFonts w:ascii="T3Font_2" w:eastAsia="T3Font_2" w:cs="T3Font_2" w:hint="eastAsia"/>
          <w:color w:val="333333"/>
          <w:kern w:val="0"/>
          <w:sz w:val="20"/>
          <w:szCs w:val="20"/>
        </w:rPr>
        <w:t>，计算H</w:t>
      </w:r>
      <w:r w:rsidR="00D22C96">
        <w:rPr>
          <w:rFonts w:ascii="T3Font_2" w:eastAsia="T3Font_2" w:cs="T3Font_2"/>
          <w:color w:val="333333"/>
          <w:kern w:val="0"/>
          <w:sz w:val="20"/>
          <w:szCs w:val="20"/>
        </w:rPr>
        <w:t>4</w:t>
      </w:r>
      <w:r w:rsidR="00D22C96">
        <w:rPr>
          <w:rFonts w:ascii="T3Font_2" w:eastAsia="T3Font_2" w:cs="T3Font_2" w:hint="eastAsia"/>
          <w:color w:val="333333"/>
          <w:kern w:val="0"/>
          <w:sz w:val="20"/>
          <w:szCs w:val="20"/>
        </w:rPr>
        <w:t>分子的基态能量，与量子本征求解器Vatiational</w:t>
      </w:r>
      <w:r w:rsidR="00D22C96">
        <w:rPr>
          <w:rFonts w:ascii="T3Font_2" w:eastAsia="T3Font_2" w:cs="T3Font_2"/>
          <w:color w:val="333333"/>
          <w:kern w:val="0"/>
          <w:sz w:val="20"/>
          <w:szCs w:val="20"/>
        </w:rPr>
        <w:t xml:space="preserve"> </w:t>
      </w:r>
      <w:r w:rsidR="00D22C96">
        <w:rPr>
          <w:rFonts w:ascii="T3Font_2" w:eastAsia="T3Font_2" w:cs="T3Font_2" w:hint="eastAsia"/>
          <w:color w:val="333333"/>
          <w:kern w:val="0"/>
          <w:sz w:val="20"/>
          <w:szCs w:val="20"/>
        </w:rPr>
        <w:t>Q</w:t>
      </w:r>
      <w:r w:rsidR="00D22C96">
        <w:rPr>
          <w:rFonts w:ascii="T3Font_2" w:eastAsia="T3Font_2" w:cs="T3Font_2"/>
          <w:color w:val="333333"/>
          <w:kern w:val="0"/>
          <w:sz w:val="20"/>
          <w:szCs w:val="20"/>
        </w:rPr>
        <w:t xml:space="preserve">uantum </w:t>
      </w:r>
      <w:r w:rsidR="00D22C96">
        <w:rPr>
          <w:rFonts w:ascii="T3Font_2" w:eastAsia="T3Font_2" w:cs="T3Font_2" w:hint="eastAsia"/>
          <w:color w:val="333333"/>
          <w:kern w:val="0"/>
          <w:sz w:val="20"/>
          <w:szCs w:val="20"/>
        </w:rPr>
        <w:t>E</w:t>
      </w:r>
      <w:r w:rsidR="00D22C96">
        <w:rPr>
          <w:rFonts w:ascii="T3Font_2" w:eastAsia="T3Font_2" w:cs="T3Font_2"/>
          <w:color w:val="333333"/>
          <w:kern w:val="0"/>
          <w:sz w:val="20"/>
          <w:szCs w:val="20"/>
        </w:rPr>
        <w:t>igensolver, VQE</w:t>
      </w:r>
      <w:r w:rsidR="00D22C96">
        <w:rPr>
          <w:rFonts w:ascii="T3Font_2" w:eastAsia="T3Font_2" w:cs="T3Font_2" w:hint="eastAsia"/>
          <w:color w:val="333333"/>
          <w:kern w:val="0"/>
          <w:sz w:val="20"/>
          <w:szCs w:val="20"/>
        </w:rPr>
        <w:t>的结果和精确值FCI结果进行对比，突出QC-QMC的优势</w:t>
      </w:r>
      <w:r w:rsidR="005A1CF5">
        <w:rPr>
          <w:rFonts w:ascii="T3Font_2" w:eastAsia="T3Font_2" w:cs="T3Font_2" w:hint="eastAsia"/>
          <w:color w:val="333333"/>
          <w:kern w:val="0"/>
          <w:sz w:val="20"/>
          <w:szCs w:val="20"/>
        </w:rPr>
        <w:t>。方案对其他分子也同样适用，并且可以灵活调节QMC的相关参数。</w:t>
      </w:r>
      <w:bookmarkStart w:id="0" w:name="_GoBack"/>
      <w:bookmarkEnd w:id="0"/>
    </w:p>
    <w:p w:rsidR="00C74F54" w:rsidRPr="00C74F54" w:rsidRDefault="00C74F54" w:rsidP="00C74F54">
      <w:pPr>
        <w:pStyle w:val="a3"/>
        <w:numPr>
          <w:ilvl w:val="0"/>
          <w:numId w:val="1"/>
        </w:numPr>
        <w:ind w:firstLineChars="0"/>
      </w:pPr>
      <w:r w:rsidRPr="00C74F54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时间规划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：</w:t>
      </w:r>
    </w:p>
    <w:tbl>
      <w:tblPr>
        <w:tblW w:w="846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4"/>
        <w:gridCol w:w="2835"/>
        <w:gridCol w:w="3828"/>
      </w:tblGrid>
      <w:tr w:rsidR="00C74F54" w:rsidTr="00BA0382">
        <w:trPr>
          <w:trHeight w:val="105"/>
        </w:trPr>
        <w:tc>
          <w:tcPr>
            <w:tcW w:w="1804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时间</w:t>
            </w:r>
          </w:p>
        </w:tc>
        <w:tc>
          <w:tcPr>
            <w:tcW w:w="2835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内容</w:t>
            </w:r>
          </w:p>
        </w:tc>
        <w:tc>
          <w:tcPr>
            <w:tcW w:w="3828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预期目标</w:t>
            </w:r>
          </w:p>
        </w:tc>
      </w:tr>
      <w:tr w:rsidR="00C74F54" w:rsidTr="00BA0382">
        <w:trPr>
          <w:trHeight w:val="141"/>
        </w:trPr>
        <w:tc>
          <w:tcPr>
            <w:tcW w:w="1804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6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1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-6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30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</w:p>
        </w:tc>
        <w:tc>
          <w:tcPr>
            <w:tcW w:w="2835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文献调研</w:t>
            </w:r>
          </w:p>
        </w:tc>
        <w:tc>
          <w:tcPr>
            <w:tcW w:w="3828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学习量子蒙特卡洛算法</w:t>
            </w:r>
          </w:p>
        </w:tc>
      </w:tr>
      <w:tr w:rsidR="00C74F54" w:rsidTr="00BA0382">
        <w:trPr>
          <w:trHeight w:val="141"/>
        </w:trPr>
        <w:tc>
          <w:tcPr>
            <w:tcW w:w="1804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7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1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-7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31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</w:p>
        </w:tc>
        <w:tc>
          <w:tcPr>
            <w:tcW w:w="2835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实现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CPU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版本量子蒙特卡洛</w:t>
            </w:r>
          </w:p>
        </w:tc>
        <w:tc>
          <w:tcPr>
            <w:tcW w:w="3828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实现量子蒙特卡洛算法</w:t>
            </w:r>
          </w:p>
        </w:tc>
      </w:tr>
      <w:tr w:rsidR="00C74F54" w:rsidTr="00BA0382">
        <w:trPr>
          <w:trHeight w:val="141"/>
        </w:trPr>
        <w:tc>
          <w:tcPr>
            <w:tcW w:w="1804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8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1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-8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31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</w:p>
        </w:tc>
        <w:tc>
          <w:tcPr>
            <w:tcW w:w="2835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实现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QMC+VQE Hybrid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算法</w:t>
            </w:r>
          </w:p>
        </w:tc>
        <w:tc>
          <w:tcPr>
            <w:tcW w:w="3828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实现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QMC+VQE Hybrid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算法</w:t>
            </w:r>
          </w:p>
        </w:tc>
      </w:tr>
      <w:tr w:rsidR="00C74F54" w:rsidTr="00BA0382">
        <w:trPr>
          <w:trHeight w:val="770"/>
        </w:trPr>
        <w:tc>
          <w:tcPr>
            <w:tcW w:w="1804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9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1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-9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月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30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日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编写项目描述文件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3828" w:type="dxa"/>
            <w:vAlign w:val="center"/>
          </w:tcPr>
          <w:p w:rsidR="00C74F54" w:rsidRPr="00BA0382" w:rsidRDefault="00C74F54" w:rsidP="00C74F54">
            <w:pPr>
              <w:pStyle w:val="Default"/>
              <w:jc w:val="center"/>
              <w:rPr>
                <w:rFonts w:ascii="MicrosoftYaHei" w:eastAsia="MicrosoftYaHei" w:cs="MicrosoftYaHei"/>
                <w:color w:val="333333"/>
                <w:sz w:val="20"/>
                <w:szCs w:val="20"/>
              </w:rPr>
            </w:pP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按照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Mindspore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社区标准编写</w:t>
            </w:r>
            <w:r w:rsidRPr="00BA0382">
              <w:rPr>
                <w:rFonts w:ascii="MicrosoftYaHei" w:eastAsia="MicrosoftYaHei" w:cs="MicrosoftYaHei"/>
                <w:color w:val="333333"/>
                <w:sz w:val="20"/>
                <w:szCs w:val="20"/>
              </w:rPr>
              <w:t>README.md</w:t>
            </w:r>
            <w:r w:rsidRPr="00BA0382">
              <w:rPr>
                <w:rFonts w:ascii="MicrosoftYaHei" w:eastAsia="MicrosoftYaHei" w:cs="MicrosoftYaHei" w:hint="eastAsia"/>
                <w:color w:val="333333"/>
                <w:sz w:val="20"/>
                <w:szCs w:val="20"/>
              </w:rPr>
              <w:t>文件，并向社区提交代码</w:t>
            </w:r>
          </w:p>
        </w:tc>
      </w:tr>
    </w:tbl>
    <w:p w:rsidR="00C74F54" w:rsidRDefault="00C74F54" w:rsidP="00C74F54">
      <w:pPr>
        <w:rPr>
          <w:rFonts w:ascii="MicrosoftYaHei-Bold" w:eastAsia="MicrosoftYaHei-Bold" w:cs="MicrosoftYaHei-Bold"/>
          <w:b/>
          <w:bCs/>
          <w:color w:val="333333"/>
          <w:kern w:val="0"/>
          <w:sz w:val="34"/>
          <w:szCs w:val="34"/>
        </w:rPr>
      </w:pPr>
    </w:p>
    <w:p w:rsidR="00C74F54" w:rsidRDefault="00C74F54" w:rsidP="00C74F54">
      <w:pPr>
        <w:rPr>
          <w:rFonts w:ascii="MicrosoftYaHei-Bold" w:eastAsia="MicrosoftYaHei-Bold" w:cs="MicrosoftYaHei-Bold"/>
          <w:b/>
          <w:bCs/>
          <w:color w:val="333333"/>
          <w:kern w:val="0"/>
          <w:sz w:val="34"/>
          <w:szCs w:val="34"/>
        </w:rPr>
      </w:pPr>
      <w:r>
        <w:rPr>
          <w:rFonts w:ascii="MicrosoftYaHei-Bold" w:eastAsia="MicrosoftYaHei-Bold" w:cs="MicrosoftYaHei-Bold" w:hint="eastAsia"/>
          <w:b/>
          <w:bCs/>
          <w:color w:val="333333"/>
          <w:kern w:val="0"/>
          <w:sz w:val="34"/>
          <w:szCs w:val="34"/>
        </w:rPr>
        <w:t>项目进度</w:t>
      </w:r>
    </w:p>
    <w:p w:rsidR="00483C3A" w:rsidRPr="00483C3A" w:rsidRDefault="00483C3A" w:rsidP="00483C3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 w:rsidRPr="00483C3A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已完成工作：</w:t>
      </w:r>
    </w:p>
    <w:p w:rsidR="00BA0382" w:rsidRDefault="00BA0382" w:rsidP="00483C3A">
      <w:pPr>
        <w:autoSpaceDE w:val="0"/>
        <w:autoSpaceDN w:val="0"/>
        <w:adjustRightInd w:val="0"/>
        <w:jc w:val="left"/>
        <w:rPr>
          <w:rFonts w:ascii="T3Font_1" w:eastAsia="T3Font_1" w:cs="T3Font_1"/>
          <w:color w:val="333333"/>
          <w:kern w:val="0"/>
          <w:sz w:val="20"/>
          <w:szCs w:val="20"/>
        </w:rPr>
      </w:pPr>
      <w:r>
        <w:rPr>
          <w:rFonts w:ascii="T3Font_1" w:eastAsia="T3Font_1" w:cs="T3Font_1" w:hint="eastAsia"/>
          <w:color w:val="333333"/>
          <w:kern w:val="0"/>
          <w:sz w:val="20"/>
          <w:szCs w:val="20"/>
        </w:rPr>
        <w:t>1</w:t>
      </w:r>
      <w:r>
        <w:rPr>
          <w:rFonts w:ascii="T3Font_1" w:eastAsia="T3Font_1" w:cs="T3Font_1"/>
          <w:color w:val="333333"/>
          <w:kern w:val="0"/>
          <w:sz w:val="20"/>
          <w:szCs w:val="20"/>
        </w:rPr>
        <w:t xml:space="preserve">. </w:t>
      </w:r>
      <w:r w:rsidR="008367BA">
        <w:rPr>
          <w:rFonts w:ascii="T3Font_1" w:eastAsia="T3Font_1" w:cs="T3Font_1" w:hint="eastAsia"/>
          <w:color w:val="333333"/>
          <w:kern w:val="0"/>
          <w:sz w:val="20"/>
          <w:szCs w:val="20"/>
        </w:rPr>
        <w:t>基于</w:t>
      </w:r>
      <w:r w:rsidR="008367BA" w:rsidRPr="00C74F54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昇思MindQuantum</w:t>
      </w:r>
      <w:r w:rsidR="00483C3A" w:rsidRPr="00483C3A">
        <w:rPr>
          <w:rFonts w:ascii="T3Font_1" w:eastAsia="T3Font_1" w:cs="T3Font_1" w:hint="eastAsia"/>
          <w:color w:val="333333"/>
          <w:kern w:val="0"/>
          <w:sz w:val="20"/>
          <w:szCs w:val="20"/>
        </w:rPr>
        <w:t>实现</w:t>
      </w:r>
      <w:r>
        <w:rPr>
          <w:rFonts w:ascii="T3Font_1" w:eastAsia="T3Font_1" w:cs="T3Font_1" w:hint="eastAsia"/>
          <w:color w:val="333333"/>
          <w:kern w:val="0"/>
          <w:sz w:val="20"/>
          <w:szCs w:val="20"/>
        </w:rPr>
        <w:t>了Quantum</w:t>
      </w:r>
      <w:r>
        <w:rPr>
          <w:rFonts w:ascii="T3Font_1" w:eastAsia="T3Font_1" w:cs="T3Font_1"/>
          <w:color w:val="333333"/>
          <w:kern w:val="0"/>
          <w:sz w:val="20"/>
          <w:szCs w:val="20"/>
        </w:rPr>
        <w:t xml:space="preserve"> Computing Quantum Monte Carlo</w:t>
      </w:r>
      <w:r w:rsidR="00483C3A" w:rsidRPr="00483C3A">
        <w:rPr>
          <w:rFonts w:ascii="T3Font_1" w:eastAsia="T3Font_1" w:cs="T3Font_1" w:hint="eastAsia"/>
          <w:color w:val="333333"/>
          <w:kern w:val="0"/>
          <w:sz w:val="20"/>
          <w:szCs w:val="20"/>
        </w:rPr>
        <w:t>量子蒙特卡洛方法</w:t>
      </w:r>
    </w:p>
    <w:p w:rsidR="00483C3A" w:rsidRDefault="00BA0382" w:rsidP="00483C3A">
      <w:pPr>
        <w:autoSpaceDE w:val="0"/>
        <w:autoSpaceDN w:val="0"/>
        <w:adjustRightInd w:val="0"/>
        <w:jc w:val="left"/>
        <w:rPr>
          <w:rFonts w:ascii="T3Font_1" w:eastAsia="T3Font_1" w:cs="T3Font_1"/>
          <w:color w:val="333333"/>
          <w:kern w:val="0"/>
          <w:sz w:val="20"/>
          <w:szCs w:val="20"/>
        </w:rPr>
      </w:pPr>
      <w:r>
        <w:rPr>
          <w:rFonts w:ascii="T3Font_1" w:eastAsia="T3Font_1" w:cs="T3Font_1"/>
          <w:color w:val="333333"/>
          <w:kern w:val="0"/>
          <w:sz w:val="20"/>
          <w:szCs w:val="20"/>
        </w:rPr>
        <w:t xml:space="preserve">2. </w:t>
      </w:r>
      <w:r w:rsidR="00483C3A" w:rsidRPr="00483C3A">
        <w:rPr>
          <w:rFonts w:ascii="T3Font_1" w:eastAsia="T3Font_1" w:cs="T3Font_1" w:hint="eastAsia"/>
          <w:color w:val="333333"/>
          <w:kern w:val="0"/>
          <w:sz w:val="20"/>
          <w:szCs w:val="20"/>
        </w:rPr>
        <w:t>求解</w:t>
      </w:r>
      <w:r>
        <w:rPr>
          <w:rFonts w:ascii="T3Font_1" w:eastAsia="T3Font_1" w:cs="T3Font_1" w:hint="eastAsia"/>
          <w:color w:val="333333"/>
          <w:kern w:val="0"/>
          <w:sz w:val="20"/>
          <w:szCs w:val="20"/>
        </w:rPr>
        <w:t>了H</w:t>
      </w:r>
      <w:r>
        <w:rPr>
          <w:rFonts w:ascii="T3Font_1" w:eastAsia="T3Font_1" w:cs="T3Font_1"/>
          <w:color w:val="333333"/>
          <w:kern w:val="0"/>
          <w:sz w:val="20"/>
          <w:szCs w:val="20"/>
        </w:rPr>
        <w:t>4</w:t>
      </w:r>
      <w:r>
        <w:rPr>
          <w:rFonts w:ascii="T3Font_1" w:eastAsia="T3Font_1" w:cs="T3Font_1" w:hint="eastAsia"/>
          <w:color w:val="333333"/>
          <w:kern w:val="0"/>
          <w:sz w:val="20"/>
          <w:szCs w:val="20"/>
        </w:rPr>
        <w:t>分子</w:t>
      </w:r>
      <w:r w:rsidR="00483C3A" w:rsidRPr="00483C3A">
        <w:rPr>
          <w:rFonts w:ascii="T3Font_1" w:eastAsia="T3Font_1" w:cs="T3Font_1" w:hint="eastAsia"/>
          <w:color w:val="333333"/>
          <w:kern w:val="0"/>
          <w:sz w:val="20"/>
          <w:szCs w:val="20"/>
        </w:rPr>
        <w:t>的基态能</w:t>
      </w:r>
      <w:r>
        <w:rPr>
          <w:rFonts w:ascii="T3Font_1" w:eastAsia="T3Font_1" w:cs="T3Font_1" w:hint="eastAsia"/>
          <w:color w:val="333333"/>
          <w:kern w:val="0"/>
          <w:sz w:val="20"/>
          <w:szCs w:val="20"/>
        </w:rPr>
        <w:t>，该基态能与分子基态能的精确值误差小于化学精度</w:t>
      </w:r>
      <w:r w:rsidR="00D41E1F">
        <w:rPr>
          <w:rFonts w:ascii="T3Font_1" w:eastAsia="T3Font_1" w:cs="T3Font_1" w:hint="eastAsia"/>
          <w:color w:val="333333"/>
          <w:kern w:val="0"/>
          <w:sz w:val="20"/>
          <w:szCs w:val="20"/>
        </w:rPr>
        <w:t>范围，改良了VQE的结果。</w:t>
      </w:r>
    </w:p>
    <w:p w:rsidR="00483C3A" w:rsidRPr="00483C3A" w:rsidRDefault="00483C3A" w:rsidP="00483C3A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 w:rsidRPr="00483C3A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遇到的问题及解决方案：</w:t>
      </w:r>
    </w:p>
    <w:p w:rsidR="00FB195C" w:rsidRDefault="00FB195C" w:rsidP="00483C3A">
      <w:pPr>
        <w:rPr>
          <w:rFonts w:ascii="T3Font_2" w:eastAsia="T3Font_2" w:cs="T3Font_2"/>
          <w:color w:val="333333"/>
          <w:kern w:val="0"/>
          <w:sz w:val="20"/>
          <w:szCs w:val="20"/>
        </w:rPr>
      </w:pPr>
      <w:r>
        <w:rPr>
          <w:rFonts w:ascii="T3Font_2" w:eastAsia="T3Font_2" w:cs="T3Font_2" w:hint="eastAsia"/>
          <w:color w:val="333333"/>
          <w:kern w:val="0"/>
          <w:sz w:val="20"/>
          <w:szCs w:val="20"/>
        </w:rPr>
        <w:t>1</w:t>
      </w:r>
      <w:r>
        <w:rPr>
          <w:rFonts w:ascii="T3Font_2" w:eastAsia="T3Font_2" w:cs="T3Font_2"/>
          <w:color w:val="333333"/>
          <w:kern w:val="0"/>
          <w:sz w:val="20"/>
          <w:szCs w:val="20"/>
        </w:rPr>
        <w:t xml:space="preserve">. </w:t>
      </w:r>
      <w:r>
        <w:rPr>
          <w:rFonts w:ascii="T3Font_2" w:eastAsia="T3Font_2" w:cs="T3Font_2" w:hint="eastAsia"/>
          <w:color w:val="333333"/>
          <w:kern w:val="0"/>
          <w:sz w:val="20"/>
          <w:szCs w:val="20"/>
        </w:rPr>
        <w:t>量子蒙特卡洛方法的具体实现路径应该如何选择</w:t>
      </w:r>
      <w:r w:rsidR="00816541">
        <w:rPr>
          <w:rFonts w:ascii="T3Font_2" w:eastAsia="T3Font_2" w:cs="T3Font_2" w:hint="eastAsia"/>
          <w:color w:val="333333"/>
          <w:kern w:val="0"/>
          <w:sz w:val="20"/>
          <w:szCs w:val="20"/>
        </w:rPr>
        <w:t>？</w:t>
      </w:r>
    </w:p>
    <w:p w:rsidR="00FB195C" w:rsidRDefault="00FB195C" w:rsidP="00E71F76">
      <w:pPr>
        <w:rPr>
          <w:rFonts w:ascii="T3Font_2" w:eastAsia="T3Font_2" w:cs="T3Font_2"/>
          <w:color w:val="333333"/>
          <w:kern w:val="0"/>
          <w:sz w:val="20"/>
          <w:szCs w:val="20"/>
        </w:rPr>
      </w:pPr>
      <w:r>
        <w:rPr>
          <w:rFonts w:ascii="T3Font_2" w:eastAsia="T3Font_2" w:cs="T3Font_2" w:hint="eastAsia"/>
          <w:color w:val="333333"/>
          <w:kern w:val="0"/>
          <w:sz w:val="20"/>
          <w:szCs w:val="20"/>
        </w:rPr>
        <w:lastRenderedPageBreak/>
        <w:t>量子蒙特卡洛方法在量子计算机上的实现途径是多样的，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有基于虚时演化的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Unbiasing fermionic quantum Monte Carlo</w:t>
      </w:r>
      <w:r w:rsidR="00E71F76">
        <w:rPr>
          <w:rFonts w:ascii="T3Font_2" w:eastAsia="T3Font_2" w:cs="T3Font_2"/>
          <w:color w:val="333333"/>
          <w:kern w:val="0"/>
          <w:sz w:val="20"/>
          <w:szCs w:val="20"/>
        </w:rPr>
        <w:t xml:space="preserve"> 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with a quantum computer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,</w:t>
      </w:r>
      <w:r w:rsidR="00E71F76">
        <w:rPr>
          <w:rFonts w:ascii="T3Font_2" w:eastAsia="T3Font_2" w:cs="T3Font_2"/>
          <w:color w:val="333333"/>
          <w:kern w:val="0"/>
          <w:sz w:val="20"/>
          <w:szCs w:val="20"/>
        </w:rPr>
        <w:t xml:space="preserve"> 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Nature 603, 416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–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420 (2022)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；有基于实时演化的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Accelerated Quantum Monte Carlo with Mitigated Error on Noisy Quantum</w:t>
      </w:r>
      <w:r w:rsidR="00E71F76">
        <w:rPr>
          <w:rFonts w:ascii="T3Font_2" w:eastAsia="T3Font_2" w:cs="T3Font_2"/>
          <w:color w:val="333333"/>
          <w:kern w:val="0"/>
          <w:sz w:val="20"/>
          <w:szCs w:val="20"/>
        </w:rPr>
        <w:t xml:space="preserve"> 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Computer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,</w:t>
      </w:r>
      <w:r w:rsidR="00E71F76">
        <w:rPr>
          <w:rFonts w:ascii="T3Font_2" w:eastAsia="T3Font_2" w:cs="T3Font_2"/>
          <w:color w:val="333333"/>
          <w:kern w:val="0"/>
          <w:sz w:val="20"/>
          <w:szCs w:val="20"/>
        </w:rPr>
        <w:t xml:space="preserve"> 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PRX QUANTUM 2, 040361 (2021)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;</w:t>
      </w:r>
      <w:r w:rsidR="00E71F76">
        <w:rPr>
          <w:rFonts w:ascii="T3Font_2" w:eastAsia="T3Font_2" w:cs="T3Font_2"/>
          <w:color w:val="333333"/>
          <w:kern w:val="0"/>
          <w:sz w:val="20"/>
          <w:szCs w:val="20"/>
        </w:rPr>
        <w:t xml:space="preserve"> 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基于FCIQMC的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Quantum Computing Quantum Monte Carlo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,</w:t>
      </w:r>
      <w:r w:rsidR="00E71F76" w:rsidRPr="00E71F76">
        <w:t xml:space="preserve"> </w:t>
      </w:r>
      <w:r w:rsidR="00E71F76" w:rsidRPr="00E71F76">
        <w:rPr>
          <w:rFonts w:ascii="T3Font_2" w:eastAsia="T3Font_2" w:cs="T3Font_2"/>
          <w:color w:val="333333"/>
          <w:kern w:val="0"/>
          <w:sz w:val="20"/>
          <w:szCs w:val="20"/>
        </w:rPr>
        <w:t>arXiv:2206.10431v1</w:t>
      </w:r>
      <w:r w:rsidR="00E71F76">
        <w:rPr>
          <w:rFonts w:ascii="T3Font_2" w:eastAsia="T3Font_2" w:cs="T3Font_2" w:hint="eastAsia"/>
          <w:color w:val="333333"/>
          <w:kern w:val="0"/>
          <w:sz w:val="20"/>
          <w:szCs w:val="20"/>
        </w:rPr>
        <w:t>等。我最终选择了最后这个基于FCIQMC的方案，</w:t>
      </w:r>
      <w:r w:rsidR="00445AA0">
        <w:rPr>
          <w:rFonts w:ascii="T3Font_2" w:eastAsia="T3Font_2" w:cs="T3Font_2" w:hint="eastAsia"/>
          <w:color w:val="333333"/>
          <w:kern w:val="0"/>
          <w:sz w:val="20"/>
          <w:szCs w:val="20"/>
        </w:rPr>
        <w:t>原因一方面</w:t>
      </w:r>
      <w:r w:rsidR="00816541">
        <w:rPr>
          <w:rFonts w:ascii="T3Font_2" w:eastAsia="T3Font_2" w:cs="T3Font_2" w:hint="eastAsia"/>
          <w:color w:val="333333"/>
          <w:kern w:val="0"/>
          <w:sz w:val="20"/>
          <w:szCs w:val="20"/>
        </w:rPr>
        <w:t>是因为这个方案比较简洁明了，易于实现，另一方面则是因为这一方案基于VQE算法，能够最大程度发挥出MindSpore和MindQuantum的优势。</w:t>
      </w:r>
    </w:p>
    <w:p w:rsidR="00816541" w:rsidRDefault="00816541" w:rsidP="00E71F76">
      <w:pPr>
        <w:rPr>
          <w:rFonts w:ascii="T3Font_2" w:eastAsia="T3Font_2" w:cs="T3Font_2"/>
          <w:color w:val="333333"/>
          <w:kern w:val="0"/>
          <w:sz w:val="20"/>
          <w:szCs w:val="20"/>
        </w:rPr>
      </w:pPr>
      <w:r>
        <w:rPr>
          <w:rFonts w:ascii="T3Font_2" w:eastAsia="T3Font_2" w:cs="T3Font_2" w:hint="eastAsia"/>
          <w:color w:val="333333"/>
          <w:kern w:val="0"/>
          <w:sz w:val="20"/>
          <w:szCs w:val="20"/>
        </w:rPr>
        <w:t>2</w:t>
      </w:r>
      <w:r>
        <w:rPr>
          <w:rFonts w:ascii="T3Font_2" w:eastAsia="T3Font_2" w:cs="T3Font_2"/>
          <w:color w:val="333333"/>
          <w:kern w:val="0"/>
          <w:sz w:val="20"/>
          <w:szCs w:val="20"/>
        </w:rPr>
        <w:t xml:space="preserve">. </w:t>
      </w:r>
      <w:r w:rsidR="00DB03C7">
        <w:rPr>
          <w:rFonts w:ascii="T3Font_2" w:eastAsia="T3Font_2" w:cs="T3Font_2" w:hint="eastAsia"/>
          <w:color w:val="333333"/>
          <w:kern w:val="0"/>
          <w:sz w:val="20"/>
          <w:szCs w:val="20"/>
        </w:rPr>
        <w:t>程序运行报错，显示invalid</w:t>
      </w:r>
      <w:r w:rsidR="00DB03C7">
        <w:rPr>
          <w:rFonts w:ascii="T3Font_2" w:eastAsia="T3Font_2" w:cs="T3Font_2"/>
          <w:color w:val="333333"/>
          <w:kern w:val="0"/>
          <w:sz w:val="20"/>
          <w:szCs w:val="20"/>
        </w:rPr>
        <w:t xml:space="preserve"> array</w:t>
      </w:r>
    </w:p>
    <w:p w:rsidR="00DB03C7" w:rsidRPr="00FB195C" w:rsidRDefault="00DB03C7" w:rsidP="00E71F76">
      <w:pPr>
        <w:rPr>
          <w:rFonts w:ascii="T3Font_2" w:eastAsia="T3Font_2" w:cs="T3Font_2"/>
          <w:color w:val="333333"/>
          <w:kern w:val="0"/>
          <w:sz w:val="20"/>
          <w:szCs w:val="20"/>
        </w:rPr>
      </w:pPr>
      <w:r>
        <w:rPr>
          <w:rFonts w:ascii="T3Font_2" w:eastAsia="T3Font_2" w:cs="T3Font_2" w:hint="eastAsia"/>
          <w:color w:val="333333"/>
          <w:kern w:val="0"/>
          <w:sz w:val="20"/>
          <w:szCs w:val="20"/>
        </w:rPr>
        <w:t>我首先通过小规模测试数据的方法，定位了报错的地点为以总体population为分母的一步除法，即找到了报错的原因是population归零，但我仍然不清楚问题的根源是什么。这时我请教了我的指导老师龙瀚林老师和较为熟悉QMC的武汉大学的谢晴兴博士，共同排查问题。在共同的努力下，我们最终发现是论文的伪代码写错了，误导了我的代码。在修复这些问题之后，我最终得到了满意的成果。</w:t>
      </w:r>
    </w:p>
    <w:sectPr w:rsidR="00DB03C7" w:rsidRPr="00FB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3Font_1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T3Font_2">
    <w:altName w:val="微软雅黑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C20548"/>
    <w:multiLevelType w:val="hybridMultilevel"/>
    <w:tmpl w:val="915AC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EC72CB"/>
    <w:multiLevelType w:val="hybridMultilevel"/>
    <w:tmpl w:val="286C0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54"/>
    <w:rsid w:val="00384F82"/>
    <w:rsid w:val="00445AA0"/>
    <w:rsid w:val="004612ED"/>
    <w:rsid w:val="00483C3A"/>
    <w:rsid w:val="005A1CF5"/>
    <w:rsid w:val="00711D5A"/>
    <w:rsid w:val="008059C4"/>
    <w:rsid w:val="00816541"/>
    <w:rsid w:val="008367BA"/>
    <w:rsid w:val="009C0C71"/>
    <w:rsid w:val="00A86805"/>
    <w:rsid w:val="00BA0382"/>
    <w:rsid w:val="00C60696"/>
    <w:rsid w:val="00C74F54"/>
    <w:rsid w:val="00D22C96"/>
    <w:rsid w:val="00D41E1F"/>
    <w:rsid w:val="00DB03C7"/>
    <w:rsid w:val="00E227C8"/>
    <w:rsid w:val="00E71F76"/>
    <w:rsid w:val="00F15AAA"/>
    <w:rsid w:val="00F17BF0"/>
    <w:rsid w:val="00FB195C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39C5"/>
  <w15:chartTrackingRefBased/>
  <w15:docId w15:val="{815AB329-7216-4F62-A2C0-3DC30A932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F54"/>
    <w:pPr>
      <w:ind w:firstLineChars="200" w:firstLine="420"/>
    </w:pPr>
  </w:style>
  <w:style w:type="paragraph" w:customStyle="1" w:styleId="Default">
    <w:name w:val="Default"/>
    <w:rsid w:val="00C74F54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6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4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7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76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1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17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17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2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Jerryhts</dc:creator>
  <cp:keywords/>
  <dc:description/>
  <cp:lastModifiedBy>Jerryhts</cp:lastModifiedBy>
  <cp:revision>15</cp:revision>
  <dcterms:created xsi:type="dcterms:W3CDTF">2022-09-28T12:27:00Z</dcterms:created>
  <dcterms:modified xsi:type="dcterms:W3CDTF">2022-09-28T14:47:00Z</dcterms:modified>
</cp:coreProperties>
</file>