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4"/>
        </w:rPr>
        <w:t>VIETNAM NATIONAL UNIVERSITY - HO CHI MINH CITY</w:t>
        <w:br/>
        <w:t>INTERNATIONAL UNIVERSITY</w:t>
        <w:br/>
      </w:r>
      <w:r>
        <w:rPr>
          <w:b/>
          <w:color w:val="475569"/>
          <w:sz w:val="20"/>
        </w:rPr>
        <w:t>SCHOOL OF COMPUTER SCIENCE AND ENGINEERING · DEPARTMENT OF DATA SCIENCE</w:t>
        <w:br/>
        <w:br/>
      </w:r>
    </w:p>
    <w:p>
      <w:pPr>
        <w:jc w:val="center"/>
      </w:pPr>
      <w:r>
        <w:rPr>
          <w:b/>
          <w:color w:val="1F3864"/>
          <w:sz w:val="32"/>
        </w:rPr>
        <w:t>LAB 1 REPORT</w:t>
        <w:br/>
        <w:t>STATISTICAL LEARNING &amp; INTRODUCTION TO PYTHON</w:t>
        <w:br/>
        <w:t>(ISLR / ISLP CHAPTER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</w:tcPr>
          <w:p>
            <w:r>
              <w:rPr>
                <w:b/>
                <w:color w:val="1F3864"/>
              </w:rPr>
              <w:t>Full Name:</w:t>
            </w:r>
          </w:p>
        </w:tc>
        <w:tc>
          <w:tcPr>
            <w:tcW w:type="dxa" w:w="6480"/>
          </w:tcPr>
          <w:p>
            <w:r>
              <w:t>Mai Dong Huy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F3864"/>
              </w:rPr>
              <w:t>Student ID:</w:t>
            </w:r>
          </w:p>
        </w:tc>
        <w:tc>
          <w:tcPr>
            <w:tcW w:type="dxa" w:w="6480"/>
          </w:tcPr>
          <w:p>
            <w:r>
              <w:t>ITDSIU24019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F3864"/>
              </w:rPr>
              <w:t>Course / Group:</w:t>
            </w:r>
          </w:p>
        </w:tc>
        <w:tc>
          <w:tcPr>
            <w:tcW w:type="dxa" w:w="6480"/>
          </w:tcPr>
          <w:p>
            <w:r>
              <w:t>IT171IU – Statistical Learning (Lab Group 1)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F3864"/>
              </w:rPr>
              <w:t>Instructor / Semester:</w:t>
            </w:r>
          </w:p>
        </w:tc>
        <w:tc>
          <w:tcPr>
            <w:tcW w:type="dxa" w:w="6480"/>
          </w:tcPr>
          <w:p>
            <w:r>
              <w:t>Semester 1, Academic Year 2026</w:t>
            </w:r>
          </w:p>
        </w:tc>
      </w:tr>
    </w:tbl>
    <w:p>
      <w:pPr>
        <w:spacing w:before="160" w:after="24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1F3864"/>
          <w:sz w:val="26"/>
        </w:rPr>
        <w:t>Task 0 – Environment Setup and Verification</w:t>
      </w:r>
    </w:p>
    <w:p>
      <w:r>
        <w:t>The statistical learning Python environment was successfully set up and verified across both desktop IDE (Windows 11, Python 3.13) and Google Colab cloud environment.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Python version : 3.13.14</w:t>
        <w:br/>
        <w:t>Executable     : C:\Users\HUY\AppData\Local\Microsoft\WindowsApps\PythonSoftwareFoundation.Python.3.13_qbz5n2kfra8p0\python.exe</w:t>
        <w:br/>
        <w:t>Operating sys. : Windows 11</w:t>
        <w:br/>
        <w:t>numpy          2.3.0</w:t>
        <w:br/>
        <w:t>pandas         2.3.0</w:t>
        <w:br/>
        <w:t>matplotlib     3.10.6</w:t>
        <w:br/>
        <w:t>sklearn        1.8.0</w:t>
        <w:br/>
        <w:t>statsmodels    0.15.0</w:t>
        <w:br/>
        <w:t>ISLP           0.4.1</w:t>
        <w:br/>
        <w:br/>
        <w:t>Check Message  : Hello, Mai Dong Huy! My statistical-learning environment works.</w:t>
      </w:r>
    </w:p>
    <w:p>
      <w:r>
        <w:drawing>
          <wp:inline xmlns:a="http://schemas.openxmlformats.org/drawingml/2006/main" xmlns:pic="http://schemas.openxmlformats.org/drawingml/2006/picture">
            <wp:extent cx="5029200" cy="1984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0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F3864"/>
          <w:sz w:val="26"/>
        </w:rPr>
        <w:t>Exercise 1 – NumPy Warm-up</w:t>
      </w:r>
    </w:p>
    <w:p>
      <w:r>
        <w:t>Vector v = (2, 4, ..., 40) reshaped to 4x5 matrix M: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M.shape: (4, 5) | M.ndim: 2 | M.dtype: int64</w:t>
        <w:br/>
        <w:t>Row means: [ 6. 16. 26. 36.]</w:t>
        <w:br/>
        <w:t>Column std: [11.18, 11.18, 11.18, 11.18, 11.18]</w:t>
        <w:br/>
        <w:t>View mutation test: B = M[:2, :2]; B[0, 0] = -1 -&gt; M[0, 0] changed to -1 (True)</w:t>
        <w:br/>
        <w:t>Copy mutation test: B_copy = M[:2, :2].copy(); B_copy[0, 0] = -1 -&gt; M[0, 0] remained 2 (False)</w:t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Slicing a NumPy array produces a view sharing memory with the parent array, causing modifications to B to alter M directly. In contrast, .copy() allocates distinct memory so mutations stay isolated.</w:t>
      </w:r>
    </w:p>
    <w:p>
      <w:pPr>
        <w:spacing w:before="280" w:after="80"/>
      </w:pPr>
      <w:r>
        <w:rPr>
          <w:b/>
          <w:color w:val="1F3864"/>
          <w:sz w:val="26"/>
        </w:rPr>
        <w:t>Exercise 2 – Random Numbers, Correlation &amp; Saved Figure</w:t>
      </w:r>
    </w:p>
    <w:p>
      <w:r>
        <w:t>Simulated n = 100 observations: x ~ N(0, 1), eps ~ N(0, 0.5^2), y = 2 + 3x + eps.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Empirical correlation between x and y: 0.9820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The sample correlation (~0.9820) confirms an exceptionally strong linear relationship with minimal residual noise. The fixed random seed (2026) ensures strict reproducibility; removing the seed produces fresh pseudo-random numbers upon each execution.</w:t>
      </w:r>
    </w:p>
    <w:p>
      <w:pPr>
        <w:spacing w:before="280" w:after="80"/>
      </w:pPr>
      <w:r>
        <w:rPr>
          <w:b/>
          <w:color w:val="1F3864"/>
          <w:sz w:val="26"/>
        </w:rPr>
        <w:t>Exercise 3 – Cleaning the Auto Data</w:t>
      </w:r>
    </w:p>
    <w:p>
      <w:r>
        <w:t>Loaded Auto.data with whitespace delimiter and '?' recognized as NaN.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Original shape: (397, 9) | Missing value rows: 5 | Cleaned shape: (392, 9)</w:t>
        <w:br/>
        <w:t>Qualitative variables: origin (mapped to America, Europe, Japan), name</w:t>
        <w:br/>
        <w:t>Quantitative variables: mpg, cylinders, displacement, horsepower, weight, acceleration, year</w:t>
        <w:br/>
        <w:br/>
        <w:t>Quantitative Summary Table:</w:t>
        <w:br/>
        <w:t xml:space="preserve">              range         mean          std</w:t>
        <w:br/>
        <w:t>mpg            37.6    23.445918     7.805007</w:t>
        <w:br/>
        <w:t>cylinders       5.0     5.471939     1.705783</w:t>
        <w:br/>
        <w:t>displacement  387.0   194.411990   104.644004</w:t>
        <w:br/>
        <w:t>horsepower    184.0   104.469388    38.491160</w:t>
        <w:br/>
        <w:t>weight       3527.0  2977.584184   849.402560</w:t>
        <w:br/>
        <w:t>acceleration   16.8    15.541327     2.758864</w:t>
        <w:br/>
        <w:t>year           12.0    75.979592     3.683737</w:t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Exactly 5 observations contained missing horsepower records and were eliminated via dropna(). The remaining 392 observations show large differences in dispersion: weight and displacement have standard deviations of 849.4 and 104.6, whereas acceleration is much more tightly clustered.</w:t>
      </w:r>
    </w:p>
    <w:p>
      <w:pPr>
        <w:spacing w:before="280" w:after="80"/>
      </w:pPr>
      <w:r>
        <w:rPr>
          <w:b/>
          <w:color w:val="1F3864"/>
          <w:sz w:val="26"/>
        </w:rPr>
        <w:t>Exercise 4 – Subsetting Rows with iloc[]</w:t>
      </w:r>
    </w:p>
    <w:p>
      <w:r>
        <w:t>Removed observations 10 through 85 (1-based indices 9 to 84), retaining 316 rows: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Subset statistics comparison:</w:t>
        <w:br/>
        <w:t xml:space="preserve">              Full Mean     Sub Mean     Delta Mean    Full SD     Sub SD    Delta SD</w:t>
        <w:br/>
        <w:t>mpg            23.4459      24.4044        +0.9585     7.8050     7.8673     +0.0623</w:t>
        <w:br/>
        <w:t>cylinders       5.4719       5.3734        -0.0985     1.7058     1.6542     -0.0516</w:t>
        <w:br/>
        <w:t>displacement  194.4120     187.2405        -7.1715   104.6440    99.6784     -4.9656</w:t>
        <w:br/>
        <w:t>horsepower    104.4694     100.7215        -3.7479    38.4912    35.7089     -2.7823</w:t>
        <w:br/>
        <w:t>weight       2977.5842    2935.9715       -41.6127   849.4026   811.3002    -38.1024</w:t>
        <w:br/>
        <w:t>acceleration   15.5413      15.7269        +0.1856     2.7589     2.6937     -0.0651</w:t>
        <w:br/>
        <w:t>year           75.9796      77.1456        +1.1660     3.6837     3.1062     -0.5775</w:t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Weight and displacement experienced the largest drops (-41.61 lbs and -7.17 cu.in. in mean), while average MPG increased by +0.96. The removed rows were clustered in early-1970s heavy American automobiles; their removal systematically shifts the sample towards lighter, more fuel-efficient cars.</w:t>
      </w:r>
    </w:p>
    <w:p>
      <w:pPr>
        <w:spacing w:before="280" w:after="80"/>
      </w:pPr>
      <w:r>
        <w:rPr>
          <w:b/>
          <w:color w:val="1F3864"/>
          <w:sz w:val="26"/>
        </w:rPr>
        <w:t>Exercise 5 – Graphical Exploration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scatter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left="288"/>
      </w:pPr>
      <w:r>
        <w:rPr>
          <w:b/>
          <w:color w:val="1F3864"/>
        </w:rPr>
        <w:t xml:space="preserve">Key Findings: </w:t>
      </w:r>
      <w:r>
        <w:rPr>
          <w:i/>
          <w:color w:val="1E293B"/>
        </w:rPr>
        <w:t>1. Non-linear relationship: Weight, displacement, and horsepower exhibit distinct convex non-linear negative relationships with mpg (diminishing fuel economy degradation for very heavy vehicles).</w:t>
        <w:br/>
        <w:t>2. Cylinders effect: 4-cylinder vehicles achieve significantly higher median MPG than 6- and 8-cylinder vehicles.</w:t>
        <w:br/>
        <w:t>3. Origin disparity: European and Japanese vehicles deliver noticeably higher fuel economy than American vehicles.</w:t>
      </w:r>
    </w:p>
    <w:p>
      <w:pPr>
        <w:spacing w:before="280" w:after="80"/>
      </w:pPr>
      <w:r>
        <w:rPr>
          <w:b/>
          <w:color w:val="1F3864"/>
          <w:sz w:val="26"/>
        </w:rPr>
        <w:t>Exercise 6 – The College Dataset</w:t>
      </w:r>
    </w:p>
    <w:p>
      <w:r>
        <w:t>Exploration of 777 US Colleges from ISLP: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Total colleges: 777</w:t>
        <w:br/>
        <w:t>Private colleges: 565 (Yes) vs 212 (No)</w:t>
        <w:br/>
        <w:t>Elite colleges (Top10perc &gt; 50): 78 (Yes) vs 699 (No)</w:t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box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5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histog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Private and elite universities charge substantially higher out-of-state tuition than public and non-elite schools. Application (Apps) and acceptance (Accept) volumes show severe right-skewness, whereas tuition and graduation rates display approximately symmetric distributions.</w:t>
      </w:r>
    </w:p>
    <w:p>
      <w:pPr>
        <w:spacing w:before="280" w:after="80"/>
      </w:pPr>
      <w:r>
        <w:rPr>
          <w:b/>
          <w:color w:val="1F3864"/>
          <w:sz w:val="26"/>
        </w:rPr>
        <w:t>Exercise 7 – Loops and String Formatting</w:t>
      </w:r>
    </w:p>
    <w:p>
      <w:r>
        <w:t>Formatted loop iterating over quantitative columns: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mpg          mean =  23.45  sd =   7.81  above-mean share = 47.4%</w:t>
        <w:br/>
        <w:t>cylinders    mean =   5.47  sd =   1.71  above-mean share = 47.4%</w:t>
        <w:br/>
        <w:t>displacement mean = 194.41  sd = 104.64  above-mean share = 43.4%</w:t>
        <w:br/>
        <w:t>horsepower   mean = 104.47  sd =  38.49  above-mean share = 37.8%</w:t>
        <w:br/>
        <w:t>weight       mean = 2977.58  sd = 849.40  above-mean share = 43.4%</w:t>
        <w:br/>
        <w:t>acceleration mean =  15.54  sd =   2.76  above-mean share = 45.7%</w:t>
        <w:br/>
        <w:t>year         mean =  75.98  sd =   3.68  above-mean share = 54.1%</w:t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Due to positive skewness in horsepower and displacement, relatively few vehicles with extreme engine sizes pull the mean upwards, resulting in less than 45% of cars exceeding the mean. In contrast, year exhibits 54.1% above-mean share.</w:t>
      </w:r>
    </w:p>
    <w:p>
      <w:pPr>
        <w:spacing w:before="280" w:after="80"/>
      </w:pPr>
      <w:r>
        <w:rPr>
          <w:b/>
          <w:color w:val="1F3864"/>
          <w:sz w:val="26"/>
        </w:rPr>
        <w:t>Exercise 8 – Estimating Bias &amp; Variance by Simulation (Challenge)</w:t>
      </w:r>
    </w:p>
    <w:p>
      <w:r>
        <w:t>Simulation at x0 = 1.0 with n_train = 60 over 200 replications: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d =  1:  Bias^2 = 1.15608,  Variance = 0.01215,  Total MSE = 1.16823</w:t>
        <w:br/>
        <w:t>d =  3:  Bias^2 = 0.45406,  Variance = 0.02900,  Total MSE = 0.48306</w:t>
        <w:br/>
        <w:t>d =  5:  Bias^2 = 0.00817,  Variance = 0.01492,  Total MSE = 0.02310</w:t>
        <w:br/>
        <w:t>d = 10:  Bias^2 = 0.00016,  Variance = 0.02500,  Total MSE = 0.02517</w:t>
        <w:br/>
        <w:t>d = 15:  Bias^2 = 0.00000,  Variance = 0.04477,  Total MSE = 0.04477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8_bias_vari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The empirical curves precisely corroborate statistical learning theory: as polynomial degree d increases, Bias^2 vanishes while model variance increases at high degrees due to noise overfitting. The total error curve forms a distinctive U-shape with the optimal trade-off achieved around degree d = 5.</w:t>
      </w:r>
    </w:p>
    <w:p>
      <w:pPr>
        <w:spacing w:before="280" w:after="80"/>
      </w:pPr>
      <w:r>
        <w:rPr>
          <w:b/>
          <w:color w:val="1F3864"/>
          <w:sz w:val="26"/>
        </w:rPr>
        <w:t>Exercise 9 – Choosing K for KNN (Challenge)</w:t>
      </w:r>
    </w:p>
    <w:p>
      <w:r>
        <w:t>Evaluating KNN classification test error over K = 1, 2, ..., 100:</w:t>
      </w:r>
    </w:p>
    <w:p>
      <w:pPr>
        <w:spacing w:before="40" w:after="80"/>
        <w:ind w:left="288"/>
      </w:pPr>
      <w:r>
        <w:rPr>
          <w:rFonts w:ascii="Consolas" w:hAnsi="Consolas"/>
          <w:color w:val="1E293B"/>
          <w:sz w:val="18"/>
        </w:rPr>
        <w:t>Optimal K: 90  (Minimum test error rate = 0.1260)</w:t>
        <w:br/>
        <w:t>At K = 1  : Training error = 0.0000,  Test error = 0.2070</w:t>
        <w:br/>
        <w:t>At K = 90 : Training error = 0.1525,  Test error = 0.1260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9_knn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left="288"/>
      </w:pPr>
      <w:r>
        <w:rPr>
          <w:b/>
          <w:color w:val="1F3864"/>
        </w:rPr>
        <w:t xml:space="preserve">Interpretation: </w:t>
      </w:r>
      <w:r>
        <w:rPr>
          <w:i/>
          <w:color w:val="1E293B"/>
        </w:rPr>
        <w:t>At K = 1 (highest flexibility, 1/K = 1), training error is 0 but test error is high (0.2070) due to overfitting sample noise. Increasing K smooths the decision boundary, reducing test error to its minimum near K = 90 (0.1260). This faithfully reproduces Figure 2.17 in ISLR.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