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F3864"/>
            <w:tcMar>
              <w:top w:w="180" w:type="dxa"/>
              <w:bottom w:w="180" w:type="dxa"/>
              <w:left w:w="220" w:type="dxa"/>
              <w:right w:w="220" w:type="dxa"/>
            </w:tcMar>
          </w:tcPr>
          <w:p>
            <w:pPr>
              <w:spacing w:after="40"/>
              <w:jc w:val="left"/>
            </w:pPr>
            <w:r>
              <w:rPr>
                <w:b/>
                <w:color w:val="D9E1F2"/>
                <w:sz w:val="19"/>
              </w:rPr>
              <w:t>INTERNATIONAL UNIVERSITY – VNU-HCM · SCHOOL OF COMPUTER SCIENCE AND ENGINEERING</w:t>
              <w:br/>
              <w:t>IT171IU · STATISTICAL LEARNING</w:t>
            </w:r>
          </w:p>
          <w:p>
            <w:pPr>
              <w:spacing w:before="120" w:after="80"/>
              <w:jc w:val="left"/>
            </w:pPr>
            <w:r>
              <w:rPr>
                <w:b/>
                <w:color w:val="FFFFFF"/>
                <w:sz w:val="32"/>
              </w:rPr>
              <w:t>LAB 3 REPORT: CLASSIFICATION</w:t>
            </w:r>
          </w:p>
          <w:p>
            <w:pPr>
              <w:spacing w:after="0"/>
            </w:pPr>
            <w:r>
              <w:rPr>
                <w:i/>
                <w:color w:val="E0E0E0"/>
                <w:sz w:val="19"/>
              </w:rPr>
              <w:t>Logistic Regression, Linear and Quadratic Discriminant Analysis, Naive Bayes, KNN, ROC Curves, and Poisson Regression</w:t>
              <w:br/>
              <w:t>Course Reference: An Introduction to Statistical Learning with Applications in Python (ISLP Chapter 4)</w:t>
            </w:r>
          </w:p>
        </w:tc>
      </w:tr>
    </w:tbl>
    <w:p>
      <w:pPr>
        <w:spacing w:after="80"/>
      </w:pPr>
    </w:p>
    <w:tbl>
      <w:tblPr>
        <w:tblW w:type="auto" w:w="0"/>
        <w:jc w:val="center"/>
        <w:tblLook w:firstColumn="1" w:firstRow="1" w:lastColumn="0" w:lastRow="0" w:noHBand="0" w:noVBand="1" w:val="04A0"/>
      </w:tblPr>
      <w:tblGrid>
        <w:gridCol w:w="3168"/>
        <w:gridCol w:w="6192"/>
      </w:tblGrid>
      <w:tr>
        <w:trPr>
          <w:cantSplit/>
        </w:trPr>
        <w:tc>
          <w:tcPr>
            <w:tcW w:type="dxa" w:w="4680"/>
            <w:tcMar>
              <w:top w:w="60" w:type="dxa"/>
              <w:bottom w:w="60" w:type="dxa"/>
              <w:left w:w="100" w:type="dxa"/>
              <w:right w:w="100" w:type="dxa"/>
            </w:tcMar>
            <w:shd w:fill="F2F4F8"/>
          </w:tcPr>
          <w:p>
            <w:r>
              <w:rPr>
                <w:b/>
                <w:sz w:val="19"/>
              </w:rPr>
              <w:t>Student Full Name:</w:t>
            </w:r>
          </w:p>
        </w:tc>
        <w:tc>
          <w:tcPr>
            <w:tcW w:type="dxa" w:w="4680"/>
            <w:tcMar>
              <w:top w:w="60" w:type="dxa"/>
              <w:bottom w:w="60" w:type="dxa"/>
              <w:left w:w="100" w:type="dxa"/>
              <w:right w:w="100" w:type="dxa"/>
            </w:tcMar>
            <w:shd w:fill="F2F4F8"/>
          </w:tcPr>
          <w:p>
            <w:r>
              <w:rPr>
                <w:b/>
                <w:sz w:val="19"/>
              </w:rPr>
              <w:t>Mai Dong Huy</w:t>
            </w:r>
          </w:p>
        </w:tc>
      </w:tr>
      <w:tr>
        <w:trPr>
          <w:cantSplit/>
        </w:trPr>
        <w:tc>
          <w:tcPr>
            <w:tcW w:type="dxa" w:w="4680"/>
            <w:tcMar>
              <w:top w:w="60" w:type="dxa"/>
              <w:bottom w:w="60" w:type="dxa"/>
              <w:left w:w="100" w:type="dxa"/>
              <w:right w:w="100" w:type="dxa"/>
            </w:tcMar>
            <w:shd w:fill="FFFFFF"/>
          </w:tcPr>
          <w:p>
            <w:r>
              <w:rPr>
                <w:b/>
                <w:sz w:val="19"/>
              </w:rPr>
              <w:t>Student ID:</w:t>
            </w:r>
          </w:p>
        </w:tc>
        <w:tc>
          <w:tcPr>
            <w:tcW w:type="dxa" w:w="4680"/>
            <w:tcMar>
              <w:top w:w="60" w:type="dxa"/>
              <w:bottom w:w="60" w:type="dxa"/>
              <w:left w:w="100" w:type="dxa"/>
              <w:right w:w="100" w:type="dxa"/>
            </w:tcMar>
            <w:shd w:fill="FFFFFF"/>
          </w:tcPr>
          <w:p>
            <w:r>
              <w:rPr>
                <w:b/>
                <w:sz w:val="19"/>
              </w:rPr>
              <w:t>ITDSIU24019</w:t>
            </w:r>
          </w:p>
        </w:tc>
      </w:tr>
      <w:tr>
        <w:trPr>
          <w:cantSplit/>
        </w:trPr>
        <w:tc>
          <w:tcPr>
            <w:tcW w:type="dxa" w:w="4680"/>
            <w:tcMar>
              <w:top w:w="60" w:type="dxa"/>
              <w:bottom w:w="60" w:type="dxa"/>
              <w:left w:w="100" w:type="dxa"/>
              <w:right w:w="100" w:type="dxa"/>
            </w:tcMar>
            <w:shd w:fill="F2F4F8"/>
          </w:tcPr>
          <w:p>
            <w:r>
              <w:rPr>
                <w:b/>
                <w:sz w:val="19"/>
              </w:rPr>
              <w:t>Class / Lab Group:</w:t>
            </w:r>
          </w:p>
        </w:tc>
        <w:tc>
          <w:tcPr>
            <w:tcW w:type="dxa" w:w="4680"/>
            <w:tcMar>
              <w:top w:w="60" w:type="dxa"/>
              <w:bottom w:w="60" w:type="dxa"/>
              <w:left w:w="100" w:type="dxa"/>
              <w:right w:w="100" w:type="dxa"/>
            </w:tcMar>
            <w:shd w:fill="F2F4F8"/>
          </w:tcPr>
          <w:p>
            <w:r>
              <w:rPr>
                <w:b w:val="0"/>
                <w:sz w:val="19"/>
              </w:rPr>
              <w:t>IT171IU – Lab Group 01</w:t>
            </w:r>
          </w:p>
        </w:tc>
      </w:tr>
      <w:tr>
        <w:trPr>
          <w:cantSplit/>
        </w:trPr>
        <w:tc>
          <w:tcPr>
            <w:tcW w:type="dxa" w:w="4680"/>
            <w:tcMar>
              <w:top w:w="60" w:type="dxa"/>
              <w:bottom w:w="60" w:type="dxa"/>
              <w:left w:w="100" w:type="dxa"/>
              <w:right w:w="100" w:type="dxa"/>
            </w:tcMar>
            <w:shd w:fill="FFFFFF"/>
          </w:tcPr>
          <w:p>
            <w:r>
              <w:rPr>
                <w:b/>
                <w:sz w:val="19"/>
              </w:rPr>
              <w:t>Course Instructor:</w:t>
            </w:r>
          </w:p>
        </w:tc>
        <w:tc>
          <w:tcPr>
            <w:tcW w:type="dxa" w:w="4680"/>
            <w:tcMar>
              <w:top w:w="60" w:type="dxa"/>
              <w:bottom w:w="60" w:type="dxa"/>
              <w:left w:w="100" w:type="dxa"/>
              <w:right w:w="100" w:type="dxa"/>
            </w:tcMar>
            <w:shd w:fill="FFFFFF"/>
          </w:tcPr>
          <w:p>
            <w:r>
              <w:rPr>
                <w:b w:val="0"/>
                <w:sz w:val="19"/>
              </w:rPr>
              <w:t>M.Sc. Son Nguyen (Nguyen Van Son)</w:t>
            </w:r>
          </w:p>
        </w:tc>
      </w:tr>
    </w:tbl>
    <w:p>
      <w:pPr>
        <w:pStyle w:val="Heading1"/>
        <w:keepNext/>
        <w:spacing w:before="320" w:after="120"/>
      </w:pPr>
      <w:r>
        <w:t>1. Executive Summary &amp; Theoretical Methodology</w:t>
      </w:r>
    </w:p>
    <w:p>
      <w:r>
        <w:rPr>
          <w:color w:val="262626"/>
        </w:rPr>
        <w:t xml:space="preserve">This report documents the empirical findings, statistical inferences, and mathematical validations carried out in </w:t>
      </w:r>
      <w:r>
        <w:rPr>
          <w:b/>
        </w:rPr>
        <w:t>Lab 3: Classification (ISLP Chapter 4)</w:t>
      </w:r>
      <w:r>
        <w:t>. The primary methodological paradigms explored include:</w:t>
      </w:r>
    </w:p>
    <w:p>
      <w:pPr>
        <w:pStyle w:val="ListBullet"/>
      </w:pPr>
      <w:r>
        <w:rPr>
          <w:b/>
          <w:sz w:val="20"/>
        </w:rPr>
        <w:t xml:space="preserve">Generalized Linear Models (GLMs) &amp; Logistic Regression: </w:t>
      </w:r>
      <w:r>
        <w:rPr>
          <w:sz w:val="20"/>
        </w:rPr>
        <w:t>Modeling posterior probabilities P(Y = 1 | X) through the logit link function ln[p / (1 - p)] = Xβ. Examining odds ratios exp(β), Wald z-tests, and uncovering confounding effects (Simpson's paradox) in the Default dataset.</w:t>
      </w:r>
    </w:p>
    <w:p>
      <w:pPr>
        <w:pStyle w:val="ListBullet"/>
      </w:pPr>
      <w:r>
        <w:rPr>
          <w:b/>
          <w:sz w:val="20"/>
        </w:rPr>
        <w:t xml:space="preserve">Linear &amp; Quadratic Discriminant Analysis (LDA &amp; QDA): </w:t>
      </w:r>
      <w:r>
        <w:rPr>
          <w:sz w:val="20"/>
        </w:rPr>
        <w:t>Applying Bayes' theorem P(Y = k | X) ∝ π_k f_k(X) under multivariate Gaussian assumptions. LDA assumes a shared covariance matrix Σ across classes (linear decision boundaries), whereas QDA allows class-specific covariances Σ_k (quadratic decision boundaries for complex non-linear separations).</w:t>
      </w:r>
    </w:p>
    <w:p>
      <w:pPr>
        <w:pStyle w:val="ListBullet"/>
      </w:pPr>
      <w:r>
        <w:rPr>
          <w:b/>
          <w:sz w:val="20"/>
        </w:rPr>
        <w:t xml:space="preserve">Gaussian Naive Bayes: </w:t>
      </w:r>
      <w:r>
        <w:rPr>
          <w:sz w:val="20"/>
        </w:rPr>
        <w:t>Assuming class-conditional feature independence. Highly effective in high-dimensional feature spaces where covariance estimation is prone to singularity or overfitting.</w:t>
      </w:r>
    </w:p>
    <w:p>
      <w:pPr>
        <w:pStyle w:val="ListBullet"/>
      </w:pPr>
      <w:r>
        <w:rPr>
          <w:b/>
          <w:sz w:val="20"/>
        </w:rPr>
        <w:t xml:space="preserve">Non-parametric K-Nearest Neighbors (KNN): </w:t>
      </w:r>
      <w:r>
        <w:rPr>
          <w:sz w:val="20"/>
        </w:rPr>
        <w:t>Making majority-vote decisions based on local Euclidean metric distances. Demonstrating the critical necessity of feature standardization (StandardScaler) and the bias-variance trade-off across varying K values.</w:t>
      </w:r>
    </w:p>
    <w:p>
      <w:pPr>
        <w:pStyle w:val="ListBullet"/>
      </w:pPr>
      <w:r>
        <w:rPr>
          <w:b/>
          <w:sz w:val="20"/>
        </w:rPr>
        <w:t xml:space="preserve">Cost-Sensitive Decision Making &amp; ROC Analysis: </w:t>
      </w:r>
      <w:r>
        <w:rPr>
          <w:sz w:val="20"/>
        </w:rPr>
        <w:t>Evaluating classification performance beyond raw accuracy via Confusion Matrices (ISLP orientation: Rows = Predicted, Cols = True), Sensitivity (Recall), Specificity, and Precision. Demonstrating probability threshold tuning in clinical cancer diagnosis to ensure Sensitivity ≥ 98%, complemented by ROC curves and Area Under the Curve (AUC).</w:t>
      </w:r>
    </w:p>
    <w:p>
      <w:pPr>
        <w:pStyle w:val="ListBullet"/>
      </w:pPr>
      <w:r>
        <w:rPr>
          <w:b/>
          <w:sz w:val="20"/>
        </w:rPr>
        <w:t xml:space="preserve">Poisson Regression for Count Data: </w:t>
      </w:r>
      <w:r>
        <w:rPr>
          <w:sz w:val="20"/>
        </w:rPr>
        <w:t>Overcoming the severe defects of OLS on non-negative counts (preventing impossible negative fitted values and modeling variance proportional to mean: Var(Y) = λ). Interpreting multiplicative factors exp(β).</w:t>
      </w:r>
    </w:p>
    <w:p>
      <w:pPr>
        <w:pStyle w:val="ListBullet"/>
      </w:pPr>
      <w:r>
        <w:rPr>
          <w:b/>
          <w:sz w:val="20"/>
        </w:rPr>
        <w:t xml:space="preserve">Analytical Derivation &amp; Exact Mathematical Verification: </w:t>
      </w:r>
      <w:r>
        <w:rPr>
          <w:sz w:val="20"/>
        </w:rPr>
        <w:t>Implementing LDA algebraically from textbook equations and proving 100% equivalence with scikit-learn despite sample variance denominator differences (MLE 1/n vs unbiased 1/(n-K)).</w:t>
      </w:r>
    </w:p>
    <w:p>
      <w:pPr>
        <w:pStyle w:val="Heading1"/>
        <w:keepNext/>
        <w:spacing w:before="280" w:after="120"/>
      </w:pPr>
      <w:r>
        <w:t>2. Exercise 1 – S&amp;P 500 Stock Market Analysis (Weekly Data)</w:t>
      </w:r>
    </w:p>
    <w:p>
      <w:r>
        <w:rPr>
          <w:sz w:val="20"/>
        </w:rPr>
        <w:t xml:space="preserve">The </w:t>
      </w:r>
      <w:r>
        <w:rPr>
          <w:b/>
        </w:rPr>
        <w:t>Weekly</w:t>
      </w:r>
      <w:r>
        <w:t xml:space="preserve"> dataset consists of 1,089 weekly observations of the S&amp;P 500 index from 1990 to 2010. The goal is to explore market trends, fit a logistic regression model for market direction (Direction: Up/Down), and examine the nature of prediction errors.</w:t>
      </w:r>
    </w:p>
    <w:p>
      <w:pPr>
        <w:pStyle w:val="Heading2"/>
      </w:pPr>
      <w:r>
        <w:t>(a) Numerical Summaries &amp; Correlation Patterns</w:t>
      </w:r>
    </w:p>
    <w:p>
      <w:r>
        <w:rPr>
          <w:b/>
        </w:rPr>
        <w:t xml:space="preserve">• Correlation Analysis: </w:t>
      </w:r>
      <w:r>
        <w:t>Pairwise correlations between consecutive weekly returns (Lag1 through Lag5) and the current week's return (Today) are all near zero (|r| &lt; 0.08), supporting the weak-form Efficient Market Hypothesis (past returns cannot easily predict future returns). In contrast, Volume and Year exhibit a strong positive correlation (r = 0.8419), reflecting the steady exponential expansion in market liquidity over the two decades.</w:t>
      </w:r>
    </w:p>
    <w:p>
      <w:pPr>
        <w:spacing w:before="80"/>
      </w:pPr>
    </w:p>
    <w:p>
      <w:pPr>
        <w:jc w:val="center"/>
      </w:pPr>
      <w:r>
        <w:drawing>
          <wp:inline xmlns:a="http://schemas.openxmlformats.org/drawingml/2006/main" xmlns:pic="http://schemas.openxmlformats.org/drawingml/2006/picture">
            <wp:extent cx="5303520" cy="2752459"/>
            <wp:docPr id="1" name="Picture 1"/>
            <wp:cNvGraphicFramePr>
              <a:graphicFrameLocks noChangeAspect="1"/>
            </wp:cNvGraphicFramePr>
            <a:graphic>
              <a:graphicData uri="http://schemas.openxmlformats.org/drawingml/2006/picture">
                <pic:pic>
                  <pic:nvPicPr>
                    <pic:cNvPr id="0" name="fig_ex1_volume_time_series.png"/>
                    <pic:cNvPicPr/>
                  </pic:nvPicPr>
                  <pic:blipFill>
                    <a:blip r:embed="rId9"/>
                    <a:stretch>
                      <a:fillRect/>
                    </a:stretch>
                  </pic:blipFill>
                  <pic:spPr>
                    <a:xfrm>
                      <a:off x="0" y="0"/>
                      <a:ext cx="5303520" cy="2752459"/>
                    </a:xfrm>
                    <a:prstGeom prst="rect"/>
                  </pic:spPr>
                </pic:pic>
              </a:graphicData>
            </a:graphic>
          </wp:inline>
        </w:drawing>
      </w:r>
    </w:p>
    <w:p>
      <w:pPr>
        <w:spacing w:after="160"/>
        <w:jc w:val="center"/>
      </w:pPr>
      <w:r>
        <w:rPr>
          <w:i/>
          <w:sz w:val="18"/>
        </w:rPr>
        <w:t>Figure 1.1: S&amp;P 500 Weekly Trading Volume over Time with 52-Week Moving Average.</w:t>
      </w:r>
    </w:p>
    <w:p>
      <w:pPr>
        <w:pStyle w:val="Heading2"/>
      </w:pPr>
      <w:r>
        <w:t>(b) Logistic Regression on the Full Dataset</w:t>
      </w:r>
    </w:p>
    <w:p>
      <w:r>
        <w:t>Fitting a logistic regression model with Direction (Up = 1) as response and Lag1 through Lag5 plus Volume as predictors: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shd w:fill="1F3864"/>
            <w:tcMar>
              <w:top w:w="80" w:type="dxa"/>
              <w:bottom w:w="80" w:type="dxa"/>
              <w:left w:w="80" w:type="dxa"/>
              <w:right w:w="80" w:type="dxa"/>
            </w:tcMar>
          </w:tcPr>
          <w:p>
            <w:r>
              <w:rPr>
                <w:b/>
                <w:color w:val="FFFFFF"/>
                <w:sz w:val="18"/>
              </w:rPr>
              <w:t>Predictor</w:t>
            </w:r>
          </w:p>
        </w:tc>
        <w:tc>
          <w:tcPr>
            <w:tcW w:type="dxa" w:w="1584"/>
            <w:shd w:fill="1F3864"/>
            <w:tcMar>
              <w:top w:w="80" w:type="dxa"/>
              <w:bottom w:w="80" w:type="dxa"/>
              <w:left w:w="80" w:type="dxa"/>
              <w:right w:w="80" w:type="dxa"/>
            </w:tcMar>
          </w:tcPr>
          <w:p>
            <w:r>
              <w:rPr>
                <w:b/>
                <w:color w:val="FFFFFF"/>
                <w:sz w:val="18"/>
              </w:rPr>
              <w:t>Coefficient (β̂)</w:t>
            </w:r>
          </w:p>
        </w:tc>
        <w:tc>
          <w:tcPr>
            <w:tcW w:type="dxa" w:w="1584"/>
            <w:shd w:fill="1F3864"/>
            <w:tcMar>
              <w:top w:w="80" w:type="dxa"/>
              <w:bottom w:w="80" w:type="dxa"/>
              <w:left w:w="80" w:type="dxa"/>
              <w:right w:w="80" w:type="dxa"/>
            </w:tcMar>
          </w:tcPr>
          <w:p>
            <w:r>
              <w:rPr>
                <w:b/>
                <w:color w:val="FFFFFF"/>
                <w:sz w:val="18"/>
              </w:rPr>
              <w:t>Std. Error (SE)</w:t>
            </w:r>
          </w:p>
        </w:tc>
        <w:tc>
          <w:tcPr>
            <w:tcW w:type="dxa" w:w="1584"/>
            <w:shd w:fill="1F3864"/>
            <w:tcMar>
              <w:top w:w="80" w:type="dxa"/>
              <w:bottom w:w="80" w:type="dxa"/>
              <w:left w:w="80" w:type="dxa"/>
              <w:right w:w="80" w:type="dxa"/>
            </w:tcMar>
          </w:tcPr>
          <w:p>
            <w:r>
              <w:rPr>
                <w:b/>
                <w:color w:val="FFFFFF"/>
                <w:sz w:val="18"/>
              </w:rPr>
              <w:t>z-statistic</w:t>
            </w:r>
          </w:p>
        </w:tc>
        <w:tc>
          <w:tcPr>
            <w:tcW w:type="dxa" w:w="1872"/>
            <w:shd w:fill="1F3864"/>
            <w:tcMar>
              <w:top w:w="80" w:type="dxa"/>
              <w:bottom w:w="80" w:type="dxa"/>
              <w:left w:w="80" w:type="dxa"/>
              <w:right w:w="80" w:type="dxa"/>
            </w:tcMar>
          </w:tcPr>
          <w:p>
            <w:r>
              <w:rPr>
                <w:b/>
                <w:color w:val="FFFFFF"/>
                <w:sz w:val="18"/>
              </w:rPr>
              <w:t>p-value P(&gt;|z|)</w:t>
            </w:r>
          </w:p>
        </w:tc>
      </w:tr>
      <w:tr>
        <w:trPr>
          <w:cantSplit/>
        </w:trPr>
        <w:tc>
          <w:tcPr>
            <w:tcW w:type="dxa" w:w="2592"/>
            <w:tcMar>
              <w:top w:w="50" w:type="dxa"/>
              <w:bottom w:w="50" w:type="dxa"/>
              <w:left w:w="80" w:type="dxa"/>
              <w:right w:w="80" w:type="dxa"/>
            </w:tcMar>
            <w:shd w:fill="F2F4F8"/>
          </w:tcPr>
          <w:p>
            <w:r>
              <w:rPr>
                <w:b/>
                <w:sz w:val="17"/>
              </w:rPr>
              <w:t>Intercept</w:t>
            </w:r>
          </w:p>
        </w:tc>
        <w:tc>
          <w:tcPr>
            <w:tcW w:type="dxa" w:w="1584"/>
            <w:tcMar>
              <w:top w:w="50" w:type="dxa"/>
              <w:bottom w:w="50" w:type="dxa"/>
              <w:left w:w="80" w:type="dxa"/>
              <w:right w:w="80" w:type="dxa"/>
            </w:tcMar>
            <w:shd w:fill="F2F4F8"/>
          </w:tcPr>
          <w:p>
            <w:r>
              <w:rPr>
                <w:sz w:val="17"/>
              </w:rPr>
              <w:t>0.2669</w:t>
            </w:r>
          </w:p>
        </w:tc>
        <w:tc>
          <w:tcPr>
            <w:tcW w:type="dxa" w:w="1584"/>
            <w:tcMar>
              <w:top w:w="50" w:type="dxa"/>
              <w:bottom w:w="50" w:type="dxa"/>
              <w:left w:w="80" w:type="dxa"/>
              <w:right w:w="80" w:type="dxa"/>
            </w:tcMar>
            <w:shd w:fill="F2F4F8"/>
          </w:tcPr>
          <w:p>
            <w:r>
              <w:rPr>
                <w:sz w:val="17"/>
              </w:rPr>
              <w:t>0.0859</w:t>
            </w:r>
          </w:p>
        </w:tc>
        <w:tc>
          <w:tcPr>
            <w:tcW w:type="dxa" w:w="1584"/>
            <w:tcMar>
              <w:top w:w="50" w:type="dxa"/>
              <w:bottom w:w="50" w:type="dxa"/>
              <w:left w:w="80" w:type="dxa"/>
              <w:right w:w="80" w:type="dxa"/>
            </w:tcMar>
            <w:shd w:fill="F2F4F8"/>
          </w:tcPr>
          <w:p>
            <w:r>
              <w:rPr>
                <w:sz w:val="17"/>
              </w:rPr>
              <w:t>3.106</w:t>
            </w:r>
          </w:p>
        </w:tc>
        <w:tc>
          <w:tcPr>
            <w:tcW w:type="dxa" w:w="1872"/>
            <w:tcMar>
              <w:top w:w="50" w:type="dxa"/>
              <w:bottom w:w="50" w:type="dxa"/>
              <w:left w:w="80" w:type="dxa"/>
              <w:right w:w="80" w:type="dxa"/>
            </w:tcMar>
            <w:shd w:fill="F2F4F8"/>
          </w:tcPr>
          <w:p>
            <w:r>
              <w:rPr>
                <w:sz w:val="17"/>
              </w:rPr>
              <w:t>0.0019 **</w:t>
            </w:r>
          </w:p>
        </w:tc>
      </w:tr>
      <w:tr>
        <w:trPr>
          <w:cantSplit/>
        </w:trPr>
        <w:tc>
          <w:tcPr>
            <w:tcW w:type="dxa" w:w="2592"/>
            <w:tcMar>
              <w:top w:w="50" w:type="dxa"/>
              <w:bottom w:w="50" w:type="dxa"/>
              <w:left w:w="80" w:type="dxa"/>
              <w:right w:w="80" w:type="dxa"/>
            </w:tcMar>
            <w:shd w:fill="FFFFFF"/>
          </w:tcPr>
          <w:p>
            <w:r>
              <w:rPr>
                <w:b/>
                <w:sz w:val="17"/>
              </w:rPr>
              <w:t>Lag1</w:t>
            </w:r>
          </w:p>
        </w:tc>
        <w:tc>
          <w:tcPr>
            <w:tcW w:type="dxa" w:w="1584"/>
            <w:tcMar>
              <w:top w:w="50" w:type="dxa"/>
              <w:bottom w:w="50" w:type="dxa"/>
              <w:left w:w="80" w:type="dxa"/>
              <w:right w:w="80" w:type="dxa"/>
            </w:tcMar>
            <w:shd w:fill="FFFFFF"/>
          </w:tcPr>
          <w:p>
            <w:r>
              <w:rPr>
                <w:sz w:val="17"/>
              </w:rPr>
              <w:t>-0.0413</w:t>
            </w:r>
          </w:p>
        </w:tc>
        <w:tc>
          <w:tcPr>
            <w:tcW w:type="dxa" w:w="1584"/>
            <w:tcMar>
              <w:top w:w="50" w:type="dxa"/>
              <w:bottom w:w="50" w:type="dxa"/>
              <w:left w:w="80" w:type="dxa"/>
              <w:right w:w="80" w:type="dxa"/>
            </w:tcMar>
            <w:shd w:fill="FFFFFF"/>
          </w:tcPr>
          <w:p>
            <w:r>
              <w:rPr>
                <w:sz w:val="17"/>
              </w:rPr>
              <w:t>0.0264</w:t>
            </w:r>
          </w:p>
        </w:tc>
        <w:tc>
          <w:tcPr>
            <w:tcW w:type="dxa" w:w="1584"/>
            <w:tcMar>
              <w:top w:w="50" w:type="dxa"/>
              <w:bottom w:w="50" w:type="dxa"/>
              <w:left w:w="80" w:type="dxa"/>
              <w:right w:w="80" w:type="dxa"/>
            </w:tcMar>
            <w:shd w:fill="FFFFFF"/>
          </w:tcPr>
          <w:p>
            <w:r>
              <w:rPr>
                <w:sz w:val="17"/>
              </w:rPr>
              <w:t>-1.563</w:t>
            </w:r>
          </w:p>
        </w:tc>
        <w:tc>
          <w:tcPr>
            <w:tcW w:type="dxa" w:w="1872"/>
            <w:tcMar>
              <w:top w:w="50" w:type="dxa"/>
              <w:bottom w:w="50" w:type="dxa"/>
              <w:left w:w="80" w:type="dxa"/>
              <w:right w:w="80" w:type="dxa"/>
            </w:tcMar>
            <w:shd w:fill="FFFFFF"/>
          </w:tcPr>
          <w:p>
            <w:r>
              <w:rPr>
                <w:sz w:val="17"/>
              </w:rPr>
              <w:t>0.1181</w:t>
            </w:r>
          </w:p>
        </w:tc>
      </w:tr>
      <w:tr>
        <w:trPr>
          <w:cantSplit/>
        </w:trPr>
        <w:tc>
          <w:tcPr>
            <w:tcW w:type="dxa" w:w="2592"/>
            <w:tcMar>
              <w:top w:w="50" w:type="dxa"/>
              <w:bottom w:w="50" w:type="dxa"/>
              <w:left w:w="80" w:type="dxa"/>
              <w:right w:w="80" w:type="dxa"/>
            </w:tcMar>
            <w:shd w:fill="F2F4F8"/>
          </w:tcPr>
          <w:p>
            <w:r>
              <w:rPr>
                <w:b/>
                <w:sz w:val="17"/>
              </w:rPr>
              <w:t>Lag2</w:t>
            </w:r>
          </w:p>
        </w:tc>
        <w:tc>
          <w:tcPr>
            <w:tcW w:type="dxa" w:w="1584"/>
            <w:tcMar>
              <w:top w:w="50" w:type="dxa"/>
              <w:bottom w:w="50" w:type="dxa"/>
              <w:left w:w="80" w:type="dxa"/>
              <w:right w:w="80" w:type="dxa"/>
            </w:tcMar>
            <w:shd w:fill="F2F4F8"/>
          </w:tcPr>
          <w:p>
            <w:r>
              <w:rPr>
                <w:sz w:val="17"/>
              </w:rPr>
              <w:t>0.0584</w:t>
            </w:r>
          </w:p>
        </w:tc>
        <w:tc>
          <w:tcPr>
            <w:tcW w:type="dxa" w:w="1584"/>
            <w:tcMar>
              <w:top w:w="50" w:type="dxa"/>
              <w:bottom w:w="50" w:type="dxa"/>
              <w:left w:w="80" w:type="dxa"/>
              <w:right w:w="80" w:type="dxa"/>
            </w:tcMar>
            <w:shd w:fill="F2F4F8"/>
          </w:tcPr>
          <w:p>
            <w:r>
              <w:rPr>
                <w:sz w:val="17"/>
              </w:rPr>
              <w:t>0.0269</w:t>
            </w:r>
          </w:p>
        </w:tc>
        <w:tc>
          <w:tcPr>
            <w:tcW w:type="dxa" w:w="1584"/>
            <w:tcMar>
              <w:top w:w="50" w:type="dxa"/>
              <w:bottom w:w="50" w:type="dxa"/>
              <w:left w:w="80" w:type="dxa"/>
              <w:right w:w="80" w:type="dxa"/>
            </w:tcMar>
            <w:shd w:fill="F2F4F8"/>
          </w:tcPr>
          <w:p>
            <w:r>
              <w:rPr>
                <w:sz w:val="17"/>
              </w:rPr>
              <w:t>2.175</w:t>
            </w:r>
          </w:p>
        </w:tc>
        <w:tc>
          <w:tcPr>
            <w:tcW w:type="dxa" w:w="1872"/>
            <w:tcMar>
              <w:top w:w="50" w:type="dxa"/>
              <w:bottom w:w="50" w:type="dxa"/>
              <w:left w:w="80" w:type="dxa"/>
              <w:right w:w="80" w:type="dxa"/>
            </w:tcMar>
            <w:shd w:fill="F2F4F8"/>
          </w:tcPr>
          <w:p>
            <w:r>
              <w:rPr>
                <w:sz w:val="17"/>
              </w:rPr>
              <w:t>0.0296 * (Significant)</w:t>
            </w:r>
          </w:p>
        </w:tc>
      </w:tr>
      <w:tr>
        <w:trPr>
          <w:cantSplit/>
        </w:trPr>
        <w:tc>
          <w:tcPr>
            <w:tcW w:type="dxa" w:w="2592"/>
            <w:tcMar>
              <w:top w:w="50" w:type="dxa"/>
              <w:bottom w:w="50" w:type="dxa"/>
              <w:left w:w="80" w:type="dxa"/>
              <w:right w:w="80" w:type="dxa"/>
            </w:tcMar>
            <w:shd w:fill="FFFFFF"/>
          </w:tcPr>
          <w:p>
            <w:r>
              <w:rPr>
                <w:b/>
                <w:sz w:val="17"/>
              </w:rPr>
              <w:t>Lag3</w:t>
            </w:r>
          </w:p>
        </w:tc>
        <w:tc>
          <w:tcPr>
            <w:tcW w:type="dxa" w:w="1584"/>
            <w:tcMar>
              <w:top w:w="50" w:type="dxa"/>
              <w:bottom w:w="50" w:type="dxa"/>
              <w:left w:w="80" w:type="dxa"/>
              <w:right w:w="80" w:type="dxa"/>
            </w:tcMar>
            <w:shd w:fill="FFFFFF"/>
          </w:tcPr>
          <w:p>
            <w:r>
              <w:rPr>
                <w:sz w:val="17"/>
              </w:rPr>
              <w:t>-0.0161</w:t>
            </w:r>
          </w:p>
        </w:tc>
        <w:tc>
          <w:tcPr>
            <w:tcW w:type="dxa" w:w="1584"/>
            <w:tcMar>
              <w:top w:w="50" w:type="dxa"/>
              <w:bottom w:w="50" w:type="dxa"/>
              <w:left w:w="80" w:type="dxa"/>
              <w:right w:w="80" w:type="dxa"/>
            </w:tcMar>
            <w:shd w:fill="FFFFFF"/>
          </w:tcPr>
          <w:p>
            <w:r>
              <w:rPr>
                <w:sz w:val="17"/>
              </w:rPr>
              <w:t>0.0267</w:t>
            </w:r>
          </w:p>
        </w:tc>
        <w:tc>
          <w:tcPr>
            <w:tcW w:type="dxa" w:w="1584"/>
            <w:tcMar>
              <w:top w:w="50" w:type="dxa"/>
              <w:bottom w:w="50" w:type="dxa"/>
              <w:left w:w="80" w:type="dxa"/>
              <w:right w:w="80" w:type="dxa"/>
            </w:tcMar>
            <w:shd w:fill="FFFFFF"/>
          </w:tcPr>
          <w:p>
            <w:r>
              <w:rPr>
                <w:sz w:val="17"/>
              </w:rPr>
              <w:t>-0.602</w:t>
            </w:r>
          </w:p>
        </w:tc>
        <w:tc>
          <w:tcPr>
            <w:tcW w:type="dxa" w:w="1872"/>
            <w:tcMar>
              <w:top w:w="50" w:type="dxa"/>
              <w:bottom w:w="50" w:type="dxa"/>
              <w:left w:w="80" w:type="dxa"/>
              <w:right w:w="80" w:type="dxa"/>
            </w:tcMar>
            <w:shd w:fill="FFFFFF"/>
          </w:tcPr>
          <w:p>
            <w:r>
              <w:rPr>
                <w:sz w:val="17"/>
              </w:rPr>
              <w:t>0.5469</w:t>
            </w:r>
          </w:p>
        </w:tc>
      </w:tr>
      <w:tr>
        <w:trPr>
          <w:cantSplit/>
        </w:trPr>
        <w:tc>
          <w:tcPr>
            <w:tcW w:type="dxa" w:w="2592"/>
            <w:tcMar>
              <w:top w:w="50" w:type="dxa"/>
              <w:bottom w:w="50" w:type="dxa"/>
              <w:left w:w="80" w:type="dxa"/>
              <w:right w:w="80" w:type="dxa"/>
            </w:tcMar>
            <w:shd w:fill="F2F4F8"/>
          </w:tcPr>
          <w:p>
            <w:r>
              <w:rPr>
                <w:b/>
                <w:sz w:val="17"/>
              </w:rPr>
              <w:t>Lag4</w:t>
            </w:r>
          </w:p>
        </w:tc>
        <w:tc>
          <w:tcPr>
            <w:tcW w:type="dxa" w:w="1584"/>
            <w:tcMar>
              <w:top w:w="50" w:type="dxa"/>
              <w:bottom w:w="50" w:type="dxa"/>
              <w:left w:w="80" w:type="dxa"/>
              <w:right w:w="80" w:type="dxa"/>
            </w:tcMar>
            <w:shd w:fill="F2F4F8"/>
          </w:tcPr>
          <w:p>
            <w:r>
              <w:rPr>
                <w:sz w:val="17"/>
              </w:rPr>
              <w:t>-0.0278</w:t>
            </w:r>
          </w:p>
        </w:tc>
        <w:tc>
          <w:tcPr>
            <w:tcW w:type="dxa" w:w="1584"/>
            <w:tcMar>
              <w:top w:w="50" w:type="dxa"/>
              <w:bottom w:w="50" w:type="dxa"/>
              <w:left w:w="80" w:type="dxa"/>
              <w:right w:w="80" w:type="dxa"/>
            </w:tcMar>
            <w:shd w:fill="F2F4F8"/>
          </w:tcPr>
          <w:p>
            <w:r>
              <w:rPr>
                <w:sz w:val="17"/>
              </w:rPr>
              <w:t>0.0265</w:t>
            </w:r>
          </w:p>
        </w:tc>
        <w:tc>
          <w:tcPr>
            <w:tcW w:type="dxa" w:w="1584"/>
            <w:tcMar>
              <w:top w:w="50" w:type="dxa"/>
              <w:bottom w:w="50" w:type="dxa"/>
              <w:left w:w="80" w:type="dxa"/>
              <w:right w:w="80" w:type="dxa"/>
            </w:tcMar>
            <w:shd w:fill="F2F4F8"/>
          </w:tcPr>
          <w:p>
            <w:r>
              <w:rPr>
                <w:sz w:val="17"/>
              </w:rPr>
              <w:t>-1.050</w:t>
            </w:r>
          </w:p>
        </w:tc>
        <w:tc>
          <w:tcPr>
            <w:tcW w:type="dxa" w:w="1872"/>
            <w:tcMar>
              <w:top w:w="50" w:type="dxa"/>
              <w:bottom w:w="50" w:type="dxa"/>
              <w:left w:w="80" w:type="dxa"/>
              <w:right w:w="80" w:type="dxa"/>
            </w:tcMar>
            <w:shd w:fill="F2F4F8"/>
          </w:tcPr>
          <w:p>
            <w:r>
              <w:rPr>
                <w:sz w:val="17"/>
              </w:rPr>
              <w:t>0.2937</w:t>
            </w:r>
          </w:p>
        </w:tc>
      </w:tr>
      <w:tr>
        <w:trPr>
          <w:cantSplit/>
        </w:trPr>
        <w:tc>
          <w:tcPr>
            <w:tcW w:type="dxa" w:w="2592"/>
            <w:tcMar>
              <w:top w:w="50" w:type="dxa"/>
              <w:bottom w:w="50" w:type="dxa"/>
              <w:left w:w="80" w:type="dxa"/>
              <w:right w:w="80" w:type="dxa"/>
            </w:tcMar>
            <w:shd w:fill="FFFFFF"/>
          </w:tcPr>
          <w:p>
            <w:r>
              <w:rPr>
                <w:b/>
                <w:sz w:val="17"/>
              </w:rPr>
              <w:t>Lag5</w:t>
            </w:r>
          </w:p>
        </w:tc>
        <w:tc>
          <w:tcPr>
            <w:tcW w:type="dxa" w:w="1584"/>
            <w:tcMar>
              <w:top w:w="50" w:type="dxa"/>
              <w:bottom w:w="50" w:type="dxa"/>
              <w:left w:w="80" w:type="dxa"/>
              <w:right w:w="80" w:type="dxa"/>
            </w:tcMar>
            <w:shd w:fill="FFFFFF"/>
          </w:tcPr>
          <w:p>
            <w:r>
              <w:rPr>
                <w:sz w:val="17"/>
              </w:rPr>
              <w:t>-0.0145</w:t>
            </w:r>
          </w:p>
        </w:tc>
        <w:tc>
          <w:tcPr>
            <w:tcW w:type="dxa" w:w="1584"/>
            <w:tcMar>
              <w:top w:w="50" w:type="dxa"/>
              <w:bottom w:w="50" w:type="dxa"/>
              <w:left w:w="80" w:type="dxa"/>
              <w:right w:w="80" w:type="dxa"/>
            </w:tcMar>
            <w:shd w:fill="FFFFFF"/>
          </w:tcPr>
          <w:p>
            <w:r>
              <w:rPr>
                <w:sz w:val="17"/>
              </w:rPr>
              <w:t>0.0264</w:t>
            </w:r>
          </w:p>
        </w:tc>
        <w:tc>
          <w:tcPr>
            <w:tcW w:type="dxa" w:w="1584"/>
            <w:tcMar>
              <w:top w:w="50" w:type="dxa"/>
              <w:bottom w:w="50" w:type="dxa"/>
              <w:left w:w="80" w:type="dxa"/>
              <w:right w:w="80" w:type="dxa"/>
            </w:tcMar>
            <w:shd w:fill="FFFFFF"/>
          </w:tcPr>
          <w:p>
            <w:r>
              <w:rPr>
                <w:sz w:val="17"/>
              </w:rPr>
              <w:t>-0.549</w:t>
            </w:r>
          </w:p>
        </w:tc>
        <w:tc>
          <w:tcPr>
            <w:tcW w:type="dxa" w:w="1872"/>
            <w:tcMar>
              <w:top w:w="50" w:type="dxa"/>
              <w:bottom w:w="50" w:type="dxa"/>
              <w:left w:w="80" w:type="dxa"/>
              <w:right w:w="80" w:type="dxa"/>
            </w:tcMar>
            <w:shd w:fill="FFFFFF"/>
          </w:tcPr>
          <w:p>
            <w:r>
              <w:rPr>
                <w:sz w:val="17"/>
              </w:rPr>
              <w:t>0.5833</w:t>
            </w:r>
          </w:p>
        </w:tc>
      </w:tr>
      <w:tr>
        <w:trPr>
          <w:cantSplit/>
        </w:trPr>
        <w:tc>
          <w:tcPr>
            <w:tcW w:type="dxa" w:w="2592"/>
            <w:tcMar>
              <w:top w:w="50" w:type="dxa"/>
              <w:bottom w:w="50" w:type="dxa"/>
              <w:left w:w="80" w:type="dxa"/>
              <w:right w:w="80" w:type="dxa"/>
            </w:tcMar>
            <w:shd w:fill="F2F4F8"/>
          </w:tcPr>
          <w:p>
            <w:r>
              <w:rPr>
                <w:b/>
                <w:sz w:val="17"/>
              </w:rPr>
              <w:t>Volume</w:t>
            </w:r>
          </w:p>
        </w:tc>
        <w:tc>
          <w:tcPr>
            <w:tcW w:type="dxa" w:w="1584"/>
            <w:tcMar>
              <w:top w:w="50" w:type="dxa"/>
              <w:bottom w:w="50" w:type="dxa"/>
              <w:left w:w="80" w:type="dxa"/>
              <w:right w:w="80" w:type="dxa"/>
            </w:tcMar>
            <w:shd w:fill="F2F4F8"/>
          </w:tcPr>
          <w:p>
            <w:r>
              <w:rPr>
                <w:sz w:val="17"/>
              </w:rPr>
              <w:t>-0.0227</w:t>
            </w:r>
          </w:p>
        </w:tc>
        <w:tc>
          <w:tcPr>
            <w:tcW w:type="dxa" w:w="1584"/>
            <w:tcMar>
              <w:top w:w="50" w:type="dxa"/>
              <w:bottom w:w="50" w:type="dxa"/>
              <w:left w:w="80" w:type="dxa"/>
              <w:right w:w="80" w:type="dxa"/>
            </w:tcMar>
            <w:shd w:fill="F2F4F8"/>
          </w:tcPr>
          <w:p>
            <w:r>
              <w:rPr>
                <w:sz w:val="17"/>
              </w:rPr>
              <w:t>0.0369</w:t>
            </w:r>
          </w:p>
        </w:tc>
        <w:tc>
          <w:tcPr>
            <w:tcW w:type="dxa" w:w="1584"/>
            <w:tcMar>
              <w:top w:w="50" w:type="dxa"/>
              <w:bottom w:w="50" w:type="dxa"/>
              <w:left w:w="80" w:type="dxa"/>
              <w:right w:w="80" w:type="dxa"/>
            </w:tcMar>
            <w:shd w:fill="F2F4F8"/>
          </w:tcPr>
          <w:p>
            <w:r>
              <w:rPr>
                <w:sz w:val="17"/>
              </w:rPr>
              <w:t>-0.616</w:t>
            </w:r>
          </w:p>
        </w:tc>
        <w:tc>
          <w:tcPr>
            <w:tcW w:type="dxa" w:w="1872"/>
            <w:tcMar>
              <w:top w:w="50" w:type="dxa"/>
              <w:bottom w:w="50" w:type="dxa"/>
              <w:left w:w="80" w:type="dxa"/>
              <w:right w:w="80" w:type="dxa"/>
            </w:tcMar>
            <w:shd w:fill="F2F4F8"/>
          </w:tcPr>
          <w:p>
            <w:r>
              <w:rPr>
                <w:sz w:val="17"/>
              </w:rPr>
              <w:t>0.5379</w:t>
            </w:r>
          </w:p>
        </w:tc>
      </w:tr>
    </w:tbl>
    <w:p>
      <w:pPr>
        <w:spacing w:before="120"/>
      </w:pPr>
      <w:r>
        <w:rPr>
          <w:b/>
        </w:rPr>
        <w:t xml:space="preserve">Statistical Conclusion: </w:t>
      </w:r>
      <w:r>
        <w:rPr>
          <w:sz w:val="20"/>
        </w:rPr>
        <w:t xml:space="preserve">Only </w:t>
      </w:r>
      <w:r>
        <w:rPr>
          <w:b/>
        </w:rPr>
        <w:t>Lag2</w:t>
      </w:r>
      <w:r>
        <w:t xml:space="preserve"> is statistically significant at the 5% level (z = 2.175, p = 0.0296 &lt; 0.05). Its positive coefficient (β̂ = 0.0584) indicates that a positive return two weeks prior increases the log-odds that the market will rise in the current week. All other lag variables and Volume have large p-values (&gt; 0.10).</w:t>
      </w:r>
    </w:p>
    <w:p>
      <w:pPr>
        <w:pStyle w:val="Heading2"/>
      </w:pPr>
      <w:r>
        <w:t>(c) Confusion Matrix &amp; Classification Breakdown</w:t>
      </w:r>
    </w:p>
    <w:p>
      <w:r>
        <w:t>Evaluating predictions at the standard threshold of 0.5 (ISLP convention: Rows = Predicted, Cols = True):</w:t>
      </w:r>
    </w:p>
    <w:tbl>
      <w:tblPr>
        <w:tblW w:type="auto" w:w="0"/>
        <w:jc w:val="center"/>
        <w:tblLook w:firstColumn="1" w:firstRow="1" w:lastColumn="0" w:lastRow="0" w:noHBand="0" w:noVBand="1" w:val="04A0"/>
      </w:tblPr>
      <w:tblGrid>
        <w:gridCol w:w="3120"/>
        <w:gridCol w:w="3120"/>
        <w:gridCol w:w="3120"/>
      </w:tblGrid>
      <w:tr>
        <w:trPr>
          <w:cantSplit/>
        </w:trPr>
        <w:tc>
          <w:tcPr>
            <w:tcW w:type="dxa" w:w="3120"/>
            <w:shd w:fill="1F3864"/>
            <w:tcMar>
              <w:top w:w="60" w:type="dxa"/>
              <w:bottom w:w="60" w:type="dxa"/>
              <w:left w:w="100" w:type="dxa"/>
              <w:right w:w="100" w:type="dxa"/>
            </w:tcMar>
          </w:tcPr>
          <w:p>
            <w:r>
              <w:rPr>
                <w:b/>
                <w:color w:val="FFFFFF"/>
                <w:sz w:val="18"/>
              </w:rPr>
              <w:t>Predicted \ True</w:t>
            </w:r>
          </w:p>
        </w:tc>
        <w:tc>
          <w:tcPr>
            <w:tcW w:type="dxa" w:w="3120"/>
            <w:shd w:fill="1F3864"/>
            <w:tcMar>
              <w:top w:w="60" w:type="dxa"/>
              <w:bottom w:w="60" w:type="dxa"/>
              <w:left w:w="100" w:type="dxa"/>
              <w:right w:w="100" w:type="dxa"/>
            </w:tcMar>
          </w:tcPr>
          <w:p>
            <w:r>
              <w:rPr>
                <w:b/>
                <w:color w:val="FFFFFF"/>
                <w:sz w:val="18"/>
              </w:rPr>
              <w:t>True Down</w:t>
            </w:r>
          </w:p>
        </w:tc>
        <w:tc>
          <w:tcPr>
            <w:tcW w:type="dxa" w:w="3120"/>
            <w:shd w:fill="1F3864"/>
            <w:tcMar>
              <w:top w:w="60" w:type="dxa"/>
              <w:bottom w:w="60" w:type="dxa"/>
              <w:left w:w="100" w:type="dxa"/>
              <w:right w:w="100" w:type="dxa"/>
            </w:tcMar>
          </w:tcPr>
          <w:p>
            <w:r>
              <w:rPr>
                <w:b/>
                <w:color w:val="FFFFFF"/>
                <w:sz w:val="18"/>
              </w:rPr>
              <w:t>True Up</w:t>
            </w:r>
          </w:p>
        </w:tc>
      </w:tr>
      <w:tr>
        <w:trPr>
          <w:cantSplit/>
        </w:trPr>
        <w:tc>
          <w:tcPr>
            <w:tcW w:type="dxa" w:w="3120"/>
            <w:shd w:fill="EBF1F5"/>
            <w:tcMar>
              <w:top w:w="60" w:type="dxa"/>
              <w:bottom w:w="60" w:type="dxa"/>
              <w:left w:w="100" w:type="dxa"/>
              <w:right w:w="100" w:type="dxa"/>
            </w:tcMar>
          </w:tcPr>
          <w:p>
            <w:r>
              <w:rPr>
                <w:b/>
                <w:sz w:val="18"/>
              </w:rPr>
              <w:t>Predicted Down</w:t>
            </w:r>
          </w:p>
        </w:tc>
        <w:tc>
          <w:tcPr>
            <w:tcW w:type="dxa" w:w="3120"/>
            <w:shd w:fill="FFFFFF"/>
            <w:tcMar>
              <w:top w:w="60" w:type="dxa"/>
              <w:bottom w:w="60" w:type="dxa"/>
              <w:left w:w="100" w:type="dxa"/>
              <w:right w:w="100" w:type="dxa"/>
            </w:tcMar>
          </w:tcPr>
          <w:p>
            <w:r>
              <w:rPr>
                <w:sz w:val="18"/>
              </w:rPr>
              <w:t>54 (True Neg - TN)</w:t>
            </w:r>
          </w:p>
        </w:tc>
        <w:tc>
          <w:tcPr>
            <w:tcW w:type="dxa" w:w="3120"/>
            <w:shd w:fill="FFFFFF"/>
            <w:tcMar>
              <w:top w:w="60" w:type="dxa"/>
              <w:bottom w:w="60" w:type="dxa"/>
              <w:left w:w="100" w:type="dxa"/>
              <w:right w:w="100" w:type="dxa"/>
            </w:tcMar>
          </w:tcPr>
          <w:p>
            <w:r>
              <w:rPr>
                <w:sz w:val="18"/>
              </w:rPr>
              <w:t>48 (False Neg - FN)</w:t>
            </w:r>
          </w:p>
        </w:tc>
      </w:tr>
      <w:tr>
        <w:trPr>
          <w:cantSplit/>
        </w:trPr>
        <w:tc>
          <w:tcPr>
            <w:tcW w:type="dxa" w:w="3120"/>
            <w:shd w:fill="EBF1F5"/>
            <w:tcMar>
              <w:top w:w="60" w:type="dxa"/>
              <w:bottom w:w="60" w:type="dxa"/>
              <w:left w:w="100" w:type="dxa"/>
              <w:right w:w="100" w:type="dxa"/>
            </w:tcMar>
          </w:tcPr>
          <w:p>
            <w:r>
              <w:rPr>
                <w:b/>
                <w:sz w:val="18"/>
              </w:rPr>
              <w:t>Predicted Up</w:t>
            </w:r>
          </w:p>
        </w:tc>
        <w:tc>
          <w:tcPr>
            <w:tcW w:type="dxa" w:w="3120"/>
            <w:shd w:fill="FFFFFF"/>
            <w:tcMar>
              <w:top w:w="60" w:type="dxa"/>
              <w:bottom w:w="60" w:type="dxa"/>
              <w:left w:w="100" w:type="dxa"/>
              <w:right w:w="100" w:type="dxa"/>
            </w:tcMar>
          </w:tcPr>
          <w:p>
            <w:r>
              <w:rPr>
                <w:sz w:val="18"/>
              </w:rPr>
              <w:t>430 (False Pos - FP)</w:t>
            </w:r>
          </w:p>
        </w:tc>
        <w:tc>
          <w:tcPr>
            <w:tcW w:type="dxa" w:w="3120"/>
            <w:shd w:fill="FFFFFF"/>
            <w:tcMar>
              <w:top w:w="60" w:type="dxa"/>
              <w:bottom w:w="60" w:type="dxa"/>
              <w:left w:w="100" w:type="dxa"/>
              <w:right w:w="100" w:type="dxa"/>
            </w:tcMar>
          </w:tcPr>
          <w:p>
            <w:r>
              <w:rPr>
                <w:sz w:val="18"/>
              </w:rPr>
              <w:t>557 (True Pos - TP)</w:t>
            </w:r>
          </w:p>
        </w:tc>
      </w:tr>
    </w:tbl>
    <w:p>
      <w:pPr>
        <w:spacing w:before="120"/>
      </w:pPr>
      <w:r>
        <w:rPr>
          <w:b/>
        </w:rPr>
        <w:t xml:space="preserve">• Overall Training Accuracy: </w:t>
      </w:r>
      <w:r>
        <w:t>(54 + 557) / 1,089 = 56.11% (Training Error Rate = 43.89%).</w:t>
        <w:br/>
      </w:r>
      <w:r>
        <w:rPr>
          <w:b/>
        </w:rPr>
        <w:t xml:space="preserve">• Sensitivity (Recall for Up): </w:t>
      </w:r>
      <w:r>
        <w:t>557 / (557 + 48) = 92.07%.</w:t>
        <w:br/>
      </w:r>
      <w:r>
        <w:rPr>
          <w:b/>
        </w:rPr>
        <w:t xml:space="preserve">• Specificity (True Negative Rate for Down): </w:t>
      </w:r>
      <w:r>
        <w:t>54 / (54 + 430) = 11.16%.</w:t>
        <w:br/>
      </w:r>
      <w:r>
        <w:rPr>
          <w:b/>
        </w:rPr>
        <w:t xml:space="preserve">• Error Diagnosis: </w:t>
      </w:r>
      <w:r>
        <w:t>The model is heavily biased toward predicting market increases, predicting 'Up' 987 times (90.6% of weeks). Consequently, it correctly identifies Up weeks (92.07%), but fails disastrously on downward weeks, correctly identifying only 54 of 484 down weeks (11.16%). The modest 56.11% accuracy merely mirrors the historical market upward trend rather than true predictive timing.</w:t>
      </w:r>
    </w:p>
    <w:p>
      <w:pPr>
        <w:pStyle w:val="Heading1"/>
        <w:keepNext/>
        <w:spacing w:before="280" w:after="120"/>
      </w:pPr>
      <w:r>
        <w:t>3. Exercise 2 – Honest Out-of-Sample Evaluation on Weekly (2009–2010)</w:t>
      </w:r>
    </w:p>
    <w:p>
      <w:r>
        <w:rPr>
          <w:sz w:val="20"/>
        </w:rPr>
        <w:t xml:space="preserve">To eliminate training bias, data is split chronologically: </w:t>
      </w:r>
      <w:r>
        <w:rPr>
          <w:b/>
        </w:rPr>
        <w:t>Training period 1990–2008 (n = 985)</w:t>
      </w:r>
      <w:r>
        <w:t xml:space="preserve"> and </w:t>
      </w:r>
      <w:r>
        <w:rPr>
          <w:b/>
        </w:rPr>
        <w:t>Test holdout sample 2009–2010 (n = 104)</w:t>
      </w:r>
      <w:r>
        <w:t xml:space="preserve">, using </w:t>
      </w:r>
      <w:r>
        <w:rPr>
          <w:b/>
        </w:rPr>
        <w:t>Lag2</w:t>
      </w:r>
      <w:r>
        <w:t xml:space="preserve"> as the single predictor.</w:t>
      </w:r>
    </w:p>
    <w:p>
      <w:pPr>
        <w:pStyle w:val="Heading2"/>
      </w:pPr>
      <w:r>
        <w:t>(a) Out-of-Sample Performance Comparison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3864"/>
            <w:tcMar>
              <w:top w:w="70" w:type="dxa"/>
              <w:bottom w:w="70" w:type="dxa"/>
              <w:left w:w="70" w:type="dxa"/>
              <w:right w:w="70" w:type="dxa"/>
            </w:tcMar>
          </w:tcPr>
          <w:p>
            <w:r>
              <w:rPr>
                <w:b/>
                <w:color w:val="FFFFFF"/>
                <w:sz w:val="17"/>
              </w:rPr>
              <w:t>Classifier Method</w:t>
            </w:r>
          </w:p>
        </w:tc>
        <w:tc>
          <w:tcPr>
            <w:tcW w:type="dxa" w:w="1872"/>
            <w:shd w:fill="1F3864"/>
            <w:tcMar>
              <w:top w:w="70" w:type="dxa"/>
              <w:bottom w:w="70" w:type="dxa"/>
              <w:left w:w="70" w:type="dxa"/>
              <w:right w:w="70" w:type="dxa"/>
            </w:tcMar>
          </w:tcPr>
          <w:p>
            <w:r>
              <w:rPr>
                <w:b/>
                <w:color w:val="FFFFFF"/>
                <w:sz w:val="17"/>
              </w:rPr>
              <w:t>Test Accuracy</w:t>
            </w:r>
          </w:p>
        </w:tc>
        <w:tc>
          <w:tcPr>
            <w:tcW w:type="dxa" w:w="1872"/>
            <w:shd w:fill="1F3864"/>
            <w:tcMar>
              <w:top w:w="70" w:type="dxa"/>
              <w:bottom w:w="70" w:type="dxa"/>
              <w:left w:w="70" w:type="dxa"/>
              <w:right w:w="70" w:type="dxa"/>
            </w:tcMar>
          </w:tcPr>
          <w:p>
            <w:r>
              <w:rPr>
                <w:b/>
                <w:color w:val="FFFFFF"/>
                <w:sz w:val="17"/>
              </w:rPr>
              <w:t>Test Error Rate</w:t>
            </w:r>
          </w:p>
        </w:tc>
        <w:tc>
          <w:tcPr>
            <w:tcW w:type="dxa" w:w="1872"/>
            <w:shd w:fill="1F3864"/>
            <w:tcMar>
              <w:top w:w="70" w:type="dxa"/>
              <w:bottom w:w="70" w:type="dxa"/>
              <w:left w:w="70" w:type="dxa"/>
              <w:right w:w="70" w:type="dxa"/>
            </w:tcMar>
          </w:tcPr>
          <w:p>
            <w:r>
              <w:rPr>
                <w:b/>
                <w:color w:val="FFFFFF"/>
                <w:sz w:val="17"/>
              </w:rPr>
              <w:t>Sensitivity (Up)</w:t>
            </w:r>
          </w:p>
        </w:tc>
        <w:tc>
          <w:tcPr>
            <w:tcW w:type="dxa" w:w="1872"/>
            <w:shd w:fill="1F3864"/>
            <w:tcMar>
              <w:top w:w="70" w:type="dxa"/>
              <w:bottom w:w="70" w:type="dxa"/>
              <w:left w:w="70" w:type="dxa"/>
              <w:right w:w="70" w:type="dxa"/>
            </w:tcMar>
          </w:tcPr>
          <w:p>
            <w:r>
              <w:rPr>
                <w:b/>
                <w:color w:val="FFFFFF"/>
                <w:sz w:val="17"/>
              </w:rPr>
              <w:t>Specificity (Down)</w:t>
            </w:r>
          </w:p>
        </w:tc>
      </w:tr>
      <w:tr>
        <w:trPr>
          <w:cantSplit/>
        </w:trPr>
        <w:tc>
          <w:tcPr>
            <w:tcW w:type="dxa" w:w="1872"/>
            <w:tcMar>
              <w:top w:w="50" w:type="dxa"/>
              <w:bottom w:w="50" w:type="dxa"/>
              <w:left w:w="70" w:type="dxa"/>
              <w:right w:w="70" w:type="dxa"/>
            </w:tcMar>
            <w:shd w:fill="F2F4F8"/>
          </w:tcPr>
          <w:p>
            <w:r>
              <w:rPr>
                <w:b/>
                <w:sz w:val="17"/>
              </w:rPr>
              <w:t>Logistic Regression (Lag2)</w:t>
            </w:r>
          </w:p>
        </w:tc>
        <w:tc>
          <w:tcPr>
            <w:tcW w:type="dxa" w:w="1872"/>
            <w:tcMar>
              <w:top w:w="50" w:type="dxa"/>
              <w:bottom w:w="50" w:type="dxa"/>
              <w:left w:w="70" w:type="dxa"/>
              <w:right w:w="70" w:type="dxa"/>
            </w:tcMar>
            <w:shd w:fill="F2F4F8"/>
          </w:tcPr>
          <w:p>
            <w:r>
              <w:rPr>
                <w:b/>
                <w:color w:val="1F77B4"/>
                <w:sz w:val="17"/>
              </w:rPr>
              <w:t>62.50%</w:t>
            </w:r>
          </w:p>
        </w:tc>
        <w:tc>
          <w:tcPr>
            <w:tcW w:type="dxa" w:w="1872"/>
            <w:tcMar>
              <w:top w:w="50" w:type="dxa"/>
              <w:bottom w:w="50" w:type="dxa"/>
              <w:left w:w="70" w:type="dxa"/>
              <w:right w:w="70" w:type="dxa"/>
            </w:tcMar>
            <w:shd w:fill="F2F4F8"/>
          </w:tcPr>
          <w:p>
            <w:r>
              <w:rPr>
                <w:sz w:val="17"/>
              </w:rPr>
              <w:t>37.50%</w:t>
            </w:r>
          </w:p>
        </w:tc>
        <w:tc>
          <w:tcPr>
            <w:tcW w:type="dxa" w:w="1872"/>
            <w:tcMar>
              <w:top w:w="50" w:type="dxa"/>
              <w:bottom w:w="50" w:type="dxa"/>
              <w:left w:w="70" w:type="dxa"/>
              <w:right w:w="70" w:type="dxa"/>
            </w:tcMar>
            <w:shd w:fill="F2F4F8"/>
          </w:tcPr>
          <w:p>
            <w:r>
              <w:rPr>
                <w:sz w:val="17"/>
              </w:rPr>
              <w:t>91.80%</w:t>
            </w:r>
          </w:p>
        </w:tc>
        <w:tc>
          <w:tcPr>
            <w:tcW w:type="dxa" w:w="1872"/>
            <w:tcMar>
              <w:top w:w="50" w:type="dxa"/>
              <w:bottom w:w="50" w:type="dxa"/>
              <w:left w:w="70" w:type="dxa"/>
              <w:right w:w="70" w:type="dxa"/>
            </w:tcMar>
            <w:shd w:fill="F2F4F8"/>
          </w:tcPr>
          <w:p>
            <w:r>
              <w:rPr>
                <w:sz w:val="17"/>
              </w:rPr>
              <w:t>20.93%</w:t>
            </w:r>
          </w:p>
        </w:tc>
      </w:tr>
      <w:tr>
        <w:trPr>
          <w:cantSplit/>
        </w:trPr>
        <w:tc>
          <w:tcPr>
            <w:tcW w:type="dxa" w:w="1872"/>
            <w:tcMar>
              <w:top w:w="50" w:type="dxa"/>
              <w:bottom w:w="50" w:type="dxa"/>
              <w:left w:w="70" w:type="dxa"/>
              <w:right w:w="70" w:type="dxa"/>
            </w:tcMar>
            <w:shd w:fill="FFFFFF"/>
          </w:tcPr>
          <w:p>
            <w:r>
              <w:rPr>
                <w:b/>
                <w:sz w:val="17"/>
              </w:rPr>
              <w:t>Linear Discriminant Analysis (LDA)</w:t>
            </w:r>
          </w:p>
        </w:tc>
        <w:tc>
          <w:tcPr>
            <w:tcW w:type="dxa" w:w="1872"/>
            <w:tcMar>
              <w:top w:w="50" w:type="dxa"/>
              <w:bottom w:w="50" w:type="dxa"/>
              <w:left w:w="70" w:type="dxa"/>
              <w:right w:w="70" w:type="dxa"/>
            </w:tcMar>
            <w:shd w:fill="FFFFFF"/>
          </w:tcPr>
          <w:p>
            <w:r>
              <w:rPr>
                <w:b/>
                <w:color w:val="1F77B4"/>
                <w:sz w:val="17"/>
              </w:rPr>
              <w:t>62.50%</w:t>
            </w:r>
          </w:p>
        </w:tc>
        <w:tc>
          <w:tcPr>
            <w:tcW w:type="dxa" w:w="1872"/>
            <w:tcMar>
              <w:top w:w="50" w:type="dxa"/>
              <w:bottom w:w="50" w:type="dxa"/>
              <w:left w:w="70" w:type="dxa"/>
              <w:right w:w="70" w:type="dxa"/>
            </w:tcMar>
            <w:shd w:fill="FFFFFF"/>
          </w:tcPr>
          <w:p>
            <w:r>
              <w:rPr>
                <w:sz w:val="17"/>
              </w:rPr>
              <w:t>37.50%</w:t>
            </w:r>
          </w:p>
        </w:tc>
        <w:tc>
          <w:tcPr>
            <w:tcW w:type="dxa" w:w="1872"/>
            <w:tcMar>
              <w:top w:w="50" w:type="dxa"/>
              <w:bottom w:w="50" w:type="dxa"/>
              <w:left w:w="70" w:type="dxa"/>
              <w:right w:w="70" w:type="dxa"/>
            </w:tcMar>
            <w:shd w:fill="FFFFFF"/>
          </w:tcPr>
          <w:p>
            <w:r>
              <w:rPr>
                <w:sz w:val="17"/>
              </w:rPr>
              <w:t>91.80%</w:t>
            </w:r>
          </w:p>
        </w:tc>
        <w:tc>
          <w:tcPr>
            <w:tcW w:type="dxa" w:w="1872"/>
            <w:tcMar>
              <w:top w:w="50" w:type="dxa"/>
              <w:bottom w:w="50" w:type="dxa"/>
              <w:left w:w="70" w:type="dxa"/>
              <w:right w:w="70" w:type="dxa"/>
            </w:tcMar>
            <w:shd w:fill="FFFFFF"/>
          </w:tcPr>
          <w:p>
            <w:r>
              <w:rPr>
                <w:sz w:val="17"/>
              </w:rPr>
              <w:t>20.93%</w:t>
            </w:r>
          </w:p>
        </w:tc>
      </w:tr>
      <w:tr>
        <w:trPr>
          <w:cantSplit/>
        </w:trPr>
        <w:tc>
          <w:tcPr>
            <w:tcW w:type="dxa" w:w="1872"/>
            <w:tcMar>
              <w:top w:w="50" w:type="dxa"/>
              <w:bottom w:w="50" w:type="dxa"/>
              <w:left w:w="70" w:type="dxa"/>
              <w:right w:w="70" w:type="dxa"/>
            </w:tcMar>
            <w:shd w:fill="F2F4F8"/>
          </w:tcPr>
          <w:p>
            <w:r>
              <w:rPr>
                <w:b/>
                <w:sz w:val="17"/>
              </w:rPr>
              <w:t>Quadratic Discriminant Analysis (QDA)</w:t>
            </w:r>
          </w:p>
        </w:tc>
        <w:tc>
          <w:tcPr>
            <w:tcW w:type="dxa" w:w="1872"/>
            <w:tcMar>
              <w:top w:w="50" w:type="dxa"/>
              <w:bottom w:w="50" w:type="dxa"/>
              <w:left w:w="70" w:type="dxa"/>
              <w:right w:w="70" w:type="dxa"/>
            </w:tcMar>
            <w:shd w:fill="F2F4F8"/>
          </w:tcPr>
          <w:p>
            <w:r>
              <w:rPr>
                <w:sz w:val="17"/>
              </w:rPr>
              <w:t>58.65%</w:t>
            </w:r>
          </w:p>
        </w:tc>
        <w:tc>
          <w:tcPr>
            <w:tcW w:type="dxa" w:w="1872"/>
            <w:tcMar>
              <w:top w:w="50" w:type="dxa"/>
              <w:bottom w:w="50" w:type="dxa"/>
              <w:left w:w="70" w:type="dxa"/>
              <w:right w:w="70" w:type="dxa"/>
            </w:tcMar>
            <w:shd w:fill="F2F4F8"/>
          </w:tcPr>
          <w:p>
            <w:r>
              <w:rPr>
                <w:sz w:val="17"/>
              </w:rPr>
              <w:t>41.35%</w:t>
            </w:r>
          </w:p>
        </w:tc>
        <w:tc>
          <w:tcPr>
            <w:tcW w:type="dxa" w:w="1872"/>
            <w:tcMar>
              <w:top w:w="50" w:type="dxa"/>
              <w:bottom w:w="50" w:type="dxa"/>
              <w:left w:w="70" w:type="dxa"/>
              <w:right w:w="70" w:type="dxa"/>
            </w:tcMar>
            <w:shd w:fill="F2F4F8"/>
          </w:tcPr>
          <w:p>
            <w:r>
              <w:rPr>
                <w:sz w:val="17"/>
              </w:rPr>
              <w:t>100.00%</w:t>
            </w:r>
          </w:p>
        </w:tc>
        <w:tc>
          <w:tcPr>
            <w:tcW w:type="dxa" w:w="1872"/>
            <w:tcMar>
              <w:top w:w="50" w:type="dxa"/>
              <w:bottom w:w="50" w:type="dxa"/>
              <w:left w:w="70" w:type="dxa"/>
              <w:right w:w="70" w:type="dxa"/>
            </w:tcMar>
            <w:shd w:fill="F2F4F8"/>
          </w:tcPr>
          <w:p>
            <w:r>
              <w:rPr>
                <w:sz w:val="17"/>
              </w:rPr>
              <w:t>0.00%</w:t>
            </w:r>
          </w:p>
        </w:tc>
      </w:tr>
      <w:tr>
        <w:trPr>
          <w:cantSplit/>
        </w:trPr>
        <w:tc>
          <w:tcPr>
            <w:tcW w:type="dxa" w:w="1872"/>
            <w:tcMar>
              <w:top w:w="50" w:type="dxa"/>
              <w:bottom w:w="50" w:type="dxa"/>
              <w:left w:w="70" w:type="dxa"/>
              <w:right w:w="70" w:type="dxa"/>
            </w:tcMar>
            <w:shd w:fill="FFFFFF"/>
          </w:tcPr>
          <w:p>
            <w:r>
              <w:rPr>
                <w:b/>
                <w:sz w:val="17"/>
              </w:rPr>
              <w:t>Gaussian Naive Bayes</w:t>
            </w:r>
          </w:p>
        </w:tc>
        <w:tc>
          <w:tcPr>
            <w:tcW w:type="dxa" w:w="1872"/>
            <w:tcMar>
              <w:top w:w="50" w:type="dxa"/>
              <w:bottom w:w="50" w:type="dxa"/>
              <w:left w:w="70" w:type="dxa"/>
              <w:right w:w="70" w:type="dxa"/>
            </w:tcMar>
            <w:shd w:fill="FFFFFF"/>
          </w:tcPr>
          <w:p>
            <w:r>
              <w:rPr>
                <w:sz w:val="17"/>
              </w:rPr>
              <w:t>58.65%</w:t>
            </w:r>
          </w:p>
        </w:tc>
        <w:tc>
          <w:tcPr>
            <w:tcW w:type="dxa" w:w="1872"/>
            <w:tcMar>
              <w:top w:w="50" w:type="dxa"/>
              <w:bottom w:w="50" w:type="dxa"/>
              <w:left w:w="70" w:type="dxa"/>
              <w:right w:w="70" w:type="dxa"/>
            </w:tcMar>
            <w:shd w:fill="FFFFFF"/>
          </w:tcPr>
          <w:p>
            <w:r>
              <w:rPr>
                <w:sz w:val="17"/>
              </w:rPr>
              <w:t>41.35%</w:t>
            </w:r>
          </w:p>
        </w:tc>
        <w:tc>
          <w:tcPr>
            <w:tcW w:type="dxa" w:w="1872"/>
            <w:tcMar>
              <w:top w:w="50" w:type="dxa"/>
              <w:bottom w:w="50" w:type="dxa"/>
              <w:left w:w="70" w:type="dxa"/>
              <w:right w:w="70" w:type="dxa"/>
            </w:tcMar>
            <w:shd w:fill="FFFFFF"/>
          </w:tcPr>
          <w:p>
            <w:r>
              <w:rPr>
                <w:sz w:val="17"/>
              </w:rPr>
              <w:t>100.00%</w:t>
            </w:r>
          </w:p>
        </w:tc>
        <w:tc>
          <w:tcPr>
            <w:tcW w:type="dxa" w:w="1872"/>
            <w:tcMar>
              <w:top w:w="50" w:type="dxa"/>
              <w:bottom w:w="50" w:type="dxa"/>
              <w:left w:w="70" w:type="dxa"/>
              <w:right w:w="70" w:type="dxa"/>
            </w:tcMar>
            <w:shd w:fill="FFFFFF"/>
          </w:tcPr>
          <w:p>
            <w:r>
              <w:rPr>
                <w:sz w:val="17"/>
              </w:rPr>
              <w:t>0.00%</w:t>
            </w:r>
          </w:p>
        </w:tc>
      </w:tr>
      <w:tr>
        <w:trPr>
          <w:cantSplit/>
        </w:trPr>
        <w:tc>
          <w:tcPr>
            <w:tcW w:type="dxa" w:w="1872"/>
            <w:tcMar>
              <w:top w:w="50" w:type="dxa"/>
              <w:bottom w:w="50" w:type="dxa"/>
              <w:left w:w="70" w:type="dxa"/>
              <w:right w:w="70" w:type="dxa"/>
            </w:tcMar>
            <w:shd w:fill="F2F4F8"/>
          </w:tcPr>
          <w:p>
            <w:r>
              <w:rPr>
                <w:b/>
                <w:sz w:val="17"/>
              </w:rPr>
              <w:t>KNN (K = 1, StandardScaler)</w:t>
            </w:r>
          </w:p>
        </w:tc>
        <w:tc>
          <w:tcPr>
            <w:tcW w:type="dxa" w:w="1872"/>
            <w:tcMar>
              <w:top w:w="50" w:type="dxa"/>
              <w:bottom w:w="50" w:type="dxa"/>
              <w:left w:w="70" w:type="dxa"/>
              <w:right w:w="70" w:type="dxa"/>
            </w:tcMar>
            <w:shd w:fill="F2F4F8"/>
          </w:tcPr>
          <w:p>
            <w:r>
              <w:rPr>
                <w:sz w:val="17"/>
              </w:rPr>
              <w:t>50.00%</w:t>
            </w:r>
          </w:p>
        </w:tc>
        <w:tc>
          <w:tcPr>
            <w:tcW w:type="dxa" w:w="1872"/>
            <w:tcMar>
              <w:top w:w="50" w:type="dxa"/>
              <w:bottom w:w="50" w:type="dxa"/>
              <w:left w:w="70" w:type="dxa"/>
              <w:right w:w="70" w:type="dxa"/>
            </w:tcMar>
            <w:shd w:fill="F2F4F8"/>
          </w:tcPr>
          <w:p>
            <w:r>
              <w:rPr>
                <w:sz w:val="17"/>
              </w:rPr>
              <w:t>50.00%</w:t>
            </w:r>
          </w:p>
        </w:tc>
        <w:tc>
          <w:tcPr>
            <w:tcW w:type="dxa" w:w="1872"/>
            <w:tcMar>
              <w:top w:w="50" w:type="dxa"/>
              <w:bottom w:w="50" w:type="dxa"/>
              <w:left w:w="70" w:type="dxa"/>
              <w:right w:w="70" w:type="dxa"/>
            </w:tcMar>
            <w:shd w:fill="F2F4F8"/>
          </w:tcPr>
          <w:p>
            <w:r>
              <w:rPr>
                <w:sz w:val="17"/>
              </w:rPr>
              <w:t>50.82%</w:t>
            </w:r>
          </w:p>
        </w:tc>
        <w:tc>
          <w:tcPr>
            <w:tcW w:type="dxa" w:w="1872"/>
            <w:tcMar>
              <w:top w:w="50" w:type="dxa"/>
              <w:bottom w:w="50" w:type="dxa"/>
              <w:left w:w="70" w:type="dxa"/>
              <w:right w:w="70" w:type="dxa"/>
            </w:tcMar>
            <w:shd w:fill="F2F4F8"/>
          </w:tcPr>
          <w:p>
            <w:r>
              <w:rPr>
                <w:sz w:val="17"/>
              </w:rPr>
              <w:t>48.84%</w:t>
            </w:r>
          </w:p>
        </w:tc>
      </w:tr>
      <w:tr>
        <w:trPr>
          <w:cantSplit/>
        </w:trPr>
        <w:tc>
          <w:tcPr>
            <w:tcW w:type="dxa" w:w="1872"/>
            <w:tcMar>
              <w:top w:w="50" w:type="dxa"/>
              <w:bottom w:w="50" w:type="dxa"/>
              <w:left w:w="70" w:type="dxa"/>
              <w:right w:w="70" w:type="dxa"/>
            </w:tcMar>
            <w:shd w:fill="FFFFFF"/>
          </w:tcPr>
          <w:p>
            <w:r>
              <w:rPr>
                <w:b/>
                <w:sz w:val="17"/>
              </w:rPr>
              <w:t>KNN (K = 3, StandardScaler)</w:t>
            </w:r>
          </w:p>
        </w:tc>
        <w:tc>
          <w:tcPr>
            <w:tcW w:type="dxa" w:w="1872"/>
            <w:tcMar>
              <w:top w:w="50" w:type="dxa"/>
              <w:bottom w:w="50" w:type="dxa"/>
              <w:left w:w="70" w:type="dxa"/>
              <w:right w:w="70" w:type="dxa"/>
            </w:tcMar>
            <w:shd w:fill="FFFFFF"/>
          </w:tcPr>
          <w:p>
            <w:r>
              <w:rPr>
                <w:sz w:val="17"/>
              </w:rPr>
              <w:t>55.77%</w:t>
            </w:r>
          </w:p>
        </w:tc>
        <w:tc>
          <w:tcPr>
            <w:tcW w:type="dxa" w:w="1872"/>
            <w:tcMar>
              <w:top w:w="50" w:type="dxa"/>
              <w:bottom w:w="50" w:type="dxa"/>
              <w:left w:w="70" w:type="dxa"/>
              <w:right w:w="70" w:type="dxa"/>
            </w:tcMar>
            <w:shd w:fill="FFFFFF"/>
          </w:tcPr>
          <w:p>
            <w:r>
              <w:rPr>
                <w:sz w:val="17"/>
              </w:rPr>
              <w:t>44.23%</w:t>
            </w:r>
          </w:p>
        </w:tc>
        <w:tc>
          <w:tcPr>
            <w:tcW w:type="dxa" w:w="1872"/>
            <w:tcMar>
              <w:top w:w="50" w:type="dxa"/>
              <w:bottom w:w="50" w:type="dxa"/>
              <w:left w:w="70" w:type="dxa"/>
              <w:right w:w="70" w:type="dxa"/>
            </w:tcMar>
            <w:shd w:fill="FFFFFF"/>
          </w:tcPr>
          <w:p>
            <w:r>
              <w:rPr>
                <w:sz w:val="17"/>
              </w:rPr>
              <w:t>57.38%</w:t>
            </w:r>
          </w:p>
        </w:tc>
        <w:tc>
          <w:tcPr>
            <w:tcW w:type="dxa" w:w="1872"/>
            <w:tcMar>
              <w:top w:w="50" w:type="dxa"/>
              <w:bottom w:w="50" w:type="dxa"/>
              <w:left w:w="70" w:type="dxa"/>
              <w:right w:w="70" w:type="dxa"/>
            </w:tcMar>
            <w:shd w:fill="FFFFFF"/>
          </w:tcPr>
          <w:p>
            <w:r>
              <w:rPr>
                <w:sz w:val="17"/>
              </w:rPr>
              <w:t>53.49%</w:t>
            </w:r>
          </w:p>
        </w:tc>
      </w:tr>
      <w:tr>
        <w:trPr>
          <w:cantSplit/>
        </w:trPr>
        <w:tc>
          <w:tcPr>
            <w:tcW w:type="dxa" w:w="1872"/>
            <w:tcMar>
              <w:top w:w="50" w:type="dxa"/>
              <w:bottom w:w="50" w:type="dxa"/>
              <w:left w:w="70" w:type="dxa"/>
              <w:right w:w="70" w:type="dxa"/>
            </w:tcMar>
            <w:shd w:fill="F2F4F8"/>
          </w:tcPr>
          <w:p>
            <w:r>
              <w:rPr>
                <w:b/>
                <w:sz w:val="17"/>
              </w:rPr>
              <w:t>KNN (K = 5, StandardScaler)</w:t>
            </w:r>
          </w:p>
        </w:tc>
        <w:tc>
          <w:tcPr>
            <w:tcW w:type="dxa" w:w="1872"/>
            <w:tcMar>
              <w:top w:w="50" w:type="dxa"/>
              <w:bottom w:w="50" w:type="dxa"/>
              <w:left w:w="70" w:type="dxa"/>
              <w:right w:w="70" w:type="dxa"/>
            </w:tcMar>
            <w:shd w:fill="F2F4F8"/>
          </w:tcPr>
          <w:p>
            <w:r>
              <w:rPr>
                <w:sz w:val="17"/>
              </w:rPr>
              <w:t>53.85%</w:t>
            </w:r>
          </w:p>
        </w:tc>
        <w:tc>
          <w:tcPr>
            <w:tcW w:type="dxa" w:w="1872"/>
            <w:tcMar>
              <w:top w:w="50" w:type="dxa"/>
              <w:bottom w:w="50" w:type="dxa"/>
              <w:left w:w="70" w:type="dxa"/>
              <w:right w:w="70" w:type="dxa"/>
            </w:tcMar>
            <w:shd w:fill="F2F4F8"/>
          </w:tcPr>
          <w:p>
            <w:r>
              <w:rPr>
                <w:sz w:val="17"/>
              </w:rPr>
              <w:t>46.15%</w:t>
            </w:r>
          </w:p>
        </w:tc>
        <w:tc>
          <w:tcPr>
            <w:tcW w:type="dxa" w:w="1872"/>
            <w:tcMar>
              <w:top w:w="50" w:type="dxa"/>
              <w:bottom w:w="50" w:type="dxa"/>
              <w:left w:w="70" w:type="dxa"/>
              <w:right w:w="70" w:type="dxa"/>
            </w:tcMar>
            <w:shd w:fill="F2F4F8"/>
          </w:tcPr>
          <w:p>
            <w:r>
              <w:rPr>
                <w:sz w:val="17"/>
              </w:rPr>
              <w:t>59.02%</w:t>
            </w:r>
          </w:p>
        </w:tc>
        <w:tc>
          <w:tcPr>
            <w:tcW w:type="dxa" w:w="1872"/>
            <w:tcMar>
              <w:top w:w="50" w:type="dxa"/>
              <w:bottom w:w="50" w:type="dxa"/>
              <w:left w:w="70" w:type="dxa"/>
              <w:right w:w="70" w:type="dxa"/>
            </w:tcMar>
            <w:shd w:fill="F2F4F8"/>
          </w:tcPr>
          <w:p>
            <w:r>
              <w:rPr>
                <w:sz w:val="17"/>
              </w:rPr>
              <w:t>46.51%</w:t>
            </w:r>
          </w:p>
        </w:tc>
      </w:tr>
      <w:tr>
        <w:trPr>
          <w:cantSplit/>
        </w:trPr>
        <w:tc>
          <w:tcPr>
            <w:tcW w:type="dxa" w:w="1872"/>
            <w:tcMar>
              <w:top w:w="50" w:type="dxa"/>
              <w:bottom w:w="50" w:type="dxa"/>
              <w:left w:w="70" w:type="dxa"/>
              <w:right w:w="70" w:type="dxa"/>
            </w:tcMar>
            <w:shd w:fill="FFFFFF"/>
          </w:tcPr>
          <w:p>
            <w:r>
              <w:rPr>
                <w:b/>
                <w:sz w:val="17"/>
              </w:rPr>
              <w:t>KNN (K = 9, StandardScaler)</w:t>
            </w:r>
          </w:p>
        </w:tc>
        <w:tc>
          <w:tcPr>
            <w:tcW w:type="dxa" w:w="1872"/>
            <w:tcMar>
              <w:top w:w="50" w:type="dxa"/>
              <w:bottom w:w="50" w:type="dxa"/>
              <w:left w:w="70" w:type="dxa"/>
              <w:right w:w="70" w:type="dxa"/>
            </w:tcMar>
            <w:shd w:fill="FFFFFF"/>
          </w:tcPr>
          <w:p>
            <w:r>
              <w:rPr>
                <w:sz w:val="17"/>
              </w:rPr>
              <w:t>57.69%</w:t>
            </w:r>
          </w:p>
        </w:tc>
        <w:tc>
          <w:tcPr>
            <w:tcW w:type="dxa" w:w="1872"/>
            <w:tcMar>
              <w:top w:w="50" w:type="dxa"/>
              <w:bottom w:w="50" w:type="dxa"/>
              <w:left w:w="70" w:type="dxa"/>
              <w:right w:w="70" w:type="dxa"/>
            </w:tcMar>
            <w:shd w:fill="FFFFFF"/>
          </w:tcPr>
          <w:p>
            <w:r>
              <w:rPr>
                <w:sz w:val="17"/>
              </w:rPr>
              <w:t>42.31%</w:t>
            </w:r>
          </w:p>
        </w:tc>
        <w:tc>
          <w:tcPr>
            <w:tcW w:type="dxa" w:w="1872"/>
            <w:tcMar>
              <w:top w:w="50" w:type="dxa"/>
              <w:bottom w:w="50" w:type="dxa"/>
              <w:left w:w="70" w:type="dxa"/>
              <w:right w:w="70" w:type="dxa"/>
            </w:tcMar>
            <w:shd w:fill="FFFFFF"/>
          </w:tcPr>
          <w:p>
            <w:r>
              <w:rPr>
                <w:sz w:val="17"/>
              </w:rPr>
              <w:t>67.21%</w:t>
            </w:r>
          </w:p>
        </w:tc>
        <w:tc>
          <w:tcPr>
            <w:tcW w:type="dxa" w:w="1872"/>
            <w:tcMar>
              <w:top w:w="50" w:type="dxa"/>
              <w:bottom w:w="50" w:type="dxa"/>
              <w:left w:w="70" w:type="dxa"/>
              <w:right w:w="70" w:type="dxa"/>
            </w:tcMar>
            <w:shd w:fill="FFFFFF"/>
          </w:tcPr>
          <w:p>
            <w:r>
              <w:rPr>
                <w:sz w:val="17"/>
              </w:rPr>
              <w:t>44.19%</w:t>
            </w:r>
          </w:p>
        </w:tc>
      </w:tr>
    </w:tbl>
    <w:p>
      <w:pPr>
        <w:spacing w:before="80"/>
      </w:pPr>
    </w:p>
    <w:p>
      <w:pPr>
        <w:jc w:val="center"/>
      </w:pPr>
      <w:r>
        <w:drawing>
          <wp:inline xmlns:a="http://schemas.openxmlformats.org/drawingml/2006/main" xmlns:pic="http://schemas.openxmlformats.org/drawingml/2006/picture">
            <wp:extent cx="5303520" cy="2778034"/>
            <wp:docPr id="2" name="Picture 2"/>
            <wp:cNvGraphicFramePr>
              <a:graphicFrameLocks noChangeAspect="1"/>
            </wp:cNvGraphicFramePr>
            <a:graphic>
              <a:graphicData uri="http://schemas.openxmlformats.org/drawingml/2006/picture">
                <pic:pic>
                  <pic:nvPicPr>
                    <pic:cNvPr id="0" name="fig_ex2_model_accuracy_comparison.png"/>
                    <pic:cNvPicPr/>
                  </pic:nvPicPr>
                  <pic:blipFill>
                    <a:blip r:embed="rId10"/>
                    <a:stretch>
                      <a:fillRect/>
                    </a:stretch>
                  </pic:blipFill>
                  <pic:spPr>
                    <a:xfrm>
                      <a:off x="0" y="0"/>
                      <a:ext cx="5303520" cy="2778034"/>
                    </a:xfrm>
                    <a:prstGeom prst="rect"/>
                  </pic:spPr>
                </pic:pic>
              </a:graphicData>
            </a:graphic>
          </wp:inline>
        </w:drawing>
      </w:r>
    </w:p>
    <w:p>
      <w:pPr>
        <w:spacing w:after="160"/>
        <w:jc w:val="center"/>
      </w:pPr>
      <w:r>
        <w:rPr>
          <w:i/>
          <w:sz w:val="18"/>
        </w:rPr>
        <w:t>Figure 2.1: Holdout Test Accuracy on 2009–2010 Holdout Sample across Classifiers.</w:t>
      </w:r>
    </w:p>
    <w:p>
      <w:pPr>
        <w:pStyle w:val="Heading2"/>
      </w:pPr>
      <w:r>
        <w:t>(b) Statistical Assessment &amp; Model Exploration</w:t>
      </w:r>
    </w:p>
    <w:p>
      <w:r>
        <w:rPr>
          <w:b/>
        </w:rPr>
        <w:t xml:space="preserve">• Best Performing Models: </w:t>
      </w:r>
      <w:r>
        <w:rPr>
          <w:sz w:val="20"/>
        </w:rPr>
        <w:t xml:space="preserve">Logistic Regression and LDA tie for the highest out-of-sample accuracy at </w:t>
      </w:r>
      <w:r>
        <w:rPr>
          <w:b/>
        </w:rPr>
        <w:t>62.50%</w:t>
      </w:r>
      <w:r>
        <w:t xml:space="preserve"> (Test Error = 37.50%). Both methods produce virtually identical linear decision boundaries.</w:t>
        <w:br/>
      </w:r>
      <w:r>
        <w:rPr>
          <w:b/>
        </w:rPr>
        <w:t xml:space="preserve">• Pathological Behavior in QDA and Naive Bayes: </w:t>
      </w:r>
      <w:r>
        <w:t>Both QDA and Gaussian Naive Bayes achieve 58.65% by predicting 'Up' for all 104 test weeks (Specificity = 0%), perfectly matching the null rate (61 Up / 104 weeks). This demonstrates that with low signal-to-noise ratios, non-linear classifiers can degenerate into trivial majority-class predictors.</w:t>
        <w:br/>
      </w:r>
      <w:r>
        <w:rPr>
          <w:b/>
        </w:rPr>
        <w:t xml:space="preserve">• Overfitting in KNN (K=1): </w:t>
      </w:r>
      <w:r>
        <w:t>KNN with K = 1 achieves exactly 50.00% accuracy (no better than a coin toss). Fitting to individual noisy nearest neighbors introduces massive variance. Increasing K to 9 stabilizes the boundary and raises accuracy to 57.69%.</w:t>
        <w:br/>
      </w:r>
      <w:r>
        <w:rPr>
          <w:b/>
        </w:rPr>
        <w:t xml:space="preserve">• Experiments with Transformations and Interactions: </w:t>
      </w:r>
      <w:r>
        <w:t>Adding non-linear terms (Lag2²) or interactions (Lag1 × Lag2) fails to improve test accuracy (hovering between 55.77% and 58.65%), proving that the parsimonious linear model with Lag2 remains optimal.</w:t>
      </w:r>
    </w:p>
    <w:p>
      <w:pPr>
        <w:pStyle w:val="Heading1"/>
        <w:keepNext/>
        <w:spacing w:before="280" w:after="120"/>
      </w:pPr>
      <w:r>
        <w:t>4. Exercise 3 – Gas Mileage Prediction (Auto Dataset: mpg01)</w:t>
      </w:r>
    </w:p>
    <w:p>
      <w:r>
        <w:rPr>
          <w:sz w:val="20"/>
        </w:rPr>
        <w:t xml:space="preserve">The </w:t>
      </w:r>
      <w:r>
        <w:rPr>
          <w:b/>
        </w:rPr>
        <w:t>Auto</w:t>
      </w:r>
      <w:r>
        <w:t xml:space="preserve"> dataset (392 observations) is used to predict whether a vehicle achieves high or low gas mileage.</w:t>
      </w:r>
    </w:p>
    <w:p>
      <w:pPr>
        <w:pStyle w:val="Heading2"/>
      </w:pPr>
      <w:r>
        <w:t>(a) &amp; (b) Target Variable mpg01 &amp; Feature Association</w:t>
      </w:r>
    </w:p>
    <w:p>
      <w:r>
        <w:rPr>
          <w:sz w:val="20"/>
        </w:rPr>
        <w:t xml:space="preserve">The median mileage is </w:t>
      </w:r>
      <w:r>
        <w:rPr>
          <w:b/>
        </w:rPr>
        <w:t>22.75 MPG</w:t>
      </w:r>
      <w:r>
        <w:t>. Vehicles with mpg &gt; 22.75 are coded as mpg01 = 1 (196 vehicles); otherwise mpg01 = 0 (196 vehicles). Pearson correlation coefficients with mpg01:</w:t>
      </w:r>
    </w:p>
    <w:p>
      <w:pPr>
        <w:pStyle w:val="ListBullet"/>
      </w:pPr>
      <w:r>
        <w:rPr>
          <w:b/>
        </w:rPr>
        <w:t xml:space="preserve">cylinders (Number of cylinders): </w:t>
      </w:r>
      <w:r>
        <w:t>r = -0.7591 (Strong negative correlation)</w:t>
      </w:r>
    </w:p>
    <w:p>
      <w:pPr>
        <w:pStyle w:val="ListBullet"/>
      </w:pPr>
      <w:r>
        <w:rPr>
          <w:b/>
        </w:rPr>
        <w:t xml:space="preserve">displacement (Engine displacement): </w:t>
      </w:r>
      <w:r>
        <w:t>r = -0.7535 (Strong negative correlation)</w:t>
      </w:r>
    </w:p>
    <w:p>
      <w:pPr>
        <w:pStyle w:val="ListBullet"/>
      </w:pPr>
      <w:r>
        <w:rPr>
          <w:b/>
        </w:rPr>
        <w:t xml:space="preserve">weight (Vehicle curb weight): </w:t>
      </w:r>
      <w:r>
        <w:t>r = -0.7578 (Strong negative correlation)</w:t>
      </w:r>
    </w:p>
    <w:p>
      <w:pPr>
        <w:pStyle w:val="ListBullet"/>
      </w:pPr>
      <w:r>
        <w:rPr>
          <w:b/>
        </w:rPr>
        <w:t xml:space="preserve">horsepower (Engine horsepower): </w:t>
      </w:r>
      <w:r>
        <w:t>r = -0.6671 (Strong negative correlation)</w:t>
      </w:r>
    </w:p>
    <w:p>
      <w:pPr>
        <w:pStyle w:val="ListBullet"/>
      </w:pPr>
      <w:r>
        <w:rPr>
          <w:b/>
        </w:rPr>
        <w:t xml:space="preserve">acceleration (0-60 mph time): </w:t>
      </w:r>
      <w:r>
        <w:t>r = +0.3468 (Moderate positive correlation)</w:t>
      </w:r>
    </w:p>
    <w:p>
      <w:pPr>
        <w:pStyle w:val="ListBullet"/>
      </w:pPr>
      <w:r>
        <w:rPr>
          <w:b/>
        </w:rPr>
        <w:t xml:space="preserve">year (Model year): </w:t>
      </w:r>
      <w:r>
        <w:t>r = +0.4299 (Moderate positive correlation)</w:t>
      </w:r>
    </w:p>
    <w:p>
      <w:pPr>
        <w:spacing w:before="80"/>
      </w:pPr>
    </w:p>
    <w:p>
      <w:pPr>
        <w:jc w:val="center"/>
      </w:pPr>
      <w:r>
        <w:drawing>
          <wp:inline xmlns:a="http://schemas.openxmlformats.org/drawingml/2006/main" xmlns:pic="http://schemas.openxmlformats.org/drawingml/2006/picture">
            <wp:extent cx="5303520" cy="1928405"/>
            <wp:docPr id="3" name="Picture 3"/>
            <wp:cNvGraphicFramePr>
              <a:graphicFrameLocks noChangeAspect="1"/>
            </wp:cNvGraphicFramePr>
            <a:graphic>
              <a:graphicData uri="http://schemas.openxmlformats.org/drawingml/2006/picture">
                <pic:pic>
                  <pic:nvPicPr>
                    <pic:cNvPr id="0" name="fig_ex3_mpg01_boxplots.png"/>
                    <pic:cNvPicPr/>
                  </pic:nvPicPr>
                  <pic:blipFill>
                    <a:blip r:embed="rId11"/>
                    <a:stretch>
                      <a:fillRect/>
                    </a:stretch>
                  </pic:blipFill>
                  <pic:spPr>
                    <a:xfrm>
                      <a:off x="0" y="0"/>
                      <a:ext cx="5303520" cy="1928405"/>
                    </a:xfrm>
                    <a:prstGeom prst="rect"/>
                  </pic:spPr>
                </pic:pic>
              </a:graphicData>
            </a:graphic>
          </wp:inline>
        </w:drawing>
      </w:r>
    </w:p>
    <w:p>
      <w:pPr>
        <w:spacing w:after="160"/>
        <w:jc w:val="center"/>
      </w:pPr>
      <w:r>
        <w:rPr>
          <w:i/>
          <w:sz w:val="18"/>
        </w:rPr>
        <w:t>Figure 3.1: Distribution of key engine features stratified by gas mileage class (mpg01).</w:t>
      </w:r>
    </w:p>
    <w:p>
      <w:pPr>
        <w:pStyle w:val="Heading2"/>
      </w:pPr>
      <w:r>
        <w:t>(c) – (h) Model Evaluation on Holdout Test Set (70/30 Split)</w:t>
      </w:r>
    </w:p>
    <w:p>
      <w:r>
        <w:t>Dataset split (seed = 0): 274 training samples (70%) and 118 test samples (30%). Predictors: cylinders, displacement, horsepower, weight: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3864"/>
            <w:tcMar>
              <w:top w:w="70" w:type="dxa"/>
              <w:bottom w:w="70" w:type="dxa"/>
              <w:left w:w="70" w:type="dxa"/>
              <w:right w:w="70" w:type="dxa"/>
            </w:tcMar>
          </w:tcPr>
          <w:p>
            <w:r>
              <w:rPr>
                <w:b/>
                <w:color w:val="FFFFFF"/>
                <w:sz w:val="17"/>
              </w:rPr>
              <w:t>Classifier Method</w:t>
            </w:r>
          </w:p>
        </w:tc>
        <w:tc>
          <w:tcPr>
            <w:tcW w:type="dxa" w:w="2340"/>
            <w:shd w:fill="1F3864"/>
            <w:tcMar>
              <w:top w:w="70" w:type="dxa"/>
              <w:bottom w:w="70" w:type="dxa"/>
              <w:left w:w="70" w:type="dxa"/>
              <w:right w:w="70" w:type="dxa"/>
            </w:tcMar>
          </w:tcPr>
          <w:p>
            <w:r>
              <w:rPr>
                <w:b/>
                <w:color w:val="FFFFFF"/>
                <w:sz w:val="17"/>
              </w:rPr>
              <w:t>Misclassifications (Errors / 118)</w:t>
            </w:r>
          </w:p>
        </w:tc>
        <w:tc>
          <w:tcPr>
            <w:tcW w:type="dxa" w:w="2340"/>
            <w:shd w:fill="1F3864"/>
            <w:tcMar>
              <w:top w:w="70" w:type="dxa"/>
              <w:bottom w:w="70" w:type="dxa"/>
              <w:left w:w="70" w:type="dxa"/>
              <w:right w:w="70" w:type="dxa"/>
            </w:tcMar>
          </w:tcPr>
          <w:p>
            <w:r>
              <w:rPr>
                <w:b/>
                <w:color w:val="FFFFFF"/>
                <w:sz w:val="17"/>
              </w:rPr>
              <w:t>Test Error Rate</w:t>
            </w:r>
          </w:p>
        </w:tc>
        <w:tc>
          <w:tcPr>
            <w:tcW w:type="dxa" w:w="2340"/>
            <w:shd w:fill="1F3864"/>
            <w:tcMar>
              <w:top w:w="70" w:type="dxa"/>
              <w:bottom w:w="70" w:type="dxa"/>
              <w:left w:w="70" w:type="dxa"/>
              <w:right w:w="70" w:type="dxa"/>
            </w:tcMar>
          </w:tcPr>
          <w:p>
            <w:r>
              <w:rPr>
                <w:b/>
                <w:color w:val="FFFFFF"/>
                <w:sz w:val="17"/>
              </w:rPr>
              <w:t>Test Accuracy</w:t>
            </w:r>
          </w:p>
        </w:tc>
      </w:tr>
      <w:tr>
        <w:trPr>
          <w:cantSplit/>
        </w:trPr>
        <w:tc>
          <w:tcPr>
            <w:tcW w:type="dxa" w:w="2340"/>
            <w:tcMar>
              <w:top w:w="50" w:type="dxa"/>
              <w:bottom w:w="50" w:type="dxa"/>
              <w:left w:w="70" w:type="dxa"/>
              <w:right w:w="70" w:type="dxa"/>
            </w:tcMar>
            <w:shd w:fill="F2F4F8"/>
          </w:tcPr>
          <w:p>
            <w:r>
              <w:rPr>
                <w:b/>
                <w:sz w:val="17"/>
              </w:rPr>
              <w:t>(d) LDA</w:t>
            </w:r>
          </w:p>
        </w:tc>
        <w:tc>
          <w:tcPr>
            <w:tcW w:type="dxa" w:w="2340"/>
            <w:tcMar>
              <w:top w:w="50" w:type="dxa"/>
              <w:bottom w:w="50" w:type="dxa"/>
              <w:left w:w="70" w:type="dxa"/>
              <w:right w:w="70" w:type="dxa"/>
            </w:tcMar>
            <w:shd w:fill="F2F4F8"/>
          </w:tcPr>
          <w:p>
            <w:r>
              <w:rPr>
                <w:sz w:val="17"/>
              </w:rPr>
              <w:t>12 / 118</w:t>
            </w:r>
          </w:p>
        </w:tc>
        <w:tc>
          <w:tcPr>
            <w:tcW w:type="dxa" w:w="2340"/>
            <w:tcMar>
              <w:top w:w="50" w:type="dxa"/>
              <w:bottom w:w="50" w:type="dxa"/>
              <w:left w:w="70" w:type="dxa"/>
              <w:right w:w="70" w:type="dxa"/>
            </w:tcMar>
            <w:shd w:fill="F2F4F8"/>
          </w:tcPr>
          <w:p>
            <w:r>
              <w:rPr>
                <w:b/>
                <w:sz w:val="17"/>
              </w:rPr>
              <w:t>10.17%</w:t>
            </w:r>
          </w:p>
        </w:tc>
        <w:tc>
          <w:tcPr>
            <w:tcW w:type="dxa" w:w="2340"/>
            <w:tcMar>
              <w:top w:w="50" w:type="dxa"/>
              <w:bottom w:w="50" w:type="dxa"/>
              <w:left w:w="70" w:type="dxa"/>
              <w:right w:w="70" w:type="dxa"/>
            </w:tcMar>
            <w:shd w:fill="F2F4F8"/>
          </w:tcPr>
          <w:p>
            <w:r>
              <w:rPr>
                <w:sz w:val="17"/>
              </w:rPr>
              <w:t>89.83% (Optimal)</w:t>
            </w:r>
          </w:p>
        </w:tc>
      </w:tr>
      <w:tr>
        <w:trPr>
          <w:cantSplit/>
        </w:trPr>
        <w:tc>
          <w:tcPr>
            <w:tcW w:type="dxa" w:w="2340"/>
            <w:tcMar>
              <w:top w:w="50" w:type="dxa"/>
              <w:bottom w:w="50" w:type="dxa"/>
              <w:left w:w="70" w:type="dxa"/>
              <w:right w:w="70" w:type="dxa"/>
            </w:tcMar>
            <w:shd w:fill="FFFFFF"/>
          </w:tcPr>
          <w:p>
            <w:r>
              <w:rPr>
                <w:b/>
                <w:sz w:val="17"/>
              </w:rPr>
              <w:t>(e) QDA</w:t>
            </w:r>
          </w:p>
        </w:tc>
        <w:tc>
          <w:tcPr>
            <w:tcW w:type="dxa" w:w="2340"/>
            <w:tcMar>
              <w:top w:w="50" w:type="dxa"/>
              <w:bottom w:w="50" w:type="dxa"/>
              <w:left w:w="70" w:type="dxa"/>
              <w:right w:w="70" w:type="dxa"/>
            </w:tcMar>
            <w:shd w:fill="FFFFFF"/>
          </w:tcPr>
          <w:p>
            <w:r>
              <w:rPr>
                <w:sz w:val="17"/>
              </w:rPr>
              <w:t>13 / 118</w:t>
            </w:r>
          </w:p>
        </w:tc>
        <w:tc>
          <w:tcPr>
            <w:tcW w:type="dxa" w:w="2340"/>
            <w:tcMar>
              <w:top w:w="50" w:type="dxa"/>
              <w:bottom w:w="50" w:type="dxa"/>
              <w:left w:w="70" w:type="dxa"/>
              <w:right w:w="70" w:type="dxa"/>
            </w:tcMar>
            <w:shd w:fill="FFFFFF"/>
          </w:tcPr>
          <w:p>
            <w:r>
              <w:rPr>
                <w:b/>
                <w:sz w:val="17"/>
              </w:rPr>
              <w:t>11.02%</w:t>
            </w:r>
          </w:p>
        </w:tc>
        <w:tc>
          <w:tcPr>
            <w:tcW w:type="dxa" w:w="2340"/>
            <w:tcMar>
              <w:top w:w="50" w:type="dxa"/>
              <w:bottom w:w="50" w:type="dxa"/>
              <w:left w:w="70" w:type="dxa"/>
              <w:right w:w="70" w:type="dxa"/>
            </w:tcMar>
            <w:shd w:fill="FFFFFF"/>
          </w:tcPr>
          <w:p>
            <w:r>
              <w:rPr>
                <w:sz w:val="17"/>
              </w:rPr>
              <w:t>88.98%</w:t>
            </w:r>
          </w:p>
        </w:tc>
      </w:tr>
      <w:tr>
        <w:trPr>
          <w:cantSplit/>
        </w:trPr>
        <w:tc>
          <w:tcPr>
            <w:tcW w:type="dxa" w:w="2340"/>
            <w:tcMar>
              <w:top w:w="50" w:type="dxa"/>
              <w:bottom w:w="50" w:type="dxa"/>
              <w:left w:w="70" w:type="dxa"/>
              <w:right w:w="70" w:type="dxa"/>
            </w:tcMar>
            <w:shd w:fill="F2F4F8"/>
          </w:tcPr>
          <w:p>
            <w:r>
              <w:rPr>
                <w:b/>
                <w:sz w:val="17"/>
              </w:rPr>
              <w:t>(f) Logistic Regression</w:t>
            </w:r>
          </w:p>
        </w:tc>
        <w:tc>
          <w:tcPr>
            <w:tcW w:type="dxa" w:w="2340"/>
            <w:tcMar>
              <w:top w:w="50" w:type="dxa"/>
              <w:bottom w:w="50" w:type="dxa"/>
              <w:left w:w="70" w:type="dxa"/>
              <w:right w:w="70" w:type="dxa"/>
            </w:tcMar>
            <w:shd w:fill="F2F4F8"/>
          </w:tcPr>
          <w:p>
            <w:r>
              <w:rPr>
                <w:sz w:val="17"/>
              </w:rPr>
              <w:t>12 / 118</w:t>
            </w:r>
          </w:p>
        </w:tc>
        <w:tc>
          <w:tcPr>
            <w:tcW w:type="dxa" w:w="2340"/>
            <w:tcMar>
              <w:top w:w="50" w:type="dxa"/>
              <w:bottom w:w="50" w:type="dxa"/>
              <w:left w:w="70" w:type="dxa"/>
              <w:right w:w="70" w:type="dxa"/>
            </w:tcMar>
            <w:shd w:fill="F2F4F8"/>
          </w:tcPr>
          <w:p>
            <w:r>
              <w:rPr>
                <w:b/>
                <w:sz w:val="17"/>
              </w:rPr>
              <w:t>10.17%</w:t>
            </w:r>
          </w:p>
        </w:tc>
        <w:tc>
          <w:tcPr>
            <w:tcW w:type="dxa" w:w="2340"/>
            <w:tcMar>
              <w:top w:w="50" w:type="dxa"/>
              <w:bottom w:w="50" w:type="dxa"/>
              <w:left w:w="70" w:type="dxa"/>
              <w:right w:w="70" w:type="dxa"/>
            </w:tcMar>
            <w:shd w:fill="F2F4F8"/>
          </w:tcPr>
          <w:p>
            <w:r>
              <w:rPr>
                <w:sz w:val="17"/>
              </w:rPr>
              <w:t>89.83% (Optimal)</w:t>
            </w:r>
          </w:p>
        </w:tc>
      </w:tr>
      <w:tr>
        <w:trPr>
          <w:cantSplit/>
        </w:trPr>
        <w:tc>
          <w:tcPr>
            <w:tcW w:type="dxa" w:w="2340"/>
            <w:tcMar>
              <w:top w:w="50" w:type="dxa"/>
              <w:bottom w:w="50" w:type="dxa"/>
              <w:left w:w="70" w:type="dxa"/>
              <w:right w:w="70" w:type="dxa"/>
            </w:tcMar>
            <w:shd w:fill="FFFFFF"/>
          </w:tcPr>
          <w:p>
            <w:r>
              <w:rPr>
                <w:b/>
                <w:sz w:val="17"/>
              </w:rPr>
              <w:t>(g) Gaussian Naive Bayes</w:t>
            </w:r>
          </w:p>
        </w:tc>
        <w:tc>
          <w:tcPr>
            <w:tcW w:type="dxa" w:w="2340"/>
            <w:tcMar>
              <w:top w:w="50" w:type="dxa"/>
              <w:bottom w:w="50" w:type="dxa"/>
              <w:left w:w="70" w:type="dxa"/>
              <w:right w:w="70" w:type="dxa"/>
            </w:tcMar>
            <w:shd w:fill="FFFFFF"/>
          </w:tcPr>
          <w:p>
            <w:r>
              <w:rPr>
                <w:sz w:val="17"/>
              </w:rPr>
              <w:t>13 / 118</w:t>
            </w:r>
          </w:p>
        </w:tc>
        <w:tc>
          <w:tcPr>
            <w:tcW w:type="dxa" w:w="2340"/>
            <w:tcMar>
              <w:top w:w="50" w:type="dxa"/>
              <w:bottom w:w="50" w:type="dxa"/>
              <w:left w:w="70" w:type="dxa"/>
              <w:right w:w="70" w:type="dxa"/>
            </w:tcMar>
            <w:shd w:fill="FFFFFF"/>
          </w:tcPr>
          <w:p>
            <w:r>
              <w:rPr>
                <w:b/>
                <w:sz w:val="17"/>
              </w:rPr>
              <w:t>11.02%</w:t>
            </w:r>
          </w:p>
        </w:tc>
        <w:tc>
          <w:tcPr>
            <w:tcW w:type="dxa" w:w="2340"/>
            <w:tcMar>
              <w:top w:w="50" w:type="dxa"/>
              <w:bottom w:w="50" w:type="dxa"/>
              <w:left w:w="70" w:type="dxa"/>
              <w:right w:w="70" w:type="dxa"/>
            </w:tcMar>
            <w:shd w:fill="FFFFFF"/>
          </w:tcPr>
          <w:p>
            <w:r>
              <w:rPr>
                <w:sz w:val="17"/>
              </w:rPr>
              <w:t>88.98%</w:t>
            </w:r>
          </w:p>
        </w:tc>
      </w:tr>
      <w:tr>
        <w:trPr>
          <w:cantSplit/>
        </w:trPr>
        <w:tc>
          <w:tcPr>
            <w:tcW w:type="dxa" w:w="2340"/>
            <w:tcMar>
              <w:top w:w="50" w:type="dxa"/>
              <w:bottom w:w="50" w:type="dxa"/>
              <w:left w:w="70" w:type="dxa"/>
              <w:right w:w="70" w:type="dxa"/>
            </w:tcMar>
            <w:shd w:fill="F2F4F8"/>
          </w:tcPr>
          <w:p>
            <w:r>
              <w:rPr>
                <w:b/>
                <w:sz w:val="17"/>
              </w:rPr>
              <w:t>(h) KNN (Optimal at K = 7)</w:t>
            </w:r>
          </w:p>
        </w:tc>
        <w:tc>
          <w:tcPr>
            <w:tcW w:type="dxa" w:w="2340"/>
            <w:tcMar>
              <w:top w:w="50" w:type="dxa"/>
              <w:bottom w:w="50" w:type="dxa"/>
              <w:left w:w="70" w:type="dxa"/>
              <w:right w:w="70" w:type="dxa"/>
            </w:tcMar>
            <w:shd w:fill="F2F4F8"/>
          </w:tcPr>
          <w:p>
            <w:r>
              <w:rPr>
                <w:sz w:val="17"/>
              </w:rPr>
              <w:t>14 / 118</w:t>
            </w:r>
          </w:p>
        </w:tc>
        <w:tc>
          <w:tcPr>
            <w:tcW w:type="dxa" w:w="2340"/>
            <w:tcMar>
              <w:top w:w="50" w:type="dxa"/>
              <w:bottom w:w="50" w:type="dxa"/>
              <w:left w:w="70" w:type="dxa"/>
              <w:right w:w="70" w:type="dxa"/>
            </w:tcMar>
            <w:shd w:fill="F2F4F8"/>
          </w:tcPr>
          <w:p>
            <w:r>
              <w:rPr>
                <w:b/>
                <w:sz w:val="17"/>
              </w:rPr>
              <w:t>11.86%</w:t>
            </w:r>
          </w:p>
        </w:tc>
        <w:tc>
          <w:tcPr>
            <w:tcW w:type="dxa" w:w="2340"/>
            <w:tcMar>
              <w:top w:w="50" w:type="dxa"/>
              <w:bottom w:w="50" w:type="dxa"/>
              <w:left w:w="70" w:type="dxa"/>
              <w:right w:w="70" w:type="dxa"/>
            </w:tcMar>
            <w:shd w:fill="F2F4F8"/>
          </w:tcPr>
          <w:p>
            <w:r>
              <w:rPr>
                <w:sz w:val="17"/>
              </w:rPr>
              <w:t>88.14%</w:t>
            </w:r>
          </w:p>
        </w:tc>
      </w:tr>
    </w:tbl>
    <w:p>
      <w:pPr>
        <w:spacing w:before="80"/>
      </w:pPr>
    </w:p>
    <w:p>
      <w:pPr>
        <w:jc w:val="center"/>
      </w:pPr>
      <w:r>
        <w:drawing>
          <wp:inline xmlns:a="http://schemas.openxmlformats.org/drawingml/2006/main" xmlns:pic="http://schemas.openxmlformats.org/drawingml/2006/picture">
            <wp:extent cx="5029200" cy="2696817"/>
            <wp:docPr id="4" name="Picture 4"/>
            <wp:cNvGraphicFramePr>
              <a:graphicFrameLocks noChangeAspect="1"/>
            </wp:cNvGraphicFramePr>
            <a:graphic>
              <a:graphicData uri="http://schemas.openxmlformats.org/drawingml/2006/picture">
                <pic:pic>
                  <pic:nvPicPr>
                    <pic:cNvPr id="0" name="fig_ex3_knn_k_errors.png"/>
                    <pic:cNvPicPr/>
                  </pic:nvPicPr>
                  <pic:blipFill>
                    <a:blip r:embed="rId12"/>
                    <a:stretch>
                      <a:fillRect/>
                    </a:stretch>
                  </pic:blipFill>
                  <pic:spPr>
                    <a:xfrm>
                      <a:off x="0" y="0"/>
                      <a:ext cx="5029200" cy="2696817"/>
                    </a:xfrm>
                    <a:prstGeom prst="rect"/>
                  </pic:spPr>
                </pic:pic>
              </a:graphicData>
            </a:graphic>
          </wp:inline>
        </w:drawing>
      </w:r>
    </w:p>
    <w:p>
      <w:pPr>
        <w:spacing w:after="160"/>
        <w:jc w:val="center"/>
      </w:pPr>
      <w:r>
        <w:rPr>
          <w:i/>
          <w:sz w:val="18"/>
        </w:rPr>
        <w:t>Figure 3.2: KNN Test Error Rate as a function of the number of neighbors K.</w:t>
      </w:r>
    </w:p>
    <w:p>
      <w:r>
        <w:rPr>
          <w:b/>
        </w:rPr>
        <w:t xml:space="preserve">Summary: </w:t>
      </w:r>
      <w:r>
        <w:t>LDA and Logistic Regression achieve the lowest test error rate (10.17%, nearly 90% accuracy). For KNN, Figure 3.2 demonstrates that K = 7 delivers the best performance (11.86% error). Small K values suffer from local variance/overfitting, while large K values (&gt; 20) over-smooth the decision boundary.</w:t>
      </w:r>
    </w:p>
    <w:p>
      <w:pPr>
        <w:pStyle w:val="Heading1"/>
        <w:keepNext/>
        <w:spacing w:before="280" w:after="120"/>
      </w:pPr>
      <w:r>
        <w:t>5. Exercise 4 – Validation Set Error Stability on Default &amp; Simpson's Paradox</w:t>
      </w:r>
    </w:p>
    <w:p>
      <w:r>
        <w:rPr>
          <w:sz w:val="20"/>
        </w:rPr>
        <w:t xml:space="preserve">Analyzing 10,000 credit card accounts in the </w:t>
      </w:r>
      <w:r>
        <w:rPr>
          <w:b/>
        </w:rPr>
        <w:t>Default</w:t>
      </w:r>
      <w:r>
        <w:t xml:space="preserve"> dataset using the validation-set approach and examining the confounding role of the student indicator.</w:t>
      </w:r>
    </w:p>
    <w:p>
      <w:pPr>
        <w:pStyle w:val="Heading2"/>
      </w:pPr>
      <w:r>
        <w:t>(a) Baseline Logistic Regression (income + balance)</w:t>
      </w:r>
    </w:p>
    <w:p>
      <w:r>
        <w:t>Fitted on all 10,000 observations: balance is immensely significant (z = 24.74, p &lt; 0.0001), whereas income is non-significant once balance is controlled (z = 0.37, p = 0.7115).</w:t>
      </w:r>
    </w:p>
    <w:p>
      <w:pPr>
        <w:pStyle w:val="Heading2"/>
      </w:pPr>
      <w:r>
        <w:t>(b) &amp; (c) Validation Set Error Variability &amp; Adding student Indicator</w:t>
      </w:r>
    </w:p>
    <w:p>
      <w:r>
        <w:t>Evaluating across three distinct random split seeds (50% train / 50% validation):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shd w:fill="1F3864"/>
            <w:tcMar>
              <w:top w:w="60" w:type="dxa"/>
              <w:bottom w:w="60" w:type="dxa"/>
              <w:left w:w="80" w:type="dxa"/>
              <w:right w:w="80" w:type="dxa"/>
            </w:tcMar>
          </w:tcPr>
          <w:p>
            <w:r>
              <w:rPr>
                <w:b/>
                <w:color w:val="FFFFFF"/>
                <w:sz w:val="17"/>
              </w:rPr>
              <w:t>Split Seed (random_state)</w:t>
            </w:r>
          </w:p>
        </w:tc>
        <w:tc>
          <w:tcPr>
            <w:tcW w:type="dxa" w:w="2340"/>
            <w:shd w:fill="1F3864"/>
            <w:tcMar>
              <w:top w:w="60" w:type="dxa"/>
              <w:bottom w:w="60" w:type="dxa"/>
              <w:left w:w="80" w:type="dxa"/>
              <w:right w:w="80" w:type="dxa"/>
            </w:tcMar>
          </w:tcPr>
          <w:p>
            <w:r>
              <w:rPr>
                <w:b/>
                <w:color w:val="FFFFFF"/>
                <w:sz w:val="17"/>
              </w:rPr>
              <w:t>Val Error (income + balance)</w:t>
            </w:r>
          </w:p>
        </w:tc>
        <w:tc>
          <w:tcPr>
            <w:tcW w:type="dxa" w:w="2340"/>
            <w:shd w:fill="1F3864"/>
            <w:tcMar>
              <w:top w:w="60" w:type="dxa"/>
              <w:bottom w:w="60" w:type="dxa"/>
              <w:left w:w="80" w:type="dxa"/>
              <w:right w:w="80" w:type="dxa"/>
            </w:tcMar>
          </w:tcPr>
          <w:p>
            <w:r>
              <w:rPr>
                <w:b/>
                <w:color w:val="FFFFFF"/>
                <w:sz w:val="17"/>
              </w:rPr>
              <w:t>Val Error (+ student)</w:t>
            </w:r>
          </w:p>
        </w:tc>
        <w:tc>
          <w:tcPr>
            <w:tcW w:type="dxa" w:w="2340"/>
            <w:shd w:fill="1F3864"/>
            <w:tcMar>
              <w:top w:w="60" w:type="dxa"/>
              <w:bottom w:w="60" w:type="dxa"/>
              <w:left w:w="80" w:type="dxa"/>
              <w:right w:w="80" w:type="dxa"/>
            </w:tcMar>
          </w:tcPr>
          <w:p>
            <w:r>
              <w:rPr>
                <w:b/>
                <w:color w:val="FFFFFF"/>
                <w:sz w:val="17"/>
              </w:rPr>
              <w:t>Difference</w:t>
            </w:r>
          </w:p>
        </w:tc>
      </w:tr>
      <w:tr>
        <w:trPr>
          <w:cantSplit/>
        </w:trPr>
        <w:tc>
          <w:tcPr>
            <w:tcW w:type="dxa" w:w="2340"/>
            <w:tcMar>
              <w:top w:w="50" w:type="dxa"/>
              <w:bottom w:w="50" w:type="dxa"/>
              <w:left w:w="80" w:type="dxa"/>
              <w:right w:w="80" w:type="dxa"/>
            </w:tcMar>
            <w:shd w:fill="F2F4F8"/>
          </w:tcPr>
          <w:p>
            <w:r>
              <w:rPr>
                <w:b/>
                <w:sz w:val="17"/>
              </w:rPr>
              <w:t>Seed = 0</w:t>
            </w:r>
          </w:p>
        </w:tc>
        <w:tc>
          <w:tcPr>
            <w:tcW w:type="dxa" w:w="2340"/>
            <w:tcMar>
              <w:top w:w="50" w:type="dxa"/>
              <w:bottom w:w="50" w:type="dxa"/>
              <w:left w:w="80" w:type="dxa"/>
              <w:right w:w="80" w:type="dxa"/>
            </w:tcMar>
            <w:shd w:fill="F2F4F8"/>
          </w:tcPr>
          <w:p>
            <w:r>
              <w:rPr>
                <w:sz w:val="17"/>
              </w:rPr>
              <w:t>2.86%</w:t>
            </w:r>
          </w:p>
        </w:tc>
        <w:tc>
          <w:tcPr>
            <w:tcW w:type="dxa" w:w="2340"/>
            <w:tcMar>
              <w:top w:w="50" w:type="dxa"/>
              <w:bottom w:w="50" w:type="dxa"/>
              <w:left w:w="80" w:type="dxa"/>
              <w:right w:w="80" w:type="dxa"/>
            </w:tcMar>
            <w:shd w:fill="F2F4F8"/>
          </w:tcPr>
          <w:p>
            <w:r>
              <w:rPr>
                <w:sz w:val="17"/>
              </w:rPr>
              <w:t>2.84%</w:t>
            </w:r>
          </w:p>
        </w:tc>
        <w:tc>
          <w:tcPr>
            <w:tcW w:type="dxa" w:w="2340"/>
            <w:tcMar>
              <w:top w:w="50" w:type="dxa"/>
              <w:bottom w:w="50" w:type="dxa"/>
              <w:left w:w="80" w:type="dxa"/>
              <w:right w:w="80" w:type="dxa"/>
            </w:tcMar>
            <w:shd w:fill="F2F4F8"/>
          </w:tcPr>
          <w:p>
            <w:r>
              <w:rPr>
                <w:sz w:val="17"/>
              </w:rPr>
              <w:t>-0.02% (Negligible)</w:t>
            </w:r>
          </w:p>
        </w:tc>
      </w:tr>
      <w:tr>
        <w:trPr>
          <w:cantSplit/>
        </w:trPr>
        <w:tc>
          <w:tcPr>
            <w:tcW w:type="dxa" w:w="2340"/>
            <w:tcMar>
              <w:top w:w="50" w:type="dxa"/>
              <w:bottom w:w="50" w:type="dxa"/>
              <w:left w:w="80" w:type="dxa"/>
              <w:right w:w="80" w:type="dxa"/>
            </w:tcMar>
            <w:shd w:fill="FFFFFF"/>
          </w:tcPr>
          <w:p>
            <w:r>
              <w:rPr>
                <w:b/>
                <w:sz w:val="17"/>
              </w:rPr>
              <w:t>Seed = 1</w:t>
            </w:r>
          </w:p>
        </w:tc>
        <w:tc>
          <w:tcPr>
            <w:tcW w:type="dxa" w:w="2340"/>
            <w:tcMar>
              <w:top w:w="50" w:type="dxa"/>
              <w:bottom w:w="50" w:type="dxa"/>
              <w:left w:w="80" w:type="dxa"/>
              <w:right w:w="80" w:type="dxa"/>
            </w:tcMar>
            <w:shd w:fill="FFFFFF"/>
          </w:tcPr>
          <w:p>
            <w:r>
              <w:rPr>
                <w:sz w:val="17"/>
              </w:rPr>
              <w:t>2.36%</w:t>
            </w:r>
          </w:p>
        </w:tc>
        <w:tc>
          <w:tcPr>
            <w:tcW w:type="dxa" w:w="2340"/>
            <w:tcMar>
              <w:top w:w="50" w:type="dxa"/>
              <w:bottom w:w="50" w:type="dxa"/>
              <w:left w:w="80" w:type="dxa"/>
              <w:right w:w="80" w:type="dxa"/>
            </w:tcMar>
            <w:shd w:fill="FFFFFF"/>
          </w:tcPr>
          <w:p>
            <w:r>
              <w:rPr>
                <w:sz w:val="17"/>
              </w:rPr>
              <w:t>2.38%</w:t>
            </w:r>
          </w:p>
        </w:tc>
        <w:tc>
          <w:tcPr>
            <w:tcW w:type="dxa" w:w="2340"/>
            <w:tcMar>
              <w:top w:w="50" w:type="dxa"/>
              <w:bottom w:w="50" w:type="dxa"/>
              <w:left w:w="80" w:type="dxa"/>
              <w:right w:w="80" w:type="dxa"/>
            </w:tcMar>
            <w:shd w:fill="FFFFFF"/>
          </w:tcPr>
          <w:p>
            <w:r>
              <w:rPr>
                <w:sz w:val="17"/>
              </w:rPr>
              <w:t>+0.02% (Negligible)</w:t>
            </w:r>
          </w:p>
        </w:tc>
      </w:tr>
      <w:tr>
        <w:trPr>
          <w:cantSplit/>
        </w:trPr>
        <w:tc>
          <w:tcPr>
            <w:tcW w:type="dxa" w:w="2340"/>
            <w:tcMar>
              <w:top w:w="50" w:type="dxa"/>
              <w:bottom w:w="50" w:type="dxa"/>
              <w:left w:w="80" w:type="dxa"/>
              <w:right w:w="80" w:type="dxa"/>
            </w:tcMar>
            <w:shd w:fill="F2F4F8"/>
          </w:tcPr>
          <w:p>
            <w:r>
              <w:rPr>
                <w:b/>
                <w:sz w:val="17"/>
              </w:rPr>
              <w:t>Seed = 2</w:t>
            </w:r>
          </w:p>
        </w:tc>
        <w:tc>
          <w:tcPr>
            <w:tcW w:type="dxa" w:w="2340"/>
            <w:tcMar>
              <w:top w:w="50" w:type="dxa"/>
              <w:bottom w:w="50" w:type="dxa"/>
              <w:left w:w="80" w:type="dxa"/>
              <w:right w:w="80" w:type="dxa"/>
            </w:tcMar>
            <w:shd w:fill="F2F4F8"/>
          </w:tcPr>
          <w:p>
            <w:r>
              <w:rPr>
                <w:sz w:val="17"/>
              </w:rPr>
              <w:t>2.68%</w:t>
            </w:r>
          </w:p>
        </w:tc>
        <w:tc>
          <w:tcPr>
            <w:tcW w:type="dxa" w:w="2340"/>
            <w:tcMar>
              <w:top w:w="50" w:type="dxa"/>
              <w:bottom w:w="50" w:type="dxa"/>
              <w:left w:w="80" w:type="dxa"/>
              <w:right w:w="80" w:type="dxa"/>
            </w:tcMar>
            <w:shd w:fill="F2F4F8"/>
          </w:tcPr>
          <w:p>
            <w:r>
              <w:rPr>
                <w:sz w:val="17"/>
              </w:rPr>
              <w:t>2.66%</w:t>
            </w:r>
          </w:p>
        </w:tc>
        <w:tc>
          <w:tcPr>
            <w:tcW w:type="dxa" w:w="2340"/>
            <w:tcMar>
              <w:top w:w="50" w:type="dxa"/>
              <w:bottom w:w="50" w:type="dxa"/>
              <w:left w:w="80" w:type="dxa"/>
              <w:right w:w="80" w:type="dxa"/>
            </w:tcMar>
            <w:shd w:fill="F2F4F8"/>
          </w:tcPr>
          <w:p>
            <w:r>
              <w:rPr>
                <w:sz w:val="17"/>
              </w:rPr>
              <w:t>-0.02% (Negligible)</w:t>
            </w:r>
          </w:p>
        </w:tc>
      </w:tr>
    </w:tbl>
    <w:p>
      <w:pPr>
        <w:spacing w:before="120"/>
      </w:pPr>
      <w:r>
        <w:rPr>
          <w:b/>
        </w:rPr>
        <w:t xml:space="preserve">Variability Insight: </w:t>
      </w:r>
      <w:r>
        <w:t>Validation error varies between 2.36% and 2.86% across seeds, illustrating the inherent sampling variability of the validation-set approach. Adding the student dummy variable produces no substantive reduction in test error (~0.02% difference).</w:t>
      </w:r>
    </w:p>
    <w:p>
      <w:pPr>
        <w:pStyle w:val="Heading2"/>
      </w:pPr>
      <w:r>
        <w:t>(d) Odds Ratio Interpretation &amp; Resolution of Simpson's Paradox (Confounding)</w:t>
      </w:r>
    </w:p>
    <w:p>
      <w:r>
        <w:rPr>
          <w:sz w:val="20"/>
        </w:rPr>
        <w:t xml:space="preserve">In the multiple logistic model containing balance, income, and student, the student coefficient is </w:t>
      </w:r>
      <w:r>
        <w:rPr>
          <w:b/>
        </w:rPr>
        <w:t>β̂_student = -0.6468</w:t>
      </w:r>
      <w:r>
        <w:t xml:space="preserve"> (z = -2.74, p = 0.0062).</w:t>
      </w:r>
    </w:p>
    <w:p>
      <w:r>
        <w:rPr>
          <w:b/>
        </w:rPr>
        <w:t xml:space="preserve">• Odds Ratio: </w:t>
      </w:r>
      <w:r>
        <w:t>exp(β̂_student) = exp(-0.6468) = 0.5237 (or ~0.4892 depending on design matrix coding). Holding credit balance and income fixed, the odds of default for a student are only about 50% of the odds for a non-student.</w:t>
        <w:br/>
      </w:r>
      <w:r>
        <w:rPr>
          <w:b/>
        </w:rPr>
        <w:t xml:space="preserve">• Apparent Paradox: </w:t>
      </w:r>
      <w:r>
        <w:t>Why does a student have a lower default probability at any fixed balance, yet the overall aggregate default rate for students is substantially higher than for non-students (4.31% vs 2.93%)?</w:t>
      </w:r>
    </w:p>
    <w:p>
      <w:pPr>
        <w:spacing w:before="80"/>
      </w:pPr>
    </w:p>
    <w:p>
      <w:pPr>
        <w:jc w:val="center"/>
      </w:pPr>
      <w:r>
        <w:drawing>
          <wp:inline xmlns:a="http://schemas.openxmlformats.org/drawingml/2006/main" xmlns:pic="http://schemas.openxmlformats.org/drawingml/2006/picture">
            <wp:extent cx="5303520" cy="2344413"/>
            <wp:docPr id="5" name="Picture 5"/>
            <wp:cNvGraphicFramePr>
              <a:graphicFrameLocks noChangeAspect="1"/>
            </wp:cNvGraphicFramePr>
            <a:graphic>
              <a:graphicData uri="http://schemas.openxmlformats.org/drawingml/2006/picture">
                <pic:pic>
                  <pic:nvPicPr>
                    <pic:cNvPr id="0" name="fig_ex4_default_simpson_paradox.png"/>
                    <pic:cNvPicPr/>
                  </pic:nvPicPr>
                  <pic:blipFill>
                    <a:blip r:embed="rId13"/>
                    <a:stretch>
                      <a:fillRect/>
                    </a:stretch>
                  </pic:blipFill>
                  <pic:spPr>
                    <a:xfrm>
                      <a:off x="0" y="0"/>
                      <a:ext cx="5303520" cy="2344413"/>
                    </a:xfrm>
                    <a:prstGeom prst="rect"/>
                  </pic:spPr>
                </pic:pic>
              </a:graphicData>
            </a:graphic>
          </wp:inline>
        </w:drawing>
      </w:r>
    </w:p>
    <w:p>
      <w:pPr>
        <w:spacing w:after="160"/>
        <w:jc w:val="center"/>
      </w:pPr>
      <w:r>
        <w:rPr>
          <w:i/>
          <w:sz w:val="18"/>
        </w:rPr>
        <w:t>Figure 4.1: Confounding / Simpson's Paradox in the Default dataset.</w:t>
      </w:r>
    </w:p>
    <w:p>
      <w:r>
        <w:rPr>
          <w:b/>
        </w:rPr>
        <w:t xml:space="preserve">• Confounding Mechanism Unveiled: </w:t>
      </w:r>
      <w:r>
        <w:t>Figure 4.1 illustrates that credit card balance is a potent confounding variable. Students carry significantly higher credit card balances on average than non-students ($987.80 vs $771.78). Because default rates increase exponentially with balance, the student sub-population is concentrated in the high-risk balance territory, inflating their aggregate default rate. However, when comparing two individuals with identical balances ($1,500), the student is less risky. This underscores the necessity of multiple regression over naive marginal comparisons.</w:t>
      </w:r>
    </w:p>
    <w:p>
      <w:pPr>
        <w:pStyle w:val="Heading1"/>
        <w:keepNext/>
        <w:spacing w:before="280" w:after="120"/>
      </w:pPr>
      <w:r>
        <w:t>6. Exercise 5 – Medical Cancer Diagnosis (Cost-Sensitive Threshold &amp; ROC)</w:t>
      </w:r>
    </w:p>
    <w:p>
      <w:r>
        <w:rPr>
          <w:sz w:val="20"/>
        </w:rPr>
        <w:t xml:space="preserve">The </w:t>
      </w:r>
      <w:r>
        <w:rPr>
          <w:b/>
        </w:rPr>
        <w:t>breast_cancer</w:t>
      </w:r>
      <w:r>
        <w:rPr>
          <w:sz w:val="20"/>
        </w:rPr>
        <w:t xml:space="preserve"> dataset contains 569 fine needle aspirate biopsy samples with 30 nuclear morphology features. The overall malignancy rate is </w:t>
      </w:r>
      <w:r>
        <w:rPr>
          <w:b/>
        </w:rPr>
        <w:t>37.26% (212 malignant, 357 benign)</w:t>
      </w:r>
      <w:r>
        <w:t>. Split: Stratified 70/30 (171 test samples: 64 malignant, 107 benign).</w:t>
      </w:r>
    </w:p>
    <w:p>
      <w:pPr>
        <w:pStyle w:val="Heading2"/>
      </w:pPr>
      <w:r>
        <w:t>(a) &amp; (b) StandardScaler Pipelines &amp; Confusion Matrix at Threshold 0.5</w:t>
      </w:r>
    </w:p>
    <w:p>
      <w:r>
        <w:t>Both Logistic Regression and LDA are enclosed in StandardScaler Pipelines to eliminate feature magnitude dominance:</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shd w:fill="1F3864"/>
            <w:tcMar>
              <w:top w:w="60" w:type="dxa"/>
              <w:bottom w:w="60" w:type="dxa"/>
              <w:left w:w="60" w:type="dxa"/>
              <w:right w:w="60" w:type="dxa"/>
            </w:tcMar>
          </w:tcPr>
          <w:p>
            <w:r>
              <w:rPr>
                <w:b/>
                <w:color w:val="FFFFFF"/>
                <w:sz w:val="17"/>
              </w:rPr>
              <w:t>Model (Threshold 0.5)</w:t>
            </w:r>
          </w:p>
        </w:tc>
        <w:tc>
          <w:tcPr>
            <w:tcW w:type="dxa" w:w="1560"/>
            <w:shd w:fill="1F3864"/>
            <w:tcMar>
              <w:top w:w="60" w:type="dxa"/>
              <w:bottom w:w="60" w:type="dxa"/>
              <w:left w:w="60" w:type="dxa"/>
              <w:right w:w="60" w:type="dxa"/>
            </w:tcMar>
          </w:tcPr>
          <w:p>
            <w:r>
              <w:rPr>
                <w:b/>
                <w:color w:val="FFFFFF"/>
                <w:sz w:val="17"/>
              </w:rPr>
              <w:t>True Pos (Malignant)</w:t>
            </w:r>
          </w:p>
        </w:tc>
        <w:tc>
          <w:tcPr>
            <w:tcW w:type="dxa" w:w="1560"/>
            <w:shd w:fill="1F3864"/>
            <w:tcMar>
              <w:top w:w="60" w:type="dxa"/>
              <w:bottom w:w="60" w:type="dxa"/>
              <w:left w:w="60" w:type="dxa"/>
              <w:right w:w="60" w:type="dxa"/>
            </w:tcMar>
          </w:tcPr>
          <w:p>
            <w:r>
              <w:rPr>
                <w:b/>
                <w:color w:val="FFFFFF"/>
                <w:sz w:val="17"/>
              </w:rPr>
              <w:t>False Neg (Missed Cancer)</w:t>
            </w:r>
          </w:p>
        </w:tc>
        <w:tc>
          <w:tcPr>
            <w:tcW w:type="dxa" w:w="1560"/>
            <w:shd w:fill="1F3864"/>
            <w:tcMar>
              <w:top w:w="60" w:type="dxa"/>
              <w:bottom w:w="60" w:type="dxa"/>
              <w:left w:w="60" w:type="dxa"/>
              <w:right w:w="60" w:type="dxa"/>
            </w:tcMar>
          </w:tcPr>
          <w:p>
            <w:r>
              <w:rPr>
                <w:b/>
                <w:color w:val="FFFFFF"/>
                <w:sz w:val="17"/>
              </w:rPr>
              <w:t>True Neg (Benign)</w:t>
            </w:r>
          </w:p>
        </w:tc>
        <w:tc>
          <w:tcPr>
            <w:tcW w:type="dxa" w:w="1560"/>
            <w:shd w:fill="1F3864"/>
            <w:tcMar>
              <w:top w:w="60" w:type="dxa"/>
              <w:bottom w:w="60" w:type="dxa"/>
              <w:left w:w="60" w:type="dxa"/>
              <w:right w:w="60" w:type="dxa"/>
            </w:tcMar>
          </w:tcPr>
          <w:p>
            <w:r>
              <w:rPr>
                <w:b/>
                <w:color w:val="FFFFFF"/>
                <w:sz w:val="17"/>
              </w:rPr>
              <w:t>False Pos (False Alarm)</w:t>
            </w:r>
          </w:p>
        </w:tc>
        <w:tc>
          <w:tcPr>
            <w:tcW w:type="dxa" w:w="1560"/>
            <w:shd w:fill="1F3864"/>
            <w:tcMar>
              <w:top w:w="60" w:type="dxa"/>
              <w:bottom w:w="60" w:type="dxa"/>
              <w:left w:w="60" w:type="dxa"/>
              <w:right w:w="60" w:type="dxa"/>
            </w:tcMar>
          </w:tcPr>
          <w:p>
            <w:r>
              <w:rPr>
                <w:b/>
                <w:color w:val="FFFFFF"/>
                <w:sz w:val="17"/>
              </w:rPr>
              <w:t>Sensitivity</w:t>
            </w:r>
          </w:p>
        </w:tc>
      </w:tr>
      <w:tr>
        <w:trPr>
          <w:cantSplit/>
        </w:trPr>
        <w:tc>
          <w:tcPr>
            <w:tcW w:type="dxa" w:w="1560"/>
            <w:tcMar>
              <w:top w:w="50" w:type="dxa"/>
              <w:bottom w:w="50" w:type="dxa"/>
              <w:left w:w="60" w:type="dxa"/>
              <w:right w:w="60" w:type="dxa"/>
            </w:tcMar>
            <w:shd w:fill="F2F4F8"/>
          </w:tcPr>
          <w:p>
            <w:r>
              <w:rPr>
                <w:b/>
                <w:sz w:val="17"/>
              </w:rPr>
              <w:t>Logistic Regression (0.5)</w:t>
            </w:r>
          </w:p>
        </w:tc>
        <w:tc>
          <w:tcPr>
            <w:tcW w:type="dxa" w:w="1560"/>
            <w:tcMar>
              <w:top w:w="50" w:type="dxa"/>
              <w:bottom w:w="50" w:type="dxa"/>
              <w:left w:w="60" w:type="dxa"/>
              <w:right w:w="60" w:type="dxa"/>
            </w:tcMar>
            <w:shd w:fill="F2F4F8"/>
          </w:tcPr>
          <w:p>
            <w:r>
              <w:rPr>
                <w:sz w:val="17"/>
              </w:rPr>
              <w:t>59</w:t>
            </w:r>
          </w:p>
        </w:tc>
        <w:tc>
          <w:tcPr>
            <w:tcW w:type="dxa" w:w="1560"/>
            <w:tcMar>
              <w:top w:w="50" w:type="dxa"/>
              <w:bottom w:w="50" w:type="dxa"/>
              <w:left w:w="60" w:type="dxa"/>
              <w:right w:w="60" w:type="dxa"/>
            </w:tcMar>
            <w:shd w:fill="F2F4F8"/>
          </w:tcPr>
          <w:p>
            <w:r>
              <w:rPr>
                <w:b/>
                <w:sz w:val="17"/>
              </w:rPr>
              <w:t>5 (Missed)</w:t>
            </w:r>
          </w:p>
        </w:tc>
        <w:tc>
          <w:tcPr>
            <w:tcW w:type="dxa" w:w="1560"/>
            <w:tcMar>
              <w:top w:w="50" w:type="dxa"/>
              <w:bottom w:w="50" w:type="dxa"/>
              <w:left w:w="60" w:type="dxa"/>
              <w:right w:w="60" w:type="dxa"/>
            </w:tcMar>
            <w:shd w:fill="F2F4F8"/>
          </w:tcPr>
          <w:p>
            <w:r>
              <w:rPr>
                <w:sz w:val="17"/>
              </w:rPr>
              <w:t>105</w:t>
            </w:r>
          </w:p>
        </w:tc>
        <w:tc>
          <w:tcPr>
            <w:tcW w:type="dxa" w:w="1560"/>
            <w:tcMar>
              <w:top w:w="50" w:type="dxa"/>
              <w:bottom w:w="50" w:type="dxa"/>
              <w:left w:w="60" w:type="dxa"/>
              <w:right w:w="60" w:type="dxa"/>
            </w:tcMar>
            <w:shd w:fill="F2F4F8"/>
          </w:tcPr>
          <w:p>
            <w:r>
              <w:rPr>
                <w:sz w:val="17"/>
              </w:rPr>
              <w:t>2</w:t>
            </w:r>
          </w:p>
        </w:tc>
        <w:tc>
          <w:tcPr>
            <w:tcW w:type="dxa" w:w="1560"/>
            <w:tcMar>
              <w:top w:w="50" w:type="dxa"/>
              <w:bottom w:w="50" w:type="dxa"/>
              <w:left w:w="60" w:type="dxa"/>
              <w:right w:w="60" w:type="dxa"/>
            </w:tcMar>
            <w:shd w:fill="F2F4F8"/>
          </w:tcPr>
          <w:p>
            <w:r>
              <w:rPr>
                <w:b/>
                <w:sz w:val="17"/>
              </w:rPr>
              <w:t>92.19% (Spec: 98.13%)</w:t>
            </w:r>
          </w:p>
        </w:tc>
      </w:tr>
      <w:tr>
        <w:trPr>
          <w:cantSplit/>
        </w:trPr>
        <w:tc>
          <w:tcPr>
            <w:tcW w:type="dxa" w:w="1560"/>
            <w:tcMar>
              <w:top w:w="50" w:type="dxa"/>
              <w:bottom w:w="50" w:type="dxa"/>
              <w:left w:w="60" w:type="dxa"/>
              <w:right w:w="60" w:type="dxa"/>
            </w:tcMar>
            <w:shd w:fill="FFFFFF"/>
          </w:tcPr>
          <w:p>
            <w:r>
              <w:rPr>
                <w:b/>
                <w:sz w:val="17"/>
              </w:rPr>
              <w:t>LDA (0.5)</w:t>
            </w:r>
          </w:p>
        </w:tc>
        <w:tc>
          <w:tcPr>
            <w:tcW w:type="dxa" w:w="1560"/>
            <w:tcMar>
              <w:top w:w="50" w:type="dxa"/>
              <w:bottom w:w="50" w:type="dxa"/>
              <w:left w:w="60" w:type="dxa"/>
              <w:right w:w="60" w:type="dxa"/>
            </w:tcMar>
            <w:shd w:fill="FFFFFF"/>
          </w:tcPr>
          <w:p>
            <w:r>
              <w:rPr>
                <w:sz w:val="17"/>
              </w:rPr>
              <w:t>60</w:t>
            </w:r>
          </w:p>
        </w:tc>
        <w:tc>
          <w:tcPr>
            <w:tcW w:type="dxa" w:w="1560"/>
            <w:tcMar>
              <w:top w:w="50" w:type="dxa"/>
              <w:bottom w:w="50" w:type="dxa"/>
              <w:left w:w="60" w:type="dxa"/>
              <w:right w:w="60" w:type="dxa"/>
            </w:tcMar>
            <w:shd w:fill="FFFFFF"/>
          </w:tcPr>
          <w:p>
            <w:r>
              <w:rPr>
                <w:b/>
                <w:sz w:val="17"/>
              </w:rPr>
              <w:t>4 (Missed)</w:t>
            </w:r>
          </w:p>
        </w:tc>
        <w:tc>
          <w:tcPr>
            <w:tcW w:type="dxa" w:w="1560"/>
            <w:tcMar>
              <w:top w:w="50" w:type="dxa"/>
              <w:bottom w:w="50" w:type="dxa"/>
              <w:left w:w="60" w:type="dxa"/>
              <w:right w:w="60" w:type="dxa"/>
            </w:tcMar>
            <w:shd w:fill="FFFFFF"/>
          </w:tcPr>
          <w:p>
            <w:r>
              <w:rPr>
                <w:sz w:val="17"/>
              </w:rPr>
              <w:t>105</w:t>
            </w:r>
          </w:p>
        </w:tc>
        <w:tc>
          <w:tcPr>
            <w:tcW w:type="dxa" w:w="1560"/>
            <w:tcMar>
              <w:top w:w="50" w:type="dxa"/>
              <w:bottom w:w="50" w:type="dxa"/>
              <w:left w:w="60" w:type="dxa"/>
              <w:right w:w="60" w:type="dxa"/>
            </w:tcMar>
            <w:shd w:fill="FFFFFF"/>
          </w:tcPr>
          <w:p>
            <w:r>
              <w:rPr>
                <w:sz w:val="17"/>
              </w:rPr>
              <w:t>2</w:t>
            </w:r>
          </w:p>
        </w:tc>
        <w:tc>
          <w:tcPr>
            <w:tcW w:type="dxa" w:w="1560"/>
            <w:tcMar>
              <w:top w:w="50" w:type="dxa"/>
              <w:bottom w:w="50" w:type="dxa"/>
              <w:left w:w="60" w:type="dxa"/>
              <w:right w:w="60" w:type="dxa"/>
            </w:tcMar>
            <w:shd w:fill="FFFFFF"/>
          </w:tcPr>
          <w:p>
            <w:r>
              <w:rPr>
                <w:b/>
                <w:sz w:val="17"/>
              </w:rPr>
              <w:t>93.75% (Spec: 98.13%)</w:t>
            </w:r>
          </w:p>
        </w:tc>
      </w:tr>
    </w:tbl>
    <w:p>
      <w:pPr>
        <w:pStyle w:val="Heading2"/>
      </w:pPr>
      <w:r>
        <w:t>(c) Cost-Sensitive Decision Making: Threshold Tuning for Sensitivity ≥ 98%</w:t>
      </w:r>
    </w:p>
    <w:p>
      <w:r>
        <w:rPr>
          <w:sz w:val="20"/>
        </w:rPr>
        <w:t xml:space="preserve">In oncology, missing a malignant tumor (False Negative) can be fatal, while a false alarm (False Positive) merely triggers a benign follow-up biopsy. We sweep probability threshold τ from 1 down to 0 to identify the highest threshold guaranteeing </w:t>
      </w:r>
      <w:r>
        <w:rPr>
          <w:b/>
        </w:rPr>
        <w:t>Sensitivity ≥ 98%</w:t>
      </w:r>
      <w:r>
        <w:t>:</w:t>
      </w:r>
    </w:p>
    <w:p>
      <w:r>
        <w:rPr>
          <w:b/>
        </w:rPr>
        <w:t xml:space="preserve">• Optimal Clinical Threshold: </w:t>
      </w:r>
      <w:r>
        <w:rPr>
          <w:sz w:val="20"/>
        </w:rPr>
        <w:t xml:space="preserve">Lowering the classification threshold from 0.50 down to </w:t>
      </w:r>
      <w:r>
        <w:rPr>
          <w:b/>
        </w:rPr>
        <w:t>τ* ≈ 0.165</w:t>
      </w:r>
      <w:r>
        <w:t>.</w:t>
        <w:br/>
      </w:r>
      <w:r>
        <w:rPr>
          <w:b/>
        </w:rPr>
        <w:t xml:space="preserve">• Clinical Outcomes: </w:t>
      </w:r>
      <w:r>
        <w:rPr>
          <w:sz w:val="20"/>
        </w:rPr>
        <w:t xml:space="preserve">Sensitivity surges to </w:t>
      </w:r>
      <w:r>
        <w:rPr>
          <w:b/>
        </w:rPr>
        <w:t>98.44%</w:t>
      </w:r>
      <w:r>
        <w:rPr>
          <w:sz w:val="20"/>
        </w:rPr>
        <w:t xml:space="preserve"> (only 1 single malignant tumor is missed out of 64, TP = 63, FN = 1). Meanwhile, Specificity remains exceptionally strong at </w:t>
      </w:r>
      <w:r>
        <w:rPr>
          <w:b/>
        </w:rPr>
        <w:t>92.52% - 95.33%</w:t>
      </w:r>
      <w:r>
        <w:t xml:space="preserve"> (only 5 to 8 false alarms across 107 benign patients). This represents an outstanding operational trade-off.</w:t>
      </w:r>
    </w:p>
    <w:p>
      <w:pPr>
        <w:pStyle w:val="Heading2"/>
      </w:pPr>
      <w:r>
        <w:t>(d) ROC Curves &amp; Area Under the Curve (AUC)</w:t>
      </w:r>
    </w:p>
    <w:p>
      <w:pPr>
        <w:spacing w:before="80"/>
      </w:pPr>
    </w:p>
    <w:p>
      <w:pPr>
        <w:jc w:val="center"/>
      </w:pPr>
      <w:r>
        <w:drawing>
          <wp:inline xmlns:a="http://schemas.openxmlformats.org/drawingml/2006/main" xmlns:pic="http://schemas.openxmlformats.org/drawingml/2006/picture">
            <wp:extent cx="4572000" cy="3500438"/>
            <wp:docPr id="6" name="Picture 6"/>
            <wp:cNvGraphicFramePr>
              <a:graphicFrameLocks noChangeAspect="1"/>
            </wp:cNvGraphicFramePr>
            <a:graphic>
              <a:graphicData uri="http://schemas.openxmlformats.org/drawingml/2006/picture">
                <pic:pic>
                  <pic:nvPicPr>
                    <pic:cNvPr id="0" name="fig_ex5_roc_curves.png"/>
                    <pic:cNvPicPr/>
                  </pic:nvPicPr>
                  <pic:blipFill>
                    <a:blip r:embed="rId14"/>
                    <a:stretch>
                      <a:fillRect/>
                    </a:stretch>
                  </pic:blipFill>
                  <pic:spPr>
                    <a:xfrm>
                      <a:off x="0" y="0"/>
                      <a:ext cx="4572000" cy="3500438"/>
                    </a:xfrm>
                    <a:prstGeom prst="rect"/>
                  </pic:spPr>
                </pic:pic>
              </a:graphicData>
            </a:graphic>
          </wp:inline>
        </w:drawing>
      </w:r>
    </w:p>
    <w:p>
      <w:pPr>
        <w:spacing w:after="80"/>
        <w:jc w:val="center"/>
      </w:pPr>
      <w:r>
        <w:rPr>
          <w:i/>
          <w:sz w:val="18"/>
        </w:rPr>
        <w:t>Figure 5.1: ROC Curves comparing Logistic Regression and LDA.</w:t>
      </w:r>
    </w:p>
    <w:p>
      <w:pPr>
        <w:spacing w:before="80"/>
      </w:pPr>
    </w:p>
    <w:p>
      <w:pPr>
        <w:jc w:val="center"/>
      </w:pPr>
      <w:r>
        <w:drawing>
          <wp:inline xmlns:a="http://schemas.openxmlformats.org/drawingml/2006/main" xmlns:pic="http://schemas.openxmlformats.org/drawingml/2006/picture">
            <wp:extent cx="5029200" cy="2988364"/>
            <wp:docPr id="7" name="Picture 7"/>
            <wp:cNvGraphicFramePr>
              <a:graphicFrameLocks noChangeAspect="1"/>
            </wp:cNvGraphicFramePr>
            <a:graphic>
              <a:graphicData uri="http://schemas.openxmlformats.org/drawingml/2006/picture">
                <pic:pic>
                  <pic:nvPicPr>
                    <pic:cNvPr id="0" name="fig_ex5_threshold_tuning.png"/>
                    <pic:cNvPicPr/>
                  </pic:nvPicPr>
                  <pic:blipFill>
                    <a:blip r:embed="rId15"/>
                    <a:stretch>
                      <a:fillRect/>
                    </a:stretch>
                  </pic:blipFill>
                  <pic:spPr>
                    <a:xfrm>
                      <a:off x="0" y="0"/>
                      <a:ext cx="5029200" cy="2988364"/>
                    </a:xfrm>
                    <a:prstGeom prst="rect"/>
                  </pic:spPr>
                </pic:pic>
              </a:graphicData>
            </a:graphic>
          </wp:inline>
        </w:drawing>
      </w:r>
    </w:p>
    <w:p>
      <w:pPr>
        <w:spacing w:after="160"/>
        <w:jc w:val="center"/>
      </w:pPr>
      <w:r>
        <w:rPr>
          <w:i/>
          <w:sz w:val="18"/>
        </w:rPr>
        <w:t>Figure 5.2: Sensitivity vs Specificity trade-off across probability thresholds.</w:t>
      </w:r>
    </w:p>
    <w:p>
      <w:r>
        <w:rPr>
          <w:b/>
        </w:rPr>
        <w:t xml:space="preserve">AUC Evaluation: </w:t>
      </w:r>
      <w:r>
        <w:rPr>
          <w:sz w:val="20"/>
        </w:rPr>
        <w:t xml:space="preserve">Both models deliver near-perfect discriminative power: </w:t>
      </w:r>
      <w:r>
        <w:rPr>
          <w:b/>
        </w:rPr>
        <w:t>Logistic Regression achieves AUC = 0.9950</w:t>
      </w:r>
      <w:r>
        <w:t xml:space="preserve"> and </w:t>
      </w:r>
      <w:r>
        <w:rPr>
          <w:b/>
        </w:rPr>
        <w:t>LDA achieves AUC = 0.9922</w:t>
      </w:r>
      <w:r>
        <w:t>. Both models are exceptionally well-suited for automated diagnostic decision support.</w:t>
      </w:r>
    </w:p>
    <w:p>
      <w:pPr>
        <w:pStyle w:val="Heading1"/>
        <w:keepNext/>
        <w:spacing w:before="280" w:after="120"/>
      </w:pPr>
      <w:r>
        <w:t>7. Exercise 6 – Poisson Regression for Bikeshare Counts</w:t>
      </w:r>
    </w:p>
    <w:p>
      <w:r>
        <w:rPr>
          <w:sz w:val="20"/>
        </w:rPr>
        <w:t xml:space="preserve">The </w:t>
      </w:r>
      <w:r>
        <w:rPr>
          <w:b/>
        </w:rPr>
        <w:t>Bikeshare</w:t>
      </w:r>
      <w:r>
        <w:t xml:space="preserve"> dataset records hourly bike rental counts. Because Y is a non-negative integer count, we compare standard OLS regression against Poisson log-linear regression: ln λ(X) = Xβ.</w:t>
      </w:r>
    </w:p>
    <w:p>
      <w:pPr>
        <w:pStyle w:val="Heading2"/>
      </w:pPr>
      <w:r>
        <w:t>(a) Multiplicative Rate Effects exp(β̂)</w:t>
      </w:r>
    </w:p>
    <w:p>
      <w:r>
        <w:t>In Poisson regression, a one-unit change in X_j multiplies expected ridership by exp(β̂_j):</w:t>
      </w:r>
    </w:p>
    <w:p>
      <w:pPr>
        <w:pStyle w:val="ListBullet"/>
      </w:pPr>
      <w:r>
        <w:rPr>
          <w:b/>
        </w:rPr>
        <w:t xml:space="preserve">workingday (Working day): </w:t>
      </w:r>
      <w:r>
        <w:t>β̂ = 0.2820 ⇒ exp(β̂) = 1.3258. Working days multiply expected hourly ridership by 1.326 (+32.6%) compared to weekends/holidays, holding weather fixed.</w:t>
      </w:r>
    </w:p>
    <w:p>
      <w:pPr>
        <w:pStyle w:val="ListBullet"/>
      </w:pPr>
      <w:r>
        <w:rPr>
          <w:b/>
        </w:rPr>
        <w:t xml:space="preserve">temp (Normalized temperature): </w:t>
      </w:r>
      <w:r>
        <w:t>β̂ = 0.8197 ⇒ exp(β̂) = 2.2698. Each one-unit increase in normalized temperature multiplies expected ridership by 2.270 (+127.0%), reflecting massive warm-weather preference.</w:t>
      </w:r>
    </w:p>
    <w:p>
      <w:pPr>
        <w:pStyle w:val="ListBullet"/>
      </w:pPr>
      <w:r>
        <w:rPr>
          <w:b/>
        </w:rPr>
        <w:t xml:space="preserve">weathersit[cloudy/misty]: </w:t>
      </w:r>
      <w:r>
        <w:t>β̂ = -0.0944 ⇒ exp(β̂) = 0.9099. Reduces expected demand to 91.0% (-9.0%) compared to clear weather.</w:t>
      </w:r>
    </w:p>
    <w:p>
      <w:pPr>
        <w:pStyle w:val="ListBullet"/>
      </w:pPr>
      <w:r>
        <w:rPr>
          <w:b/>
        </w:rPr>
        <w:t xml:space="preserve">weathersit[light rain/snow]: </w:t>
      </w:r>
      <w:r>
        <w:t>β̂ = -0.5208 ⇒ exp(β̂) = 0.5940. Drops expected demand to 59.4% (-40.6%).</w:t>
      </w:r>
    </w:p>
    <w:p>
      <w:pPr>
        <w:pStyle w:val="ListBullet"/>
      </w:pPr>
      <w:r>
        <w:rPr>
          <w:b/>
        </w:rPr>
        <w:t xml:space="preserve">weathersit[heavy rain/snow]: </w:t>
      </w:r>
      <w:r>
        <w:t>β̂ = -1.5458 ⇒ exp(β̂) = 0.2131. Severe drop to 21.3% (-78.7%).</w:t>
      </w:r>
    </w:p>
    <w:p>
      <w:pPr>
        <w:spacing w:before="80"/>
      </w:pPr>
    </w:p>
    <w:p>
      <w:pPr>
        <w:jc w:val="center"/>
      </w:pPr>
      <w:r>
        <w:drawing>
          <wp:inline xmlns:a="http://schemas.openxmlformats.org/drawingml/2006/main" xmlns:pic="http://schemas.openxmlformats.org/drawingml/2006/picture">
            <wp:extent cx="5303520" cy="950489"/>
            <wp:docPr id="8" name="Picture 8"/>
            <wp:cNvGraphicFramePr>
              <a:graphicFrameLocks noChangeAspect="1"/>
            </wp:cNvGraphicFramePr>
            <a:graphic>
              <a:graphicData uri="http://schemas.openxmlformats.org/drawingml/2006/picture">
                <pic:pic>
                  <pic:nvPicPr>
                    <pic:cNvPr id="0" name="fig_ex6_poisson_bikeshare_effects.png"/>
                    <pic:cNvPicPr/>
                  </pic:nvPicPr>
                  <pic:blipFill>
                    <a:blip r:embed="rId16"/>
                    <a:stretch>
                      <a:fillRect/>
                    </a:stretch>
                  </pic:blipFill>
                  <pic:spPr>
                    <a:xfrm>
                      <a:off x="0" y="0"/>
                      <a:ext cx="5303520" cy="950489"/>
                    </a:xfrm>
                    <a:prstGeom prst="rect"/>
                  </pic:spPr>
                </pic:pic>
              </a:graphicData>
            </a:graphic>
          </wp:inline>
        </w:drawing>
      </w:r>
    </w:p>
    <w:p>
      <w:pPr>
        <w:spacing w:after="160"/>
        <w:jc w:val="center"/>
      </w:pPr>
      <w:r>
        <w:rPr>
          <w:i/>
          <w:sz w:val="18"/>
        </w:rPr>
        <w:t>Figure 6.1: Multiplicative effect factors exp(β̂) on hourly rental demand.</w:t>
      </w:r>
    </w:p>
    <w:p>
      <w:pPr>
        <w:pStyle w:val="Heading2"/>
      </w:pPr>
      <w:r>
        <w:t>(b) &amp; (c) Point Prediction &amp; Flaws of Linear Regression for Counts</w:t>
      </w:r>
    </w:p>
    <w:p>
      <w:r>
        <w:rPr>
          <w:b/>
        </w:rPr>
        <w:t xml:space="preserve">• Point Prediction for a Specific Scenario: </w:t>
      </w:r>
      <w:r>
        <w:t>Working day in June at 8:00 AM, temp = 0.6, clear weather:</w:t>
        <w:br/>
      </w:r>
      <w:r>
        <w:rPr>
          <w:sz w:val="20"/>
        </w:rPr>
        <w:t xml:space="preserve">  - Linear model M2_lm predicts: </w:t>
      </w:r>
      <w:r>
        <w:rPr>
          <w:b/>
        </w:rPr>
        <w:t>118 riders</w:t>
      </w:r>
      <w:r>
        <w:t>.</w:t>
        <w:br/>
      </w:r>
      <w:r>
        <w:rPr>
          <w:sz w:val="20"/>
        </w:rPr>
        <w:t xml:space="preserve">  - Poisson model M_pois predicts: </w:t>
      </w:r>
      <w:r>
        <w:rPr>
          <w:b/>
        </w:rPr>
        <w:t>141 riders</w:t>
      </w:r>
      <w:r>
        <w:t>.</w:t>
        <w:br/>
      </w:r>
      <w:r>
        <w:rPr>
          <w:b/>
        </w:rPr>
        <w:t xml:space="preserve">• Pathological Negative Predictions in OLS: </w:t>
      </w:r>
      <w:r>
        <w:rPr>
          <w:sz w:val="20"/>
        </w:rPr>
        <w:t xml:space="preserve">In the linear model M2_lm, </w:t>
      </w:r>
      <w:r>
        <w:rPr>
          <w:b/>
        </w:rPr>
        <w:t>1,090 fitted values are negative</w:t>
      </w:r>
      <w:r>
        <w:t xml:space="preserve"> (12.5% of all observations), with a minimum predicted value of -117 riders. Predicting negative bike rentals is physically impossible.</w:t>
        <w:br/>
      </w:r>
      <w:r>
        <w:rPr>
          <w:b/>
        </w:rPr>
        <w:t xml:space="preserve">• Theoretical Superiority of Poisson Regression: </w:t>
      </w:r>
      <w:r>
        <w:t>Because Poisson GLM specifies λ(X) = exp(Xβ), and exp(z) &gt; 0 for all z ∈ ℝ, fitted counts are guaranteed to remain strictly positive, while accommodating the empirical reality that count variance expands with the mean.</w:t>
      </w:r>
    </w:p>
    <w:p>
      <w:pPr>
        <w:pStyle w:val="Heading1"/>
        <w:keepNext/>
        <w:spacing w:before="280" w:after="120"/>
      </w:pPr>
      <w:r>
        <w:t>8. Challenge Exercise 7 – Custom Scratch LDA Derivation vs Scikit-Learn</w:t>
      </w:r>
    </w:p>
    <w:p>
      <w:r>
        <w:t xml:space="preserve">Implementing LDA from first principles using textbook equations on the Weekly training data (1990–2008) for single predictor </w:t>
      </w:r>
      <w:r>
        <w:rPr>
          <w:b/>
        </w:rPr>
        <w:t>Lag2</w:t>
      </w:r>
      <w:r>
        <w:t>, followed by a mathematical proof of equivalence with scikit-learn.</w:t>
      </w:r>
    </w:p>
    <w:p>
      <w:pPr>
        <w:pStyle w:val="Heading2"/>
      </w:pPr>
      <w:r>
        <w:t>Algebraic Calculations from Textbook Formulas:</w:t>
      </w:r>
    </w:p>
    <w:p>
      <w:r>
        <w:rPr>
          <w:b/>
        </w:rPr>
        <w:t xml:space="preserve">1. Class Prior Probabilities: </w:t>
      </w:r>
      <w:r>
        <w:t>π̂_Down = 438 / 985 = 0.444670, π̂_Up = 547 / 985 = 0.555330.</w:t>
        <w:br/>
      </w:r>
      <w:r>
        <w:rPr>
          <w:b/>
        </w:rPr>
        <w:t xml:space="preserve">2. Class Means: </w:t>
      </w:r>
      <w:r>
        <w:t>μ̂_Down = -0.035683, μ̂_Up = +0.260366.</w:t>
        <w:br/>
      </w:r>
      <w:r>
        <w:rPr>
          <w:b/>
        </w:rPr>
        <w:t xml:space="preserve">3. Pooled Unbiased Variance (ISLP Textbook): </w:t>
      </w:r>
      <w:r>
        <w:t>Dividing by degrees of freedom (n - K = 985 - 2 = 983):</w:t>
        <w:br/>
      </w:r>
      <w:r>
        <w:t xml:space="preserve">   σ̂²_unbiased = [(n_Down - 1)s²_Down + (n_Up - 1)s²_Up] / (n - 2) = 5.362085.</w:t>
        <w:br/>
      </w:r>
      <w:r>
        <w:t xml:space="preserve">4. Linear Discriminant Functions: </w:t>
        <w:br/>
      </w:r>
      <w:r>
        <w:t xml:space="preserve">   δ_k(x) = x · (μ̂_k / σ̂²) - (μ̂_k² / 2σ̂²) + ln(π̂_k).</w:t>
        <w:br/>
      </w:r>
      <w:r>
        <w:t xml:space="preserve">5. Analytical Decision Boundary: </w:t>
        <w:br/>
      </w:r>
      <w:r>
        <w:t xml:space="preserve">   Setting δ_Down(x*) = δ_Up(x*) yields x* = 0.126487%. Predict Up if Lag2 ≥ 0.1265%; else predict Down.</w:t>
      </w:r>
    </w:p>
    <w:p>
      <w:pPr>
        <w:spacing w:before="80"/>
      </w:pPr>
    </w:p>
    <w:p>
      <w:pPr>
        <w:jc w:val="center"/>
      </w:pPr>
      <w:r>
        <w:drawing>
          <wp:inline xmlns:a="http://schemas.openxmlformats.org/drawingml/2006/main" xmlns:pic="http://schemas.openxmlformats.org/drawingml/2006/picture">
            <wp:extent cx="5029200" cy="2772709"/>
            <wp:docPr id="9" name="Picture 9"/>
            <wp:cNvGraphicFramePr>
              <a:graphicFrameLocks noChangeAspect="1"/>
            </wp:cNvGraphicFramePr>
            <a:graphic>
              <a:graphicData uri="http://schemas.openxmlformats.org/drawingml/2006/picture">
                <pic:pic>
                  <pic:nvPicPr>
                    <pic:cNvPr id="0" name="fig_ex7_lda_discriminant_boundary.png"/>
                    <pic:cNvPicPr/>
                  </pic:nvPicPr>
                  <pic:blipFill>
                    <a:blip r:embed="rId17"/>
                    <a:stretch>
                      <a:fillRect/>
                    </a:stretch>
                  </pic:blipFill>
                  <pic:spPr>
                    <a:xfrm>
                      <a:off x="0" y="0"/>
                      <a:ext cx="5029200" cy="2772709"/>
                    </a:xfrm>
                    <a:prstGeom prst="rect"/>
                  </pic:spPr>
                </pic:pic>
              </a:graphicData>
            </a:graphic>
          </wp:inline>
        </w:drawing>
      </w:r>
    </w:p>
    <w:p>
      <w:pPr>
        <w:spacing w:after="160"/>
        <w:jc w:val="center"/>
      </w:pPr>
      <w:r>
        <w:rPr>
          <w:i/>
          <w:sz w:val="18"/>
        </w:rPr>
        <w:t>Figure 7.1: Hand-derived linear discriminant functions δ_k(x) and decision boundary x* = 0.1265%.</w:t>
      </w:r>
    </w:p>
    <w:p>
      <w:pPr>
        <w:pStyle w:val="Heading2"/>
      </w:pPr>
      <w:r>
        <w:t>Equivalence Verification with Scikit-Learn LDA:</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shd w:fill="1F3864"/>
            <w:tcMar>
              <w:top w:w="60" w:type="dxa"/>
              <w:bottom w:w="60" w:type="dxa"/>
              <w:left w:w="70" w:type="dxa"/>
              <w:right w:w="70" w:type="dxa"/>
            </w:tcMar>
          </w:tcPr>
          <w:p>
            <w:r>
              <w:rPr>
                <w:b/>
                <w:color w:val="FFFFFF"/>
                <w:sz w:val="17"/>
              </w:rPr>
              <w:t>Parameter</w:t>
            </w:r>
          </w:p>
        </w:tc>
        <w:tc>
          <w:tcPr>
            <w:tcW w:type="dxa" w:w="2340"/>
            <w:shd w:fill="1F3864"/>
            <w:tcMar>
              <w:top w:w="60" w:type="dxa"/>
              <w:bottom w:w="60" w:type="dxa"/>
              <w:left w:w="70" w:type="dxa"/>
              <w:right w:w="70" w:type="dxa"/>
            </w:tcMar>
          </w:tcPr>
          <w:p>
            <w:r>
              <w:rPr>
                <w:b/>
                <w:color w:val="FFFFFF"/>
                <w:sz w:val="17"/>
              </w:rPr>
              <w:t>Hand-Calculated (ISLP)</w:t>
            </w:r>
          </w:p>
        </w:tc>
        <w:tc>
          <w:tcPr>
            <w:tcW w:type="dxa" w:w="2340"/>
            <w:shd w:fill="1F3864"/>
            <w:tcMar>
              <w:top w:w="60" w:type="dxa"/>
              <w:bottom w:w="60" w:type="dxa"/>
              <w:left w:w="70" w:type="dxa"/>
              <w:right w:w="70" w:type="dxa"/>
            </w:tcMar>
          </w:tcPr>
          <w:p>
            <w:r>
              <w:rPr>
                <w:b/>
                <w:color w:val="FFFFFF"/>
                <w:sz w:val="17"/>
              </w:rPr>
              <w:t>Scikit-Learn LDA</w:t>
            </w:r>
          </w:p>
        </w:tc>
        <w:tc>
          <w:tcPr>
            <w:tcW w:type="dxa" w:w="2340"/>
            <w:shd w:fill="1F3864"/>
            <w:tcMar>
              <w:top w:w="60" w:type="dxa"/>
              <w:bottom w:w="60" w:type="dxa"/>
              <w:left w:w="70" w:type="dxa"/>
              <w:right w:w="70" w:type="dxa"/>
            </w:tcMar>
          </w:tcPr>
          <w:p>
            <w:r>
              <w:rPr>
                <w:b/>
                <w:color w:val="FFFFFF"/>
                <w:sz w:val="17"/>
              </w:rPr>
              <w:t>Comparison Verdict</w:t>
            </w:r>
          </w:p>
        </w:tc>
      </w:tr>
      <w:tr>
        <w:trPr>
          <w:cantSplit/>
        </w:trPr>
        <w:tc>
          <w:tcPr>
            <w:tcW w:type="dxa" w:w="2340"/>
            <w:tcMar>
              <w:top w:w="50" w:type="dxa"/>
              <w:bottom w:w="50" w:type="dxa"/>
              <w:left w:w="70" w:type="dxa"/>
              <w:right w:w="70" w:type="dxa"/>
            </w:tcMar>
            <w:shd w:fill="F2F4F8"/>
          </w:tcPr>
          <w:p>
            <w:r>
              <w:rPr>
                <w:b/>
                <w:sz w:val="17"/>
              </w:rPr>
              <w:t>π̂_Down (Prior)</w:t>
            </w:r>
          </w:p>
        </w:tc>
        <w:tc>
          <w:tcPr>
            <w:tcW w:type="dxa" w:w="2340"/>
            <w:tcMar>
              <w:top w:w="50" w:type="dxa"/>
              <w:bottom w:w="50" w:type="dxa"/>
              <w:left w:w="70" w:type="dxa"/>
              <w:right w:w="70" w:type="dxa"/>
            </w:tcMar>
            <w:shd w:fill="F2F4F8"/>
          </w:tcPr>
          <w:p>
            <w:r>
              <w:rPr>
                <w:sz w:val="17"/>
              </w:rPr>
              <w:t>0.444670</w:t>
            </w:r>
          </w:p>
        </w:tc>
        <w:tc>
          <w:tcPr>
            <w:tcW w:type="dxa" w:w="2340"/>
            <w:tcMar>
              <w:top w:w="50" w:type="dxa"/>
              <w:bottom w:w="50" w:type="dxa"/>
              <w:left w:w="70" w:type="dxa"/>
              <w:right w:w="70" w:type="dxa"/>
            </w:tcMar>
            <w:shd w:fill="F2F4F8"/>
          </w:tcPr>
          <w:p>
            <w:r>
              <w:rPr>
                <w:sz w:val="17"/>
              </w:rPr>
              <w:t>0.444670</w:t>
            </w:r>
          </w:p>
        </w:tc>
        <w:tc>
          <w:tcPr>
            <w:tcW w:type="dxa" w:w="2340"/>
            <w:tcMar>
              <w:top w:w="50" w:type="dxa"/>
              <w:bottom w:w="50" w:type="dxa"/>
              <w:left w:w="70" w:type="dxa"/>
              <w:right w:w="70" w:type="dxa"/>
            </w:tcMar>
            <w:shd w:fill="F2F4F8"/>
          </w:tcPr>
          <w:p>
            <w:r>
              <w:rPr>
                <w:sz w:val="17"/>
              </w:rPr>
              <w:t>Identical (100%)</w:t>
            </w:r>
          </w:p>
        </w:tc>
      </w:tr>
      <w:tr>
        <w:trPr>
          <w:cantSplit/>
        </w:trPr>
        <w:tc>
          <w:tcPr>
            <w:tcW w:type="dxa" w:w="2340"/>
            <w:tcMar>
              <w:top w:w="50" w:type="dxa"/>
              <w:bottom w:w="50" w:type="dxa"/>
              <w:left w:w="70" w:type="dxa"/>
              <w:right w:w="70" w:type="dxa"/>
            </w:tcMar>
            <w:shd w:fill="FFFFFF"/>
          </w:tcPr>
          <w:p>
            <w:r>
              <w:rPr>
                <w:b/>
                <w:sz w:val="17"/>
              </w:rPr>
              <w:t>π̂_Up (Prior)</w:t>
            </w:r>
          </w:p>
        </w:tc>
        <w:tc>
          <w:tcPr>
            <w:tcW w:type="dxa" w:w="2340"/>
            <w:tcMar>
              <w:top w:w="50" w:type="dxa"/>
              <w:bottom w:w="50" w:type="dxa"/>
              <w:left w:w="70" w:type="dxa"/>
              <w:right w:w="70" w:type="dxa"/>
            </w:tcMar>
            <w:shd w:fill="FFFFFF"/>
          </w:tcPr>
          <w:p>
            <w:r>
              <w:rPr>
                <w:sz w:val="17"/>
              </w:rPr>
              <w:t>0.555330</w:t>
            </w:r>
          </w:p>
        </w:tc>
        <w:tc>
          <w:tcPr>
            <w:tcW w:type="dxa" w:w="2340"/>
            <w:tcMar>
              <w:top w:w="50" w:type="dxa"/>
              <w:bottom w:w="50" w:type="dxa"/>
              <w:left w:w="70" w:type="dxa"/>
              <w:right w:w="70" w:type="dxa"/>
            </w:tcMar>
            <w:shd w:fill="FFFFFF"/>
          </w:tcPr>
          <w:p>
            <w:r>
              <w:rPr>
                <w:sz w:val="17"/>
              </w:rPr>
              <w:t>0.555330</w:t>
            </w:r>
          </w:p>
        </w:tc>
        <w:tc>
          <w:tcPr>
            <w:tcW w:type="dxa" w:w="2340"/>
            <w:tcMar>
              <w:top w:w="50" w:type="dxa"/>
              <w:bottom w:w="50" w:type="dxa"/>
              <w:left w:w="70" w:type="dxa"/>
              <w:right w:w="70" w:type="dxa"/>
            </w:tcMar>
            <w:shd w:fill="FFFFFF"/>
          </w:tcPr>
          <w:p>
            <w:r>
              <w:rPr>
                <w:sz w:val="17"/>
              </w:rPr>
              <w:t>Identical (100%)</w:t>
            </w:r>
          </w:p>
        </w:tc>
      </w:tr>
      <w:tr>
        <w:trPr>
          <w:cantSplit/>
        </w:trPr>
        <w:tc>
          <w:tcPr>
            <w:tcW w:type="dxa" w:w="2340"/>
            <w:tcMar>
              <w:top w:w="50" w:type="dxa"/>
              <w:bottom w:w="50" w:type="dxa"/>
              <w:left w:w="70" w:type="dxa"/>
              <w:right w:w="70" w:type="dxa"/>
            </w:tcMar>
            <w:shd w:fill="F2F4F8"/>
          </w:tcPr>
          <w:p>
            <w:r>
              <w:rPr>
                <w:b/>
                <w:sz w:val="17"/>
              </w:rPr>
              <w:t>μ̂_Down (Mean)</w:t>
            </w:r>
          </w:p>
        </w:tc>
        <w:tc>
          <w:tcPr>
            <w:tcW w:type="dxa" w:w="2340"/>
            <w:tcMar>
              <w:top w:w="50" w:type="dxa"/>
              <w:bottom w:w="50" w:type="dxa"/>
              <w:left w:w="70" w:type="dxa"/>
              <w:right w:w="70" w:type="dxa"/>
            </w:tcMar>
            <w:shd w:fill="F2F4F8"/>
          </w:tcPr>
          <w:p>
            <w:r>
              <w:rPr>
                <w:sz w:val="17"/>
              </w:rPr>
              <w:t>-0.035683</w:t>
            </w:r>
          </w:p>
        </w:tc>
        <w:tc>
          <w:tcPr>
            <w:tcW w:type="dxa" w:w="2340"/>
            <w:tcMar>
              <w:top w:w="50" w:type="dxa"/>
              <w:bottom w:w="50" w:type="dxa"/>
              <w:left w:w="70" w:type="dxa"/>
              <w:right w:w="70" w:type="dxa"/>
            </w:tcMar>
            <w:shd w:fill="F2F4F8"/>
          </w:tcPr>
          <w:p>
            <w:r>
              <w:rPr>
                <w:sz w:val="17"/>
              </w:rPr>
              <w:t>-0.035683</w:t>
            </w:r>
          </w:p>
        </w:tc>
        <w:tc>
          <w:tcPr>
            <w:tcW w:type="dxa" w:w="2340"/>
            <w:tcMar>
              <w:top w:w="50" w:type="dxa"/>
              <w:bottom w:w="50" w:type="dxa"/>
              <w:left w:w="70" w:type="dxa"/>
              <w:right w:w="70" w:type="dxa"/>
            </w:tcMar>
            <w:shd w:fill="F2F4F8"/>
          </w:tcPr>
          <w:p>
            <w:r>
              <w:rPr>
                <w:sz w:val="17"/>
              </w:rPr>
              <w:t>Identical (100%)</w:t>
            </w:r>
          </w:p>
        </w:tc>
      </w:tr>
      <w:tr>
        <w:trPr>
          <w:cantSplit/>
        </w:trPr>
        <w:tc>
          <w:tcPr>
            <w:tcW w:type="dxa" w:w="2340"/>
            <w:tcMar>
              <w:top w:w="50" w:type="dxa"/>
              <w:bottom w:w="50" w:type="dxa"/>
              <w:left w:w="70" w:type="dxa"/>
              <w:right w:w="70" w:type="dxa"/>
            </w:tcMar>
            <w:shd w:fill="FFFFFF"/>
          </w:tcPr>
          <w:p>
            <w:r>
              <w:rPr>
                <w:b/>
                <w:sz w:val="17"/>
              </w:rPr>
              <w:t>μ̂_Up (Mean)</w:t>
            </w:r>
          </w:p>
        </w:tc>
        <w:tc>
          <w:tcPr>
            <w:tcW w:type="dxa" w:w="2340"/>
            <w:tcMar>
              <w:top w:w="50" w:type="dxa"/>
              <w:bottom w:w="50" w:type="dxa"/>
              <w:left w:w="70" w:type="dxa"/>
              <w:right w:w="70" w:type="dxa"/>
            </w:tcMar>
            <w:shd w:fill="FFFFFF"/>
          </w:tcPr>
          <w:p>
            <w:r>
              <w:rPr>
                <w:sz w:val="17"/>
              </w:rPr>
              <w:t>0.260366</w:t>
            </w:r>
          </w:p>
        </w:tc>
        <w:tc>
          <w:tcPr>
            <w:tcW w:type="dxa" w:w="2340"/>
            <w:tcMar>
              <w:top w:w="50" w:type="dxa"/>
              <w:bottom w:w="50" w:type="dxa"/>
              <w:left w:w="70" w:type="dxa"/>
              <w:right w:w="70" w:type="dxa"/>
            </w:tcMar>
            <w:shd w:fill="FFFFFF"/>
          </w:tcPr>
          <w:p>
            <w:r>
              <w:rPr>
                <w:sz w:val="17"/>
              </w:rPr>
              <w:t>0.260366</w:t>
            </w:r>
          </w:p>
        </w:tc>
        <w:tc>
          <w:tcPr>
            <w:tcW w:type="dxa" w:w="2340"/>
            <w:tcMar>
              <w:top w:w="50" w:type="dxa"/>
              <w:bottom w:w="50" w:type="dxa"/>
              <w:left w:w="70" w:type="dxa"/>
              <w:right w:w="70" w:type="dxa"/>
            </w:tcMar>
            <w:shd w:fill="FFFFFF"/>
          </w:tcPr>
          <w:p>
            <w:r>
              <w:rPr>
                <w:sz w:val="17"/>
              </w:rPr>
              <w:t>Identical (100%)</w:t>
            </w:r>
          </w:p>
        </w:tc>
      </w:tr>
      <w:tr>
        <w:trPr>
          <w:cantSplit/>
        </w:trPr>
        <w:tc>
          <w:tcPr>
            <w:tcW w:type="dxa" w:w="2340"/>
            <w:tcMar>
              <w:top w:w="50" w:type="dxa"/>
              <w:bottom w:w="50" w:type="dxa"/>
              <w:left w:w="70" w:type="dxa"/>
              <w:right w:w="70" w:type="dxa"/>
            </w:tcMar>
            <w:shd w:fill="F2F4F8"/>
          </w:tcPr>
          <w:p>
            <w:r>
              <w:rPr>
                <w:b/>
                <w:sz w:val="17"/>
              </w:rPr>
              <w:t>σ̂² (Pooled Variance)</w:t>
            </w:r>
          </w:p>
        </w:tc>
        <w:tc>
          <w:tcPr>
            <w:tcW w:type="dxa" w:w="2340"/>
            <w:tcMar>
              <w:top w:w="50" w:type="dxa"/>
              <w:bottom w:w="50" w:type="dxa"/>
              <w:left w:w="70" w:type="dxa"/>
              <w:right w:w="70" w:type="dxa"/>
            </w:tcMar>
            <w:shd w:fill="F2F4F8"/>
          </w:tcPr>
          <w:p>
            <w:r>
              <w:rPr>
                <w:sz w:val="17"/>
              </w:rPr>
              <w:t>5.362085 (unbiased, / n-2)</w:t>
            </w:r>
          </w:p>
        </w:tc>
        <w:tc>
          <w:tcPr>
            <w:tcW w:type="dxa" w:w="2340"/>
            <w:tcMar>
              <w:top w:w="50" w:type="dxa"/>
              <w:bottom w:w="50" w:type="dxa"/>
              <w:left w:w="70" w:type="dxa"/>
              <w:right w:w="70" w:type="dxa"/>
            </w:tcMar>
            <w:shd w:fill="F2F4F8"/>
          </w:tcPr>
          <w:p>
            <w:r>
              <w:rPr>
                <w:sz w:val="17"/>
              </w:rPr>
              <w:t>5.351201 (MLE, / n)</w:t>
            </w:r>
          </w:p>
        </w:tc>
        <w:tc>
          <w:tcPr>
            <w:tcW w:type="dxa" w:w="2340"/>
            <w:tcMar>
              <w:top w:w="50" w:type="dxa"/>
              <w:bottom w:w="50" w:type="dxa"/>
              <w:left w:w="70" w:type="dxa"/>
              <w:right w:w="70" w:type="dxa"/>
            </w:tcMar>
            <w:shd w:fill="F2F4F8"/>
          </w:tcPr>
          <w:p>
            <w:r>
              <w:rPr>
                <w:sz w:val="17"/>
              </w:rPr>
              <w:t>Known denominator difference</w:t>
            </w:r>
          </w:p>
        </w:tc>
      </w:tr>
    </w:tbl>
    <w:p>
      <w:pPr>
        <w:spacing w:before="120"/>
      </w:pPr>
      <w:r>
        <w:rPr>
          <w:b/>
        </w:rPr>
        <w:t xml:space="preserve">Proof of Operational Equivalence: </w:t>
      </w:r>
      <w:r>
        <w:rPr>
          <w:sz w:val="20"/>
        </w:rPr>
        <w:t xml:space="preserve">Although Scikit-Learn implements the MLE variance divisor (n = 985) instead of the unbiased divisor (n - 2 = 983), this constant scalar multiplier cancels out when taking the argmax of the discriminant scores. Evaluating predictions across all 104 holdout test weeks reveals that the scratch implementation matches Scikit-Learn </w:t>
      </w:r>
      <w:r>
        <w:rPr>
          <w:b/>
        </w:rPr>
        <w:t>EXACTLY 100% (104 out of 104 matches, zero discrepancies)</w:t>
      </w:r>
      <w:r>
        <w:t>, both achieving an identical 62.50% accuracy.</w:t>
      </w:r>
    </w:p>
    <w:p>
      <w:pPr>
        <w:pStyle w:val="Heading1"/>
        <w:keepNext/>
        <w:spacing w:before="280" w:after="120"/>
      </w:pPr>
      <w:r>
        <w:t>9. Challenge Exercise 8 – Multiclass Wine Classification &amp; LDA 2D Projection</w:t>
      </w:r>
    </w:p>
    <w:p>
      <w:r>
        <w:rPr>
          <w:sz w:val="20"/>
        </w:rPr>
        <w:t xml:space="preserve">The </w:t>
      </w:r>
      <w:r>
        <w:rPr>
          <w:b/>
        </w:rPr>
        <w:t>Wine</w:t>
      </w:r>
      <w:r>
        <w:t xml:space="preserve"> dataset consists of 178 samples from three wine cultivars (Cultivar 1: 59, Cultivar 2: 71, Cultivar 3: 48) measured across 13 chemical constituents.</w:t>
      </w:r>
    </w:p>
    <w:p>
      <w:pPr>
        <w:pStyle w:val="Heading2"/>
      </w:pPr>
      <w:r>
        <w:t>5-Fold Cross-Validation with StandardScaler Pipeline:</w:t>
      </w:r>
    </w:p>
    <w:p>
      <w:r>
        <w:t>To eliminate data leakage, StandardScaler() is wrapped inside a Pipeline with each classifier:</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3864"/>
            <w:tcMar>
              <w:top w:w="60" w:type="dxa"/>
              <w:bottom w:w="60" w:type="dxa"/>
              <w:left w:w="70" w:type="dxa"/>
              <w:right w:w="70" w:type="dxa"/>
            </w:tcMar>
          </w:tcPr>
          <w:p>
            <w:r>
              <w:rPr>
                <w:b/>
                <w:color w:val="FFFFFF"/>
                <w:sz w:val="17"/>
              </w:rPr>
              <w:t>Multiclass Classifier</w:t>
            </w:r>
          </w:p>
        </w:tc>
        <w:tc>
          <w:tcPr>
            <w:tcW w:type="dxa" w:w="2340"/>
            <w:shd w:fill="1F3864"/>
            <w:tcMar>
              <w:top w:w="60" w:type="dxa"/>
              <w:bottom w:w="60" w:type="dxa"/>
              <w:left w:w="70" w:type="dxa"/>
              <w:right w:w="70" w:type="dxa"/>
            </w:tcMar>
          </w:tcPr>
          <w:p>
            <w:r>
              <w:rPr>
                <w:b/>
                <w:color w:val="FFFFFF"/>
                <w:sz w:val="17"/>
              </w:rPr>
              <w:t>5-Fold Mean Accuracy</w:t>
            </w:r>
          </w:p>
        </w:tc>
        <w:tc>
          <w:tcPr>
            <w:tcW w:type="dxa" w:w="2340"/>
            <w:shd w:fill="1F3864"/>
            <w:tcMar>
              <w:top w:w="60" w:type="dxa"/>
              <w:bottom w:w="60" w:type="dxa"/>
              <w:left w:w="70" w:type="dxa"/>
              <w:right w:w="70" w:type="dxa"/>
            </w:tcMar>
          </w:tcPr>
          <w:p>
            <w:r>
              <w:rPr>
                <w:b/>
                <w:color w:val="FFFFFF"/>
                <w:sz w:val="17"/>
              </w:rPr>
              <w:t>Std. Deviation</w:t>
            </w:r>
          </w:p>
        </w:tc>
        <w:tc>
          <w:tcPr>
            <w:tcW w:type="dxa" w:w="2340"/>
            <w:shd w:fill="1F3864"/>
            <w:tcMar>
              <w:top w:w="60" w:type="dxa"/>
              <w:bottom w:w="60" w:type="dxa"/>
              <w:left w:w="70" w:type="dxa"/>
              <w:right w:w="70" w:type="dxa"/>
            </w:tcMar>
          </w:tcPr>
          <w:p>
            <w:r>
              <w:rPr>
                <w:b/>
                <w:color w:val="FFFFFF"/>
                <w:sz w:val="17"/>
              </w:rPr>
              <w:t>Estimated Error Rate</w:t>
            </w:r>
          </w:p>
        </w:tc>
      </w:tr>
      <w:tr>
        <w:trPr>
          <w:cantSplit/>
        </w:trPr>
        <w:tc>
          <w:tcPr>
            <w:tcW w:type="dxa" w:w="2340"/>
            <w:tcMar>
              <w:top w:w="50" w:type="dxa"/>
              <w:bottom w:w="50" w:type="dxa"/>
              <w:left w:w="70" w:type="dxa"/>
              <w:right w:w="70" w:type="dxa"/>
            </w:tcMar>
            <w:shd w:fill="F2F4F8"/>
          </w:tcPr>
          <w:p>
            <w:r>
              <w:rPr>
                <w:b/>
                <w:sz w:val="17"/>
              </w:rPr>
              <w:t>Multinomial Logistic Regression</w:t>
            </w:r>
          </w:p>
        </w:tc>
        <w:tc>
          <w:tcPr>
            <w:tcW w:type="dxa" w:w="2340"/>
            <w:tcMar>
              <w:top w:w="50" w:type="dxa"/>
              <w:bottom w:w="50" w:type="dxa"/>
              <w:left w:w="70" w:type="dxa"/>
              <w:right w:w="70" w:type="dxa"/>
            </w:tcMar>
            <w:shd w:fill="F2F4F8"/>
          </w:tcPr>
          <w:p>
            <w:r>
              <w:rPr>
                <w:b/>
                <w:sz w:val="17"/>
              </w:rPr>
              <w:t>98.87%</w:t>
            </w:r>
          </w:p>
        </w:tc>
        <w:tc>
          <w:tcPr>
            <w:tcW w:type="dxa" w:w="2340"/>
            <w:tcMar>
              <w:top w:w="50" w:type="dxa"/>
              <w:bottom w:w="50" w:type="dxa"/>
              <w:left w:w="70" w:type="dxa"/>
              <w:right w:w="70" w:type="dxa"/>
            </w:tcMar>
            <w:shd w:fill="F2F4F8"/>
          </w:tcPr>
          <w:p>
            <w:r>
              <w:rPr>
                <w:sz w:val="17"/>
              </w:rPr>
              <w:t>± 1.38%</w:t>
            </w:r>
          </w:p>
        </w:tc>
        <w:tc>
          <w:tcPr>
            <w:tcW w:type="dxa" w:w="2340"/>
            <w:tcMar>
              <w:top w:w="50" w:type="dxa"/>
              <w:bottom w:w="50" w:type="dxa"/>
              <w:left w:w="70" w:type="dxa"/>
              <w:right w:w="70" w:type="dxa"/>
            </w:tcMar>
            <w:shd w:fill="F2F4F8"/>
          </w:tcPr>
          <w:p>
            <w:r>
              <w:rPr>
                <w:sz w:val="17"/>
              </w:rPr>
              <w:t>1.13% (Excellent)</w:t>
            </w:r>
          </w:p>
        </w:tc>
      </w:tr>
      <w:tr>
        <w:trPr>
          <w:cantSplit/>
        </w:trPr>
        <w:tc>
          <w:tcPr>
            <w:tcW w:type="dxa" w:w="2340"/>
            <w:tcMar>
              <w:top w:w="50" w:type="dxa"/>
              <w:bottom w:w="50" w:type="dxa"/>
              <w:left w:w="70" w:type="dxa"/>
              <w:right w:w="70" w:type="dxa"/>
            </w:tcMar>
            <w:shd w:fill="FFFFFF"/>
          </w:tcPr>
          <w:p>
            <w:r>
              <w:rPr>
                <w:b/>
                <w:sz w:val="17"/>
              </w:rPr>
              <w:t>Linear Discriminant Analysis (LDA)</w:t>
            </w:r>
          </w:p>
        </w:tc>
        <w:tc>
          <w:tcPr>
            <w:tcW w:type="dxa" w:w="2340"/>
            <w:tcMar>
              <w:top w:w="50" w:type="dxa"/>
              <w:bottom w:w="50" w:type="dxa"/>
              <w:left w:w="70" w:type="dxa"/>
              <w:right w:w="70" w:type="dxa"/>
            </w:tcMar>
            <w:shd w:fill="FFFFFF"/>
          </w:tcPr>
          <w:p>
            <w:r>
              <w:rPr>
                <w:b/>
                <w:color w:val="1F77B4"/>
                <w:sz w:val="17"/>
              </w:rPr>
              <w:t>99.44%</w:t>
            </w:r>
          </w:p>
        </w:tc>
        <w:tc>
          <w:tcPr>
            <w:tcW w:type="dxa" w:w="2340"/>
            <w:tcMar>
              <w:top w:w="50" w:type="dxa"/>
              <w:bottom w:w="50" w:type="dxa"/>
              <w:left w:w="70" w:type="dxa"/>
              <w:right w:w="70" w:type="dxa"/>
            </w:tcMar>
            <w:shd w:fill="FFFFFF"/>
          </w:tcPr>
          <w:p>
            <w:r>
              <w:rPr>
                <w:sz w:val="17"/>
              </w:rPr>
              <w:t>± 1.11%</w:t>
            </w:r>
          </w:p>
        </w:tc>
        <w:tc>
          <w:tcPr>
            <w:tcW w:type="dxa" w:w="2340"/>
            <w:tcMar>
              <w:top w:w="50" w:type="dxa"/>
              <w:bottom w:w="50" w:type="dxa"/>
              <w:left w:w="70" w:type="dxa"/>
              <w:right w:w="70" w:type="dxa"/>
            </w:tcMar>
            <w:shd w:fill="FFFFFF"/>
          </w:tcPr>
          <w:p>
            <w:r>
              <w:rPr>
                <w:sz w:val="17"/>
              </w:rPr>
              <w:t>0.56% (TOP PERFORMER)</w:t>
            </w:r>
          </w:p>
        </w:tc>
      </w:tr>
      <w:tr>
        <w:trPr>
          <w:cantSplit/>
        </w:trPr>
        <w:tc>
          <w:tcPr>
            <w:tcW w:type="dxa" w:w="2340"/>
            <w:tcMar>
              <w:top w:w="50" w:type="dxa"/>
              <w:bottom w:w="50" w:type="dxa"/>
              <w:left w:w="70" w:type="dxa"/>
              <w:right w:w="70" w:type="dxa"/>
            </w:tcMar>
            <w:shd w:fill="F2F4F8"/>
          </w:tcPr>
          <w:p>
            <w:r>
              <w:rPr>
                <w:b/>
                <w:sz w:val="17"/>
              </w:rPr>
              <w:t>Quadratic Discriminant Analysis (QDA)</w:t>
            </w:r>
          </w:p>
        </w:tc>
        <w:tc>
          <w:tcPr>
            <w:tcW w:type="dxa" w:w="2340"/>
            <w:tcMar>
              <w:top w:w="50" w:type="dxa"/>
              <w:bottom w:w="50" w:type="dxa"/>
              <w:left w:w="70" w:type="dxa"/>
              <w:right w:w="70" w:type="dxa"/>
            </w:tcMar>
            <w:shd w:fill="F2F4F8"/>
          </w:tcPr>
          <w:p>
            <w:r>
              <w:rPr>
                <w:b/>
                <w:sz w:val="17"/>
              </w:rPr>
              <w:t>98.87%</w:t>
            </w:r>
          </w:p>
        </w:tc>
        <w:tc>
          <w:tcPr>
            <w:tcW w:type="dxa" w:w="2340"/>
            <w:tcMar>
              <w:top w:w="50" w:type="dxa"/>
              <w:bottom w:w="50" w:type="dxa"/>
              <w:left w:w="70" w:type="dxa"/>
              <w:right w:w="70" w:type="dxa"/>
            </w:tcMar>
            <w:shd w:fill="F2F4F8"/>
          </w:tcPr>
          <w:p>
            <w:r>
              <w:rPr>
                <w:sz w:val="17"/>
              </w:rPr>
              <w:t>± 1.38%</w:t>
            </w:r>
          </w:p>
        </w:tc>
        <w:tc>
          <w:tcPr>
            <w:tcW w:type="dxa" w:w="2340"/>
            <w:tcMar>
              <w:top w:w="50" w:type="dxa"/>
              <w:bottom w:w="50" w:type="dxa"/>
              <w:left w:w="70" w:type="dxa"/>
              <w:right w:w="70" w:type="dxa"/>
            </w:tcMar>
            <w:shd w:fill="F2F4F8"/>
          </w:tcPr>
          <w:p>
            <w:r>
              <w:rPr>
                <w:sz w:val="17"/>
              </w:rPr>
              <w:t>1.13% (Excellent)</w:t>
            </w:r>
          </w:p>
        </w:tc>
      </w:tr>
      <w:tr>
        <w:trPr>
          <w:cantSplit/>
        </w:trPr>
        <w:tc>
          <w:tcPr>
            <w:tcW w:type="dxa" w:w="2340"/>
            <w:tcMar>
              <w:top w:w="50" w:type="dxa"/>
              <w:bottom w:w="50" w:type="dxa"/>
              <w:left w:w="70" w:type="dxa"/>
              <w:right w:w="70" w:type="dxa"/>
            </w:tcMar>
            <w:shd w:fill="FFFFFF"/>
          </w:tcPr>
          <w:p>
            <w:r>
              <w:rPr>
                <w:b/>
                <w:sz w:val="17"/>
              </w:rPr>
              <w:t>KNN (K = 1, StandardScaler)</w:t>
            </w:r>
          </w:p>
        </w:tc>
        <w:tc>
          <w:tcPr>
            <w:tcW w:type="dxa" w:w="2340"/>
            <w:tcMar>
              <w:top w:w="50" w:type="dxa"/>
              <w:bottom w:w="50" w:type="dxa"/>
              <w:left w:w="70" w:type="dxa"/>
              <w:right w:w="70" w:type="dxa"/>
            </w:tcMar>
            <w:shd w:fill="FFFFFF"/>
          </w:tcPr>
          <w:p>
            <w:r>
              <w:rPr>
                <w:b/>
                <w:sz w:val="17"/>
              </w:rPr>
              <w:t>95.52%</w:t>
            </w:r>
          </w:p>
        </w:tc>
        <w:tc>
          <w:tcPr>
            <w:tcW w:type="dxa" w:w="2340"/>
            <w:tcMar>
              <w:top w:w="50" w:type="dxa"/>
              <w:bottom w:w="50" w:type="dxa"/>
              <w:left w:w="70" w:type="dxa"/>
              <w:right w:w="70" w:type="dxa"/>
            </w:tcMar>
            <w:shd w:fill="FFFFFF"/>
          </w:tcPr>
          <w:p>
            <w:r>
              <w:rPr>
                <w:sz w:val="17"/>
              </w:rPr>
              <w:t>± 1.98%</w:t>
            </w:r>
          </w:p>
        </w:tc>
        <w:tc>
          <w:tcPr>
            <w:tcW w:type="dxa" w:w="2340"/>
            <w:tcMar>
              <w:top w:w="50" w:type="dxa"/>
              <w:bottom w:w="50" w:type="dxa"/>
              <w:left w:w="70" w:type="dxa"/>
              <w:right w:w="70" w:type="dxa"/>
            </w:tcMar>
            <w:shd w:fill="FFFFFF"/>
          </w:tcPr>
          <w:p>
            <w:r>
              <w:rPr>
                <w:sz w:val="17"/>
              </w:rPr>
              <w:t>4.48%</w:t>
            </w:r>
          </w:p>
        </w:tc>
      </w:tr>
      <w:tr>
        <w:trPr>
          <w:cantSplit/>
        </w:trPr>
        <w:tc>
          <w:tcPr>
            <w:tcW w:type="dxa" w:w="2340"/>
            <w:tcMar>
              <w:top w:w="50" w:type="dxa"/>
              <w:bottom w:w="50" w:type="dxa"/>
              <w:left w:w="70" w:type="dxa"/>
              <w:right w:w="70" w:type="dxa"/>
            </w:tcMar>
            <w:shd w:fill="F2F4F8"/>
          </w:tcPr>
          <w:p>
            <w:r>
              <w:rPr>
                <w:b/>
                <w:sz w:val="17"/>
              </w:rPr>
              <w:t>KNN (K = 3, StandardScaler)</w:t>
            </w:r>
          </w:p>
        </w:tc>
        <w:tc>
          <w:tcPr>
            <w:tcW w:type="dxa" w:w="2340"/>
            <w:tcMar>
              <w:top w:w="50" w:type="dxa"/>
              <w:bottom w:w="50" w:type="dxa"/>
              <w:left w:w="70" w:type="dxa"/>
              <w:right w:w="70" w:type="dxa"/>
            </w:tcMar>
            <w:shd w:fill="F2F4F8"/>
          </w:tcPr>
          <w:p>
            <w:r>
              <w:rPr>
                <w:b/>
                <w:sz w:val="17"/>
              </w:rPr>
              <w:t>95.51%</w:t>
            </w:r>
          </w:p>
        </w:tc>
        <w:tc>
          <w:tcPr>
            <w:tcW w:type="dxa" w:w="2340"/>
            <w:tcMar>
              <w:top w:w="50" w:type="dxa"/>
              <w:bottom w:w="50" w:type="dxa"/>
              <w:left w:w="70" w:type="dxa"/>
              <w:right w:w="70" w:type="dxa"/>
            </w:tcMar>
            <w:shd w:fill="F2F4F8"/>
          </w:tcPr>
          <w:p>
            <w:r>
              <w:rPr>
                <w:sz w:val="17"/>
              </w:rPr>
              <w:t>± 2.50%</w:t>
            </w:r>
          </w:p>
        </w:tc>
        <w:tc>
          <w:tcPr>
            <w:tcW w:type="dxa" w:w="2340"/>
            <w:tcMar>
              <w:top w:w="50" w:type="dxa"/>
              <w:bottom w:w="50" w:type="dxa"/>
              <w:left w:w="70" w:type="dxa"/>
              <w:right w:w="70" w:type="dxa"/>
            </w:tcMar>
            <w:shd w:fill="F2F4F8"/>
          </w:tcPr>
          <w:p>
            <w:r>
              <w:rPr>
                <w:sz w:val="17"/>
              </w:rPr>
              <w:t>4.49%</w:t>
            </w:r>
          </w:p>
        </w:tc>
      </w:tr>
      <w:tr>
        <w:trPr>
          <w:cantSplit/>
        </w:trPr>
        <w:tc>
          <w:tcPr>
            <w:tcW w:type="dxa" w:w="2340"/>
            <w:tcMar>
              <w:top w:w="50" w:type="dxa"/>
              <w:bottom w:w="50" w:type="dxa"/>
              <w:left w:w="70" w:type="dxa"/>
              <w:right w:w="70" w:type="dxa"/>
            </w:tcMar>
            <w:shd w:fill="FFFFFF"/>
          </w:tcPr>
          <w:p>
            <w:r>
              <w:rPr>
                <w:b/>
                <w:sz w:val="17"/>
              </w:rPr>
              <w:t>KNN (K = 5, StandardScaler)</w:t>
            </w:r>
          </w:p>
        </w:tc>
        <w:tc>
          <w:tcPr>
            <w:tcW w:type="dxa" w:w="2340"/>
            <w:tcMar>
              <w:top w:w="50" w:type="dxa"/>
              <w:bottom w:w="50" w:type="dxa"/>
              <w:left w:w="70" w:type="dxa"/>
              <w:right w:w="70" w:type="dxa"/>
            </w:tcMar>
            <w:shd w:fill="FFFFFF"/>
          </w:tcPr>
          <w:p>
            <w:r>
              <w:rPr>
                <w:b/>
                <w:sz w:val="17"/>
              </w:rPr>
              <w:t>95.51%</w:t>
            </w:r>
          </w:p>
        </w:tc>
        <w:tc>
          <w:tcPr>
            <w:tcW w:type="dxa" w:w="2340"/>
            <w:tcMar>
              <w:top w:w="50" w:type="dxa"/>
              <w:bottom w:w="50" w:type="dxa"/>
              <w:left w:w="70" w:type="dxa"/>
              <w:right w:w="70" w:type="dxa"/>
            </w:tcMar>
            <w:shd w:fill="FFFFFF"/>
          </w:tcPr>
          <w:p>
            <w:r>
              <w:rPr>
                <w:sz w:val="17"/>
              </w:rPr>
              <w:t>± 3.26%</w:t>
            </w:r>
          </w:p>
        </w:tc>
        <w:tc>
          <w:tcPr>
            <w:tcW w:type="dxa" w:w="2340"/>
            <w:tcMar>
              <w:top w:w="50" w:type="dxa"/>
              <w:bottom w:w="50" w:type="dxa"/>
              <w:left w:w="70" w:type="dxa"/>
              <w:right w:w="70" w:type="dxa"/>
            </w:tcMar>
            <w:shd w:fill="FFFFFF"/>
          </w:tcPr>
          <w:p>
            <w:r>
              <w:rPr>
                <w:sz w:val="17"/>
              </w:rPr>
              <w:t>4.49%</w:t>
            </w:r>
          </w:p>
        </w:tc>
      </w:tr>
      <w:tr>
        <w:trPr>
          <w:cantSplit/>
        </w:trPr>
        <w:tc>
          <w:tcPr>
            <w:tcW w:type="dxa" w:w="2340"/>
            <w:tcMar>
              <w:top w:w="50" w:type="dxa"/>
              <w:bottom w:w="50" w:type="dxa"/>
              <w:left w:w="70" w:type="dxa"/>
              <w:right w:w="70" w:type="dxa"/>
            </w:tcMar>
            <w:shd w:fill="F2F4F8"/>
          </w:tcPr>
          <w:p>
            <w:r>
              <w:rPr>
                <w:b/>
                <w:sz w:val="17"/>
              </w:rPr>
              <w:t>KNN (K = 7, StandardScaler)</w:t>
            </w:r>
          </w:p>
        </w:tc>
        <w:tc>
          <w:tcPr>
            <w:tcW w:type="dxa" w:w="2340"/>
            <w:tcMar>
              <w:top w:w="50" w:type="dxa"/>
              <w:bottom w:w="50" w:type="dxa"/>
              <w:left w:w="70" w:type="dxa"/>
              <w:right w:w="70" w:type="dxa"/>
            </w:tcMar>
            <w:shd w:fill="F2F4F8"/>
          </w:tcPr>
          <w:p>
            <w:r>
              <w:rPr>
                <w:b/>
                <w:sz w:val="17"/>
              </w:rPr>
              <w:t>96.65%</w:t>
            </w:r>
          </w:p>
        </w:tc>
        <w:tc>
          <w:tcPr>
            <w:tcW w:type="dxa" w:w="2340"/>
            <w:tcMar>
              <w:top w:w="50" w:type="dxa"/>
              <w:bottom w:w="50" w:type="dxa"/>
              <w:left w:w="70" w:type="dxa"/>
              <w:right w:w="70" w:type="dxa"/>
            </w:tcMar>
            <w:shd w:fill="F2F4F8"/>
          </w:tcPr>
          <w:p>
            <w:r>
              <w:rPr>
                <w:sz w:val="17"/>
              </w:rPr>
              <w:t>± 2.45%</w:t>
            </w:r>
          </w:p>
        </w:tc>
        <w:tc>
          <w:tcPr>
            <w:tcW w:type="dxa" w:w="2340"/>
            <w:tcMar>
              <w:top w:w="50" w:type="dxa"/>
              <w:bottom w:w="50" w:type="dxa"/>
              <w:left w:w="70" w:type="dxa"/>
              <w:right w:w="70" w:type="dxa"/>
            </w:tcMar>
            <w:shd w:fill="F2F4F8"/>
          </w:tcPr>
          <w:p>
            <w:r>
              <w:rPr>
                <w:sz w:val="17"/>
              </w:rPr>
              <w:t>3.35%</w:t>
            </w:r>
          </w:p>
        </w:tc>
      </w:tr>
    </w:tbl>
    <w:p>
      <w:pPr>
        <w:spacing w:before="80"/>
      </w:pPr>
    </w:p>
    <w:p>
      <w:pPr>
        <w:jc w:val="center"/>
      </w:pPr>
      <w:r>
        <w:drawing>
          <wp:inline xmlns:a="http://schemas.openxmlformats.org/drawingml/2006/main" xmlns:pic="http://schemas.openxmlformats.org/drawingml/2006/picture">
            <wp:extent cx="5029200" cy="3466070"/>
            <wp:docPr id="10" name="Picture 10"/>
            <wp:cNvGraphicFramePr>
              <a:graphicFrameLocks noChangeAspect="1"/>
            </wp:cNvGraphicFramePr>
            <a:graphic>
              <a:graphicData uri="http://schemas.openxmlformats.org/drawingml/2006/picture">
                <pic:pic>
                  <pic:nvPicPr>
                    <pic:cNvPr id="0" name="fig_ex8_wine_lda_projection.png"/>
                    <pic:cNvPicPr/>
                  </pic:nvPicPr>
                  <pic:blipFill>
                    <a:blip r:embed="rId18"/>
                    <a:stretch>
                      <a:fillRect/>
                    </a:stretch>
                  </pic:blipFill>
                  <pic:spPr>
                    <a:xfrm>
                      <a:off x="0" y="0"/>
                      <a:ext cx="5029200" cy="3466070"/>
                    </a:xfrm>
                    <a:prstGeom prst="rect"/>
                  </pic:spPr>
                </pic:pic>
              </a:graphicData>
            </a:graphic>
          </wp:inline>
        </w:drawing>
      </w:r>
    </w:p>
    <w:p>
      <w:pPr>
        <w:spacing w:after="160"/>
        <w:jc w:val="center"/>
      </w:pPr>
      <w:r>
        <w:rPr>
          <w:i/>
          <w:sz w:val="18"/>
        </w:rPr>
        <w:t>Figure 8.1: 2D projection of 13 chemical features onto the first two Linear Discriminants.</w:t>
      </w:r>
    </w:p>
    <w:p>
      <w:r>
        <w:rPr>
          <w:b/>
        </w:rPr>
        <w:t xml:space="preserve">LDA Projection Analysis: </w:t>
      </w:r>
      <w:r>
        <w:rPr>
          <w:sz w:val="20"/>
        </w:rPr>
        <w:t xml:space="preserve">LDA takes top honors with an extraordinary cross-validation accuracy of </w:t>
      </w:r>
      <w:r>
        <w:rPr>
          <w:b/>
        </w:rPr>
        <w:t>99.44%</w:t>
      </w:r>
      <w:r>
        <w:t>. Figure 8.1 reveals the mathematical elegance of LDA: By projecting the 13-dimensional space onto the first two canonical discriminant vectors (LD1 and LD2), the three cultivars form completely isolated, non-overlapping clusters.</w:t>
      </w:r>
    </w:p>
    <w:p>
      <w:pPr>
        <w:pStyle w:val="Heading1"/>
        <w:keepNext/>
        <w:spacing w:before="280" w:after="120"/>
      </w:pPr>
      <w:r>
        <w:t>10. Comprehensive Classifier Comparison Matrix &amp; Conclusion</w:t>
      </w:r>
    </w:p>
    <w:p>
      <w:r>
        <w:t>Synthesizing the theoretical properties and empirical behaviors across all 6 classification algorithms: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3864"/>
            <w:tcMar>
              <w:top w:w="60" w:type="dxa"/>
              <w:bottom w:w="60" w:type="dxa"/>
              <w:left w:w="60" w:type="dxa"/>
              <w:right w:w="60" w:type="dxa"/>
            </w:tcMar>
          </w:tcPr>
          <w:p>
            <w:r>
              <w:rPr>
                <w:b/>
                <w:color w:val="FFFFFF"/>
                <w:sz w:val="17"/>
              </w:rPr>
              <w:t>Method</w:t>
            </w:r>
          </w:p>
        </w:tc>
        <w:tc>
          <w:tcPr>
            <w:tcW w:type="dxa" w:w="1872"/>
            <w:shd w:fill="1F3864"/>
            <w:tcMar>
              <w:top w:w="60" w:type="dxa"/>
              <w:bottom w:w="60" w:type="dxa"/>
              <w:left w:w="60" w:type="dxa"/>
              <w:right w:w="60" w:type="dxa"/>
            </w:tcMar>
          </w:tcPr>
          <w:p>
            <w:r>
              <w:rPr>
                <w:b/>
                <w:color w:val="FFFFFF"/>
                <w:sz w:val="17"/>
              </w:rPr>
              <w:t>Decision Boundary</w:t>
            </w:r>
          </w:p>
        </w:tc>
        <w:tc>
          <w:tcPr>
            <w:tcW w:type="dxa" w:w="1872"/>
            <w:shd w:fill="1F3864"/>
            <w:tcMar>
              <w:top w:w="60" w:type="dxa"/>
              <w:bottom w:w="60" w:type="dxa"/>
              <w:left w:w="60" w:type="dxa"/>
              <w:right w:w="60" w:type="dxa"/>
            </w:tcMar>
          </w:tcPr>
          <w:p>
            <w:r>
              <w:rPr>
                <w:b/>
                <w:color w:val="FFFFFF"/>
                <w:sz w:val="17"/>
              </w:rPr>
              <w:t>Distributional Assumptions</w:t>
            </w:r>
          </w:p>
        </w:tc>
        <w:tc>
          <w:tcPr>
            <w:tcW w:type="dxa" w:w="1872"/>
            <w:shd w:fill="1F3864"/>
            <w:tcMar>
              <w:top w:w="60" w:type="dxa"/>
              <w:bottom w:w="60" w:type="dxa"/>
              <w:left w:w="60" w:type="dxa"/>
              <w:right w:w="60" w:type="dxa"/>
            </w:tcMar>
          </w:tcPr>
          <w:p>
            <w:r>
              <w:rPr>
                <w:b/>
                <w:color w:val="FFFFFF"/>
                <w:sz w:val="17"/>
              </w:rPr>
              <w:t>Outlier Sensitivity</w:t>
            </w:r>
          </w:p>
        </w:tc>
        <w:tc>
          <w:tcPr>
            <w:tcW w:type="dxa" w:w="1872"/>
            <w:shd w:fill="1F3864"/>
            <w:tcMar>
              <w:top w:w="60" w:type="dxa"/>
              <w:bottom w:w="60" w:type="dxa"/>
              <w:left w:w="60" w:type="dxa"/>
              <w:right w:w="60" w:type="dxa"/>
            </w:tcMar>
          </w:tcPr>
          <w:p>
            <w:r>
              <w:rPr>
                <w:b/>
                <w:color w:val="FFFFFF"/>
                <w:sz w:val="17"/>
              </w:rPr>
              <w:t>Optimal Application Context</w:t>
            </w:r>
          </w:p>
        </w:tc>
      </w:tr>
      <w:tr>
        <w:trPr>
          <w:cantSplit/>
        </w:trPr>
        <w:tc>
          <w:tcPr>
            <w:tcW w:type="dxa" w:w="1872"/>
            <w:tcMar>
              <w:top w:w="50" w:type="dxa"/>
              <w:bottom w:w="50" w:type="dxa"/>
              <w:left w:w="60" w:type="dxa"/>
              <w:right w:w="60" w:type="dxa"/>
            </w:tcMar>
            <w:shd w:fill="F2F4F8"/>
          </w:tcPr>
          <w:p>
            <w:r>
              <w:rPr>
                <w:b/>
                <w:sz w:val="16"/>
              </w:rPr>
              <w:t>Logistic Regression</w:t>
            </w:r>
          </w:p>
        </w:tc>
        <w:tc>
          <w:tcPr>
            <w:tcW w:type="dxa" w:w="1872"/>
            <w:tcMar>
              <w:top w:w="50" w:type="dxa"/>
              <w:bottom w:w="50" w:type="dxa"/>
              <w:left w:w="60" w:type="dxa"/>
              <w:right w:w="60" w:type="dxa"/>
            </w:tcMar>
            <w:shd w:fill="F2F4F8"/>
          </w:tcPr>
          <w:p>
            <w:r>
              <w:rPr>
                <w:sz w:val="16"/>
              </w:rPr>
              <w:t>Linear</w:t>
            </w:r>
          </w:p>
        </w:tc>
        <w:tc>
          <w:tcPr>
            <w:tcW w:type="dxa" w:w="1872"/>
            <w:tcMar>
              <w:top w:w="50" w:type="dxa"/>
              <w:bottom w:w="50" w:type="dxa"/>
              <w:left w:w="60" w:type="dxa"/>
              <w:right w:w="60" w:type="dxa"/>
            </w:tcMar>
            <w:shd w:fill="F2F4F8"/>
          </w:tcPr>
          <w:p>
            <w:r>
              <w:rPr>
                <w:sz w:val="16"/>
              </w:rPr>
              <w:t>Discriminative (no X distribution assumed)</w:t>
            </w:r>
          </w:p>
        </w:tc>
        <w:tc>
          <w:tcPr>
            <w:tcW w:type="dxa" w:w="1872"/>
            <w:tcMar>
              <w:top w:w="50" w:type="dxa"/>
              <w:bottom w:w="50" w:type="dxa"/>
              <w:left w:w="60" w:type="dxa"/>
              <w:right w:w="60" w:type="dxa"/>
            </w:tcMar>
            <w:shd w:fill="F2F4F8"/>
          </w:tcPr>
          <w:p>
            <w:r>
              <w:rPr>
                <w:sz w:val="16"/>
              </w:rPr>
              <w:t>Moderate (can be influenced by leverage)</w:t>
            </w:r>
          </w:p>
        </w:tc>
        <w:tc>
          <w:tcPr>
            <w:tcW w:type="dxa" w:w="1872"/>
            <w:tcMar>
              <w:top w:w="50" w:type="dxa"/>
              <w:bottom w:w="50" w:type="dxa"/>
              <w:left w:w="60" w:type="dxa"/>
              <w:right w:w="60" w:type="dxa"/>
            </w:tcMar>
            <w:shd w:fill="F2F4F8"/>
          </w:tcPr>
          <w:p>
            <w:r>
              <w:rPr>
                <w:sz w:val="16"/>
              </w:rPr>
              <w:t>Binary classification, odds ratio interpretation, mixed qualitative/quantitative predictors.</w:t>
            </w:r>
          </w:p>
        </w:tc>
      </w:tr>
      <w:tr>
        <w:trPr>
          <w:cantSplit/>
        </w:trPr>
        <w:tc>
          <w:tcPr>
            <w:tcW w:type="dxa" w:w="1872"/>
            <w:tcMar>
              <w:top w:w="50" w:type="dxa"/>
              <w:bottom w:w="50" w:type="dxa"/>
              <w:left w:w="60" w:type="dxa"/>
              <w:right w:w="60" w:type="dxa"/>
            </w:tcMar>
            <w:shd w:fill="FFFFFF"/>
          </w:tcPr>
          <w:p>
            <w:r>
              <w:rPr>
                <w:b/>
                <w:sz w:val="16"/>
              </w:rPr>
              <w:t>LDA</w:t>
            </w:r>
          </w:p>
        </w:tc>
        <w:tc>
          <w:tcPr>
            <w:tcW w:type="dxa" w:w="1872"/>
            <w:tcMar>
              <w:top w:w="50" w:type="dxa"/>
              <w:bottom w:w="50" w:type="dxa"/>
              <w:left w:w="60" w:type="dxa"/>
              <w:right w:w="60" w:type="dxa"/>
            </w:tcMar>
            <w:shd w:fill="FFFFFF"/>
          </w:tcPr>
          <w:p>
            <w:r>
              <w:rPr>
                <w:sz w:val="16"/>
              </w:rPr>
              <w:t>Linear</w:t>
            </w:r>
          </w:p>
        </w:tc>
        <w:tc>
          <w:tcPr>
            <w:tcW w:type="dxa" w:w="1872"/>
            <w:tcMar>
              <w:top w:w="50" w:type="dxa"/>
              <w:bottom w:w="50" w:type="dxa"/>
              <w:left w:w="60" w:type="dxa"/>
              <w:right w:w="60" w:type="dxa"/>
            </w:tcMar>
            <w:shd w:fill="FFFFFF"/>
          </w:tcPr>
          <w:p>
            <w:r>
              <w:rPr>
                <w:sz w:val="16"/>
              </w:rPr>
              <w:t>Multivariate Gaussian with shared covariance Σ</w:t>
            </w:r>
          </w:p>
        </w:tc>
        <w:tc>
          <w:tcPr>
            <w:tcW w:type="dxa" w:w="1872"/>
            <w:tcMar>
              <w:top w:w="50" w:type="dxa"/>
              <w:bottom w:w="50" w:type="dxa"/>
              <w:left w:w="60" w:type="dxa"/>
              <w:right w:w="60" w:type="dxa"/>
            </w:tcMar>
            <w:shd w:fill="FFFFFF"/>
          </w:tcPr>
          <w:p>
            <w:r>
              <w:rPr>
                <w:sz w:val="16"/>
              </w:rPr>
              <w:t>High (means and covariances are sensitive)</w:t>
            </w:r>
          </w:p>
        </w:tc>
        <w:tc>
          <w:tcPr>
            <w:tcW w:type="dxa" w:w="1872"/>
            <w:tcMar>
              <w:top w:w="50" w:type="dxa"/>
              <w:bottom w:w="50" w:type="dxa"/>
              <w:left w:w="60" w:type="dxa"/>
              <w:right w:w="60" w:type="dxa"/>
            </w:tcMar>
            <w:shd w:fill="FFFFFF"/>
          </w:tcPr>
          <w:p>
            <w:r>
              <w:rPr>
                <w:sz w:val="16"/>
              </w:rPr>
              <w:t>Well-separated classes, small sample sizes, multi-class settings, dimensionality reduction.</w:t>
            </w:r>
          </w:p>
        </w:tc>
      </w:tr>
      <w:tr>
        <w:trPr>
          <w:cantSplit/>
        </w:trPr>
        <w:tc>
          <w:tcPr>
            <w:tcW w:type="dxa" w:w="1872"/>
            <w:tcMar>
              <w:top w:w="50" w:type="dxa"/>
              <w:bottom w:w="50" w:type="dxa"/>
              <w:left w:w="60" w:type="dxa"/>
              <w:right w:w="60" w:type="dxa"/>
            </w:tcMar>
            <w:shd w:fill="F2F4F8"/>
          </w:tcPr>
          <w:p>
            <w:r>
              <w:rPr>
                <w:b/>
                <w:sz w:val="16"/>
              </w:rPr>
              <w:t>QDA</w:t>
            </w:r>
          </w:p>
        </w:tc>
        <w:tc>
          <w:tcPr>
            <w:tcW w:type="dxa" w:w="1872"/>
            <w:tcMar>
              <w:top w:w="50" w:type="dxa"/>
              <w:bottom w:w="50" w:type="dxa"/>
              <w:left w:w="60" w:type="dxa"/>
              <w:right w:w="60" w:type="dxa"/>
            </w:tcMar>
            <w:shd w:fill="F2F4F8"/>
          </w:tcPr>
          <w:p>
            <w:r>
              <w:rPr>
                <w:sz w:val="16"/>
              </w:rPr>
              <w:t>Quadratic</w:t>
            </w:r>
          </w:p>
        </w:tc>
        <w:tc>
          <w:tcPr>
            <w:tcW w:type="dxa" w:w="1872"/>
            <w:tcMar>
              <w:top w:w="50" w:type="dxa"/>
              <w:bottom w:w="50" w:type="dxa"/>
              <w:left w:w="60" w:type="dxa"/>
              <w:right w:w="60" w:type="dxa"/>
            </w:tcMar>
            <w:shd w:fill="F2F4F8"/>
          </w:tcPr>
          <w:p>
            <w:r>
              <w:rPr>
                <w:sz w:val="16"/>
              </w:rPr>
              <w:t>Multivariate Gaussian with separate Σ_k</w:t>
            </w:r>
          </w:p>
        </w:tc>
        <w:tc>
          <w:tcPr>
            <w:tcW w:type="dxa" w:w="1872"/>
            <w:tcMar>
              <w:top w:w="50" w:type="dxa"/>
              <w:bottom w:w="50" w:type="dxa"/>
              <w:left w:w="60" w:type="dxa"/>
              <w:right w:w="60" w:type="dxa"/>
            </w:tcMar>
            <w:shd w:fill="F2F4F8"/>
          </w:tcPr>
          <w:p>
            <w:r>
              <w:rPr>
                <w:sz w:val="16"/>
              </w:rPr>
              <w:t>High</w:t>
            </w:r>
          </w:p>
        </w:tc>
        <w:tc>
          <w:tcPr>
            <w:tcW w:type="dxa" w:w="1872"/>
            <w:tcMar>
              <w:top w:w="50" w:type="dxa"/>
              <w:bottom w:w="50" w:type="dxa"/>
              <w:left w:w="60" w:type="dxa"/>
              <w:right w:w="60" w:type="dxa"/>
            </w:tcMar>
            <w:shd w:fill="F2F4F8"/>
          </w:tcPr>
          <w:p>
            <w:r>
              <w:rPr>
                <w:sz w:val="16"/>
              </w:rPr>
              <w:t>Large samples (n &gt;&gt; p), distinctly different class covariance structures, non-linear separations.</w:t>
            </w:r>
          </w:p>
        </w:tc>
      </w:tr>
      <w:tr>
        <w:trPr>
          <w:cantSplit/>
        </w:trPr>
        <w:tc>
          <w:tcPr>
            <w:tcW w:type="dxa" w:w="1872"/>
            <w:tcMar>
              <w:top w:w="50" w:type="dxa"/>
              <w:bottom w:w="50" w:type="dxa"/>
              <w:left w:w="60" w:type="dxa"/>
              <w:right w:w="60" w:type="dxa"/>
            </w:tcMar>
            <w:shd w:fill="FFFFFF"/>
          </w:tcPr>
          <w:p>
            <w:r>
              <w:rPr>
                <w:b/>
                <w:sz w:val="16"/>
              </w:rPr>
              <w:t>Naive Bayes</w:t>
            </w:r>
          </w:p>
        </w:tc>
        <w:tc>
          <w:tcPr>
            <w:tcW w:type="dxa" w:w="1872"/>
            <w:tcMar>
              <w:top w:w="50" w:type="dxa"/>
              <w:bottom w:w="50" w:type="dxa"/>
              <w:left w:w="60" w:type="dxa"/>
              <w:right w:w="60" w:type="dxa"/>
            </w:tcMar>
            <w:shd w:fill="FFFFFF"/>
          </w:tcPr>
          <w:p>
            <w:r>
              <w:rPr>
                <w:sz w:val="16"/>
              </w:rPr>
              <w:t>Non-linear (separable)</w:t>
            </w:r>
          </w:p>
        </w:tc>
        <w:tc>
          <w:tcPr>
            <w:tcW w:type="dxa" w:w="1872"/>
            <w:tcMar>
              <w:top w:w="50" w:type="dxa"/>
              <w:bottom w:w="50" w:type="dxa"/>
              <w:left w:w="60" w:type="dxa"/>
              <w:right w:w="60" w:type="dxa"/>
            </w:tcMar>
            <w:shd w:fill="FFFFFF"/>
          </w:tcPr>
          <w:p>
            <w:r>
              <w:rPr>
                <w:sz w:val="16"/>
              </w:rPr>
              <w:t>Class-conditional feature independence</w:t>
            </w:r>
          </w:p>
        </w:tc>
        <w:tc>
          <w:tcPr>
            <w:tcW w:type="dxa" w:w="1872"/>
            <w:tcMar>
              <w:top w:w="50" w:type="dxa"/>
              <w:bottom w:w="50" w:type="dxa"/>
              <w:left w:w="60" w:type="dxa"/>
              <w:right w:w="60" w:type="dxa"/>
            </w:tcMar>
            <w:shd w:fill="FFFFFF"/>
          </w:tcPr>
          <w:p>
            <w:r>
              <w:rPr>
                <w:sz w:val="16"/>
              </w:rPr>
              <w:t>Low to Moderate</w:t>
            </w:r>
          </w:p>
        </w:tc>
        <w:tc>
          <w:tcPr>
            <w:tcW w:type="dxa" w:w="1872"/>
            <w:tcMar>
              <w:top w:w="50" w:type="dxa"/>
              <w:bottom w:w="50" w:type="dxa"/>
              <w:left w:w="60" w:type="dxa"/>
              <w:right w:w="60" w:type="dxa"/>
            </w:tcMar>
            <w:shd w:fill="FFFFFF"/>
          </w:tcPr>
          <w:p>
            <w:r>
              <w:rPr>
                <w:sz w:val="16"/>
              </w:rPr>
              <w:t>High-dimensional data (text, genomics, p &gt;&gt; n), weak cross-correlations.</w:t>
            </w:r>
          </w:p>
        </w:tc>
      </w:tr>
      <w:tr>
        <w:trPr>
          <w:cantSplit/>
        </w:trPr>
        <w:tc>
          <w:tcPr>
            <w:tcW w:type="dxa" w:w="1872"/>
            <w:tcMar>
              <w:top w:w="50" w:type="dxa"/>
              <w:bottom w:w="50" w:type="dxa"/>
              <w:left w:w="60" w:type="dxa"/>
              <w:right w:w="60" w:type="dxa"/>
            </w:tcMar>
            <w:shd w:fill="F2F4F8"/>
          </w:tcPr>
          <w:p>
            <w:r>
              <w:rPr>
                <w:b/>
                <w:sz w:val="16"/>
              </w:rPr>
              <w:t>KNN</w:t>
            </w:r>
          </w:p>
        </w:tc>
        <w:tc>
          <w:tcPr>
            <w:tcW w:type="dxa" w:w="1872"/>
            <w:tcMar>
              <w:top w:w="50" w:type="dxa"/>
              <w:bottom w:w="50" w:type="dxa"/>
              <w:left w:w="60" w:type="dxa"/>
              <w:right w:w="60" w:type="dxa"/>
            </w:tcMar>
            <w:shd w:fill="F2F4F8"/>
          </w:tcPr>
          <w:p>
            <w:r>
              <w:rPr>
                <w:sz w:val="16"/>
              </w:rPr>
              <w:t>Non-parametric (local)</w:t>
            </w:r>
          </w:p>
        </w:tc>
        <w:tc>
          <w:tcPr>
            <w:tcW w:type="dxa" w:w="1872"/>
            <w:tcMar>
              <w:top w:w="50" w:type="dxa"/>
              <w:bottom w:w="50" w:type="dxa"/>
              <w:left w:w="60" w:type="dxa"/>
              <w:right w:w="60" w:type="dxa"/>
            </w:tcMar>
            <w:shd w:fill="F2F4F8"/>
          </w:tcPr>
          <w:p>
            <w:r>
              <w:rPr>
                <w:sz w:val="16"/>
              </w:rPr>
              <w:t>No distribution assumed (memory-based)</w:t>
            </w:r>
          </w:p>
        </w:tc>
        <w:tc>
          <w:tcPr>
            <w:tcW w:type="dxa" w:w="1872"/>
            <w:tcMar>
              <w:top w:w="50" w:type="dxa"/>
              <w:bottom w:w="50" w:type="dxa"/>
              <w:left w:w="60" w:type="dxa"/>
              <w:right w:w="60" w:type="dxa"/>
            </w:tcMar>
            <w:shd w:fill="F2F4F8"/>
          </w:tcPr>
          <w:p>
            <w:r>
              <w:rPr>
                <w:sz w:val="16"/>
              </w:rPr>
              <w:t>High (especially for small K)</w:t>
            </w:r>
          </w:p>
        </w:tc>
        <w:tc>
          <w:tcPr>
            <w:tcW w:type="dxa" w:w="1872"/>
            <w:tcMar>
              <w:top w:w="50" w:type="dxa"/>
              <w:bottom w:w="50" w:type="dxa"/>
              <w:left w:w="60" w:type="dxa"/>
              <w:right w:w="60" w:type="dxa"/>
            </w:tcMar>
            <w:shd w:fill="F2F4F8"/>
          </w:tcPr>
          <w:p>
            <w:r>
              <w:rPr>
                <w:sz w:val="16"/>
              </w:rPr>
              <w:t>Highly irregular/non-linear boundaries, ample sample size, low dimension (p &lt; 10).</w:t>
            </w:r>
          </w:p>
        </w:tc>
      </w:tr>
    </w:tbl>
    <w:p>
      <w:pPr>
        <w:spacing w:before="160"/>
      </w:pPr>
      <w:r>
        <w:rPr>
          <w:b/>
        </w:rPr>
        <w:t xml:space="preserve">Closing Remark: </w:t>
      </w:r>
      <w:r>
        <w:t>No single classifier uniformly dominates across all datasets (consistent with the 'No Free Lunch' theorem). In applied data science, achieving excellence requires deeply probing data geometry, checking correlation structures, adjusting for confounding variables, standardizing features, and aligning probability thresholds with real-world clinical or financial loss functions.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