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Kinh tế và Quản lý</w:t>
      </w:r>
    </w:p>
    <w:p w:rsidR="00000000" w:rsidDel="00000000" w:rsidP="00000000" w:rsidRDefault="00000000" w:rsidRPr="00000000" w14:paraId="00000126">
      <w:pPr>
        <w:widowControl w:val="0"/>
        <w:ind w:left="0" w:hanging="3"/>
        <w:jc w:val="both"/>
        <w:rPr/>
      </w:pPr>
      <w:r>
        <w:rPr>
          <w:b/>
          <w:bCs/>
          <w:sz w:val="26"/>
          <w:szCs w:val="26"/>
        </w:rPr>
        <w:t xml:space="preserve">School:</w:t>
      </w:r>
      <w:r>
        <w:rPr>
          <w:sz w:val="26"/>
          <w:szCs w:val="26"/>
        </w:rPr>
        <w:t xml:space="preserve"> Viện Kinh tế và Kinh doanh quốc tế</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Không</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Course objectives:</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DEAN OF SCHOOL OF ECONOMICS AND INTERNATIONAL BUSINESS</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