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Bộ môn phụ trách:</w:t>
      </w:r>
      <w:r>
        <w:rPr>
          <w:sz w:val="26"/>
          <w:szCs w:val="26"/>
        </w:rPr>
        <w:t xml:space="preserve"> Kinh tế và Quản lý</w:t>
      </w:r>
    </w:p>
    <w:p w:rsidR="00000000" w:rsidDel="00000000" w:rsidP="00000000" w:rsidRDefault="00000000" w:rsidRPr="00000000" w14:paraId="0000000B">
      <w:pPr>
        <w:ind w:left="0" w:hanging="3"/>
        <w:jc w:val="both"/>
        <w:rPr>
          <w:color w:val="000000"/>
        </w:rPr>
      </w:pPr>
      <w:r>
        <w:rPr>
          <w:b/>
          <w:bCs/>
          <w:sz w:val="26"/>
          <w:szCs w:val="26"/>
        </w:rPr>
        <w:t xml:space="preserve">Viện:</w:t>
      </w:r>
      <w:r>
        <w:rPr>
          <w:sz w:val="26"/>
          <w:szCs w:val="26"/>
        </w:rPr>
        <w:t xml:space="preserve"> Viện Kinh tế và Kinh doanh quốc tế</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Mục tiêu đào tạo:</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Mankiw, N. G. (2019). Macroeconomics, 10th edition. New York: Worth Publishers.</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Bộ môn.</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BỘ MÔN</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c>
          <w:tcPr>
            <w:tcW w:w="4758" w:type="dxa"/>
            <w:vAlign w:val="top"/>
          </w:tcPr>
          <w:p>
            <w:pPr>
              <w:spacing w:before="0" w:after="40" w:line="240" w:lineRule="auto"/>
              <w:jc w:val="center"/>
            </w:pPr>
            <w:r>
              <w:rPr>
                <w:b/>
                <w:bCs/>
                <w:sz w:val="24"/>
                <w:szCs w:val="24"/>
              </w:rPr>
              <w:t xml:space="preserve">VIỆN TRƯỞNG VIỆN KINH TẾ VÀ KINH DOANH QUỐC TẾ</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