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3,A</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3,A</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2,A</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3,A</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2,A</w:t>
            </w:r>
          </w:p>
        </w:tc>
        <w:tc>
          <w:tcPr>
            <w:tcW w:w="1130" w:type="dxa"/>
            <w:vAlign w:val="top"/>
          </w:tcPr>
          <w:p>
            <w:pPr>
              <w:spacing w:before="0" w:after="40" w:line="240" w:lineRule="auto"/>
              <w:jc w:val="center"/>
            </w:pPr>
            <w:r>
              <w:rPr>
                <w:b/>
                <w:bCs/>
                <w:sz w:val="24"/>
                <w:szCs w:val="24"/>
              </w:rPr>
              <w:t xml:space="preserve">3,A</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Mankiw, N. G. (2019). Macroeconomics, 10th edition. New York: Worth Publishers.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