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pPr>
        <w:spacing w:before="0" w:after="60" w:line="276" w:lineRule="auto"/>
        <w:jc w:val="both"/>
      </w:pPr>
      <w:r>
        <w:rPr>
          <w:b/>
          <w:bCs/>
          <w:sz w:val="26"/>
          <w:szCs w:val="26"/>
        </w:rPr>
        <w:t xml:space="preserve">Mục tiêu đào tạo:</w:t>
      </w:r>
    </w:p>
    <w:p>
      <w:pPr>
        <w:spacing w:before="0" w:after="120" w:line="276" w:lineRule="auto"/>
        <w:ind w:left="360"/>
        <w:jc w:val="both"/>
      </w:pPr>
      <w:r>
        <w:rPr>
          <w:sz w:val="26"/>
          <w:szCs w:val="26"/>
        </w:rPr>
        <w:t xml:space="preserve">(1) Trang bị khung lý thuyết về vai trò và công cụ của nhà nước trong nền kinh tế.</w:t>
      </w:r>
    </w:p>
    <w:p>
      <w:pPr>
        <w:spacing w:before="0" w:after="120" w:line="276" w:lineRule="auto"/>
        <w:ind w:left="360"/>
        <w:jc w:val="both"/>
      </w:pPr>
      <w:r>
        <w:rPr>
          <w:sz w:val="26"/>
          <w:szCs w:val="26"/>
        </w:rPr>
        <w:t xml:space="preserve">(2) Rèn kỹ năng phân tích một chính sách kinh tế theo mục tiêu, công cụ và kết quả.</w:t>
      </w:r>
    </w:p>
    <w:p>
      <w:pPr>
        <w:spacing w:before="0" w:after="120" w:line="276" w:lineRule="auto"/>
        <w:ind w:left="360"/>
        <w:jc w:val="both"/>
      </w:pPr>
      <w:r>
        <w:rPr>
          <w:sz w:val="26"/>
          <w:szCs w:val="26"/>
        </w:rPr>
        <w:t xml:space="preserve">(3) Hình thành thái độ khách quan, dựa trên bằng chứng khi đánh giá chính sách.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