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Không</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Dr. Nguyen Van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This course introduces the basic principles of economic management at the national level: why the state intervenes in the economy, which instruments it uses, and how the results of intervention are assessed. The content has four blocks: the nature and functions of economic management; macroeconomic management instruments; management of markets and economic sectors; and evaluation of the effectiveness and efficiency of economic policy. Theory is combined with Vietnamese cases so that students can apply the analytical framework to current economic management issues.</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Explain the nature, functions and principles of economic management.</w:t>
      </w:r>
    </w:p>
    <w:p>
      <w:pPr>
        <w:spacing w:before="0" w:after="60" w:line="276" w:lineRule="auto"/>
        <w:jc w:val="both"/>
      </w:pPr>
      <w:r>
        <w:rPr>
          <w:sz w:val="26"/>
          <w:szCs w:val="26"/>
        </w:rPr>
        <w:t xml:space="preserve">- CLO2: Analyze the effects of macroeconomic management instruments on firms and households.</w:t>
      </w:r>
    </w:p>
    <w:p>
      <w:pPr>
        <w:spacing w:before="0" w:after="60" w:line="276" w:lineRule="auto"/>
        <w:jc w:val="both"/>
      </w:pPr>
      <w:r>
        <w:rPr>
          <w:sz w:val="26"/>
          <w:szCs w:val="26"/>
        </w:rPr>
        <w:t xml:space="preserve">- CLO3: Apply a policy analysis framework to a current economic management issue in Vietnam.</w:t>
      </w:r>
    </w:p>
    <w:p>
      <w:pPr>
        <w:spacing w:before="0" w:after="60" w:line="276" w:lineRule="auto"/>
        <w:jc w:val="both"/>
      </w:pPr>
      <w:r>
        <w:rPr>
          <w:sz w:val="26"/>
          <w:szCs w:val="26"/>
        </w:rPr>
        <w:t xml:space="preserve">- CLO4: Work in teams and present analytical results persuasively.</w:t>
      </w:r>
    </w:p>
    <w:p>
      <w:pPr>
        <w:spacing w:before="0" w:after="60" w:line="276" w:lineRule="auto"/>
        <w:jc w:val="both"/>
      </w:pPr>
      <w:r>
        <w:rPr>
          <w:sz w:val="26"/>
          <w:szCs w:val="26"/>
        </w:rPr>
        <w:t xml:space="preserve">- CLO5: Comply with professional ethics and academic integrity standards.</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Read the assigned materials before each class and take part in discussions.</w:t>
      </w:r>
    </w:p>
    <w:p>
      <w:pPr>
        <w:spacing w:before="0" w:after="60" w:line="276" w:lineRule="auto"/>
        <w:jc w:val="both"/>
      </w:pPr>
      <w:r>
        <w:rPr>
          <w:sz w:val="26"/>
          <w:szCs w:val="26"/>
        </w:rPr>
        <w:t xml:space="preserve">- Submit group assignments on time.</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Students who miss more than 30% of the sessions are not allowed to sit the final examination.</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 assessment</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Attendance and participation in discussions</w:t>
            </w:r>
          </w:p>
        </w:tc>
        <w:tc>
          <w:tcPr>
            <w:tcW w:w="2200" w:type="dxa"/>
            <w:vAlign w:val="top"/>
          </w:tcPr>
          <w:p>
            <w:pPr>
              <w:spacing w:before="0" w:after="40" w:line="240" w:lineRule="auto"/>
              <w:jc w:val="left"/>
            </w:pPr>
            <w:r>
              <w:rPr>
                <w:sz w:val="24"/>
                <w:szCs w:val="24"/>
              </w:rPr>
              <w:t xml:space="preserve">Attendance records and observation</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assignment with report</w:t>
            </w:r>
          </w:p>
        </w:tc>
        <w:tc>
          <w:tcPr>
            <w:tcW w:w="2200" w:type="dxa"/>
            <w:vAlign w:val="top"/>
          </w:tcPr>
          <w:p>
            <w:pPr>
              <w:spacing w:before="0" w:after="40" w:line="240" w:lineRule="auto"/>
              <w:jc w:val="left"/>
            </w:pPr>
            <w:r>
              <w:rPr>
                <w:sz w:val="24"/>
                <w:szCs w:val="24"/>
              </w:rPr>
              <w:t xml:space="preserve">In-class written test or group report graded by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 assessment</w:t>
            </w:r>
          </w:p>
        </w:tc>
        <w:tc>
          <w:tcPr>
            <w:tcW w:w="1500" w:type="dxa"/>
            <w:vAlign w:val="top"/>
          </w:tcPr>
          <w:p>
            <w:pPr>
              <w:spacing w:before="0" w:after="40" w:line="240" w:lineRule="auto"/>
              <w:jc w:val="left"/>
            </w:pPr>
            <w:r>
              <w:rPr>
                <w:sz w:val="24"/>
                <w:szCs w:val="24"/>
              </w:rPr>
              <w:t xml:space="preserve">Final examination</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examination graded by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