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eastAsia="宋体"/>
          <w:b/>
          <w:i w:val="0"/>
          <w:color w:val="003366"/>
          <w:sz w:val="30"/>
        </w:rPr>
        <w:t>STG-Mol: A Multi-Modal, Multi-Task AI-Driven Virtual Screening Framework for NLRP3 Inhibitor Discovery</w:t>
      </w:r>
    </w:p>
    <w:p>
      <w:pPr>
        <w:spacing w:before="360" w:after="120"/>
      </w:pPr>
      <w:r>
        <w:rPr>
          <w:rFonts w:ascii="Times New Roman" w:hAnsi="Times New Roman" w:eastAsia="宋体"/>
          <w:b/>
          <w:i w:val="0"/>
          <w:color w:val="003366"/>
          <w:sz w:val="28"/>
        </w:rPr>
        <w:t>Abstract</w:t>
      </w:r>
    </w:p>
    <w:p>
      <w:pPr>
        <w:spacing w:after="80" w:line="360" w:lineRule="auto"/>
        <w:ind w:firstLine="420"/>
      </w:pPr>
      <w:r>
        <w:rPr>
          <w:rFonts w:ascii="Times New Roman" w:hAnsi="Times New Roman" w:eastAsia="宋体"/>
          <w:b/>
          <w:i w:val="0"/>
          <w:sz w:val="21"/>
        </w:rPr>
        <w:t>Background and Objective.</w:t>
      </w:r>
      <w:r>
        <w:rPr>
          <w:rFonts w:ascii="Times New Roman" w:hAnsi="Times New Roman" w:eastAsia="宋体"/>
          <w:b w:val="0"/>
          <w:i w:val="0"/>
          <w:sz w:val="21"/>
        </w:rPr>
        <w:t xml:space="preserve"> Aberrant activation of the NLRP3 inflammasome constitutes a common pathological basis for numerous chronic disorders including type 2 diabetes, atherosclerosis, and Alzheimer's disease. Yet no FDA-approved NLRP3-targeting drug exists, and clinical candidates such as MCC950 have been hampered by hepatotoxicity (DILI). AI-driven virtual screening offers a promising route to novel NLRP3 inhibitors but faces four key challenges: </w:t>
      </w:r>
      <w:r>
        <w:rPr>
          <w:rFonts w:ascii="Times New Roman" w:hAnsi="Times New Roman" w:eastAsia="宋体"/>
          <w:b/>
          <w:i w:val="0"/>
          <w:sz w:val="21"/>
        </w:rPr>
        <w:t>small-sample activity data</w:t>
      </w:r>
      <w:r>
        <w:rPr>
          <w:rFonts w:ascii="Times New Roman" w:hAnsi="Times New Roman" w:eastAsia="宋体"/>
          <w:b w:val="0"/>
          <w:i w:val="0"/>
          <w:sz w:val="21"/>
        </w:rPr>
        <w:t xml:space="preserve">, </w:t>
      </w:r>
      <w:r>
        <w:rPr>
          <w:rFonts w:ascii="Times New Roman" w:hAnsi="Times New Roman" w:eastAsia="宋体"/>
          <w:b/>
          <w:i w:val="0"/>
          <w:sz w:val="21"/>
        </w:rPr>
        <w:t>efficient fusion of multi-modal molecular information</w:t>
      </w:r>
      <w:r>
        <w:rPr>
          <w:rFonts w:ascii="Times New Roman" w:hAnsi="Times New Roman" w:eastAsia="宋体"/>
          <w:b w:val="0"/>
          <w:i w:val="0"/>
          <w:sz w:val="21"/>
        </w:rPr>
        <w:t xml:space="preserve">, </w:t>
      </w:r>
      <w:r>
        <w:rPr>
          <w:rFonts w:ascii="Times New Roman" w:hAnsi="Times New Roman" w:eastAsia="宋体"/>
          <w:b/>
          <w:i w:val="0"/>
          <w:sz w:val="21"/>
        </w:rPr>
        <w:t>jointly evaluating activity together with drug-likeness</w:t>
      </w:r>
      <w:r>
        <w:rPr>
          <w:rFonts w:ascii="Times New Roman" w:hAnsi="Times New Roman" w:eastAsia="宋体"/>
          <w:b w:val="0"/>
          <w:i w:val="0"/>
          <w:sz w:val="21"/>
        </w:rPr>
        <w:t xml:space="preserve">, and </w:t>
      </w:r>
      <w:r>
        <w:rPr>
          <w:rFonts w:ascii="Times New Roman" w:hAnsi="Times New Roman" w:eastAsia="宋体"/>
          <w:b/>
          <w:i w:val="0"/>
          <w:sz w:val="21"/>
        </w:rPr>
        <w:t>scaling to billion-compound libraries</w:t>
      </w:r>
      <w:r>
        <w:rPr>
          <w:rFonts w:ascii="Times New Roman" w:hAnsi="Times New Roman" w:eastAsia="宋体"/>
          <w:b w:val="0"/>
          <w:i w:val="0"/>
          <w:sz w:val="21"/>
        </w:rPr>
        <w:t xml:space="preserve">. </w:t>
      </w:r>
      <w:r>
        <w:rPr>
          <w:rFonts w:ascii="Times New Roman" w:hAnsi="Times New Roman" w:eastAsia="宋体"/>
          <w:b/>
          <w:i w:val="0"/>
          <w:sz w:val="21"/>
        </w:rPr>
        <w:t>Methods.</w:t>
      </w:r>
      <w:r>
        <w:rPr>
          <w:rFonts w:ascii="Times New Roman" w:hAnsi="Times New Roman" w:eastAsia="宋体"/>
          <w:b w:val="0"/>
          <w:i w:val="0"/>
          <w:sz w:val="21"/>
        </w:rPr>
        <w:t xml:space="preserve"> We propose </w:t>
      </w:r>
      <w:r>
        <w:rPr>
          <w:rFonts w:ascii="Times New Roman" w:hAnsi="Times New Roman" w:eastAsia="宋体"/>
          <w:b/>
          <w:i w:val="0"/>
          <w:sz w:val="21"/>
        </w:rPr>
        <w:t>STG-Mol</w:t>
      </w:r>
      <w:r>
        <w:rPr>
          <w:rFonts w:ascii="Times New Roman" w:hAnsi="Times New Roman" w:eastAsia="宋体"/>
          <w:b w:val="0"/>
          <w:i w:val="0"/>
          <w:sz w:val="21"/>
        </w:rPr>
        <w:t xml:space="preserve">, a multi-modal, multi-task deep-learning framework that jointly encodes sequence, topology, and geometry, and simultaneously predicts activity and ADMET drug-likeness. STG-Mol adopts a </w:t>
      </w:r>
      <w:r>
        <w:rPr>
          <w:rFonts w:ascii="Times New Roman" w:hAnsi="Times New Roman" w:eastAsia="宋体"/>
          <w:b/>
          <w:i w:val="0"/>
          <w:sz w:val="21"/>
        </w:rPr>
        <w:t>hierarchical tri-modal fusion module</w:t>
      </w:r>
      <w:r>
        <w:rPr>
          <w:rFonts w:ascii="Times New Roman" w:hAnsi="Times New Roman" w:eastAsia="宋体"/>
          <w:b w:val="0"/>
          <w:i w:val="0"/>
          <w:sz w:val="21"/>
        </w:rPr>
        <w:t xml:space="preserve"> (cross-modal attention + gated fusion + low-rank bilinear fusion + a learnable importance network) that performs sample-level modality reweighting; a </w:t>
      </w:r>
      <w:r>
        <w:rPr>
          <w:rFonts w:ascii="Times New Roman" w:hAnsi="Times New Roman" w:eastAsia="宋体"/>
          <w:b/>
          <w:i w:val="0"/>
          <w:sz w:val="21"/>
        </w:rPr>
        <w:t>multi-task joint learning objective</w:t>
      </w:r>
      <w:r>
        <w:rPr>
          <w:rFonts w:ascii="Times New Roman" w:hAnsi="Times New Roman" w:eastAsia="宋体"/>
          <w:b w:val="0"/>
          <w:i w:val="0"/>
          <w:sz w:val="21"/>
        </w:rPr>
        <w:t xml:space="preserve"> (activity + five ADMET auxiliary tasks) provides regularisation while producing drug-likeness predictions in a single unified model; and a </w:t>
      </w:r>
      <w:r>
        <w:rPr>
          <w:rFonts w:ascii="Times New Roman" w:hAnsi="Times New Roman" w:eastAsia="宋体"/>
          <w:b/>
          <w:i w:val="0"/>
          <w:sz w:val="21"/>
        </w:rPr>
        <w:t>dual-precision cascaded virtual screening architecture</w:t>
      </w:r>
      <w:r>
        <w:rPr>
          <w:rFonts w:ascii="Times New Roman" w:hAnsi="Times New Roman" w:eastAsia="宋体"/>
          <w:b w:val="0"/>
          <w:i w:val="0"/>
          <w:sz w:val="21"/>
        </w:rPr>
        <w:t xml:space="preserve"> scales the framework to millions of compounds. </w:t>
      </w:r>
      <w:r>
        <w:rPr>
          <w:rFonts w:ascii="Times New Roman" w:hAnsi="Times New Roman" w:eastAsia="宋体"/>
          <w:b/>
          <w:i w:val="0"/>
          <w:sz w:val="21"/>
        </w:rPr>
        <w:t>Results.</w:t>
      </w:r>
      <w:r>
        <w:rPr>
          <w:rFonts w:ascii="Times New Roman" w:hAnsi="Times New Roman" w:eastAsia="宋体"/>
          <w:b w:val="0"/>
          <w:i w:val="0"/>
          <w:sz w:val="21"/>
        </w:rPr>
        <w:t xml:space="preserve"> On our </w:t>
      </w:r>
      <w:r>
        <w:rPr>
          <w:rFonts w:ascii="Times New Roman" w:hAnsi="Times New Roman" w:eastAsia="宋体"/>
          <w:b/>
          <w:i w:val="0"/>
          <w:sz w:val="21"/>
        </w:rPr>
        <w:t>leakage-free NLRP3 dataset</w:t>
      </w:r>
      <w:r>
        <w:rPr>
          <w:rFonts w:ascii="Times New Roman" w:hAnsi="Times New Roman" w:eastAsia="宋体"/>
          <w:b w:val="0"/>
          <w:i w:val="0"/>
          <w:sz w:val="21"/>
        </w:rPr>
        <w:t xml:space="preserve"> (2,520 molecules; five published inhibitors and their Tanimoto ≥ 0.7 neighbours explicitly moved to an external hold-out; remainder partitioned 8:1:1), we report both </w:t>
      </w:r>
      <w:r>
        <w:rPr>
          <w:rFonts w:ascii="Times New Roman" w:hAnsi="Times New Roman" w:eastAsia="宋体"/>
          <w:b/>
          <w:i w:val="0"/>
          <w:sz w:val="21"/>
        </w:rPr>
        <w:t>Bemis–Murcko scaffold split</w:t>
      </w:r>
      <w:r>
        <w:rPr>
          <w:rFonts w:ascii="Times New Roman" w:hAnsi="Times New Roman" w:eastAsia="宋体"/>
          <w:b w:val="0"/>
          <w:i w:val="0"/>
          <w:sz w:val="21"/>
        </w:rPr>
        <w:t xml:space="preserve"> and </w:t>
      </w:r>
      <w:r>
        <w:rPr>
          <w:rFonts w:ascii="Times New Roman" w:hAnsi="Times New Roman" w:eastAsia="宋体"/>
          <w:b/>
          <w:i w:val="0"/>
          <w:sz w:val="21"/>
        </w:rPr>
        <w:t>random split</w:t>
      </w:r>
      <w:r>
        <w:rPr>
          <w:rFonts w:ascii="Times New Roman" w:hAnsi="Times New Roman" w:eastAsia="宋体"/>
          <w:b w:val="0"/>
          <w:i w:val="0"/>
          <w:sz w:val="21"/>
        </w:rPr>
        <w:t xml:space="preserve"> protocols following the MoleculeNet convention. Under the </w:t>
      </w:r>
      <w:r>
        <w:rPr>
          <w:rFonts w:ascii="Times New Roman" w:hAnsi="Times New Roman" w:eastAsia="宋体"/>
          <w:b/>
          <w:i w:val="0"/>
          <w:sz w:val="21"/>
        </w:rPr>
        <w:t>scaffold-split</w:t>
      </w:r>
      <w:r>
        <w:rPr>
          <w:rFonts w:ascii="Times New Roman" w:hAnsi="Times New Roman" w:eastAsia="宋体"/>
          <w:b w:val="0"/>
          <w:i w:val="0"/>
          <w:sz w:val="21"/>
        </w:rPr>
        <w:t xml:space="preserve"> primary protocol, STG-Mol's 5-seed mean </w:t>
      </w:r>
      <w:r>
        <w:rPr>
          <w:rFonts w:ascii="Times New Roman" w:hAnsi="Times New Roman" w:eastAsia="宋体"/>
          <w:b/>
          <w:i w:val="0"/>
          <w:sz w:val="21"/>
        </w:rPr>
        <w:t>Test ROC-AUC = 0.9167</w:t>
      </w:r>
      <w:r>
        <w:rPr>
          <w:rFonts w:ascii="Times New Roman" w:hAnsi="Times New Roman" w:eastAsia="宋体"/>
          <w:b w:val="0"/>
          <w:i w:val="0"/>
          <w:sz w:val="21"/>
        </w:rPr>
        <w:t xml:space="preserve">, providing an honest lower-bound estimate of generalisation to novel chemical series. Under a </w:t>
      </w:r>
      <w:r>
        <w:rPr>
          <w:rFonts w:ascii="Times New Roman" w:hAnsi="Times New Roman" w:eastAsia="宋体"/>
          <w:b/>
          <w:i w:val="0"/>
          <w:sz w:val="21"/>
        </w:rPr>
        <w:t>random-split</w:t>
      </w:r>
      <w:r>
        <w:rPr>
          <w:rFonts w:ascii="Times New Roman" w:hAnsi="Times New Roman" w:eastAsia="宋体"/>
          <w:b w:val="0"/>
          <w:i w:val="0"/>
          <w:sz w:val="21"/>
        </w:rPr>
        <w:t xml:space="preserve"> reference protocol on the same curated data, the 5-seed mean is </w:t>
      </w:r>
      <w:r>
        <w:rPr>
          <w:rFonts w:ascii="Times New Roman" w:hAnsi="Times New Roman" w:eastAsia="宋体"/>
          <w:b/>
          <w:i w:val="0"/>
          <w:sz w:val="21"/>
        </w:rPr>
        <w:t>0.9267 ± 0.0107</w:t>
      </w:r>
      <w:r>
        <w:rPr>
          <w:rFonts w:ascii="Times New Roman" w:hAnsi="Times New Roman" w:eastAsia="宋体"/>
          <w:b w:val="0"/>
          <w:i w:val="0"/>
          <w:sz w:val="21"/>
        </w:rPr>
        <w:t xml:space="preserve"> (deployment-time 5-seed ensemble 0.9408). Early-recognition performance is strong (</w:t>
      </w:r>
      <w:r>
        <w:rPr>
          <w:rFonts w:ascii="Times New Roman" w:hAnsi="Times New Roman" w:eastAsia="宋体"/>
          <w:b/>
          <w:i w:val="0"/>
          <w:sz w:val="21"/>
        </w:rPr>
        <w:t>BEDROC@α=20 = 0.9028</w:t>
      </w:r>
      <w:r>
        <w:rPr>
          <w:rFonts w:ascii="Times New Roman" w:hAnsi="Times New Roman" w:eastAsia="宋体"/>
          <w:b w:val="0"/>
          <w:i w:val="0"/>
          <w:sz w:val="21"/>
        </w:rPr>
        <w:t xml:space="preserve"> ensemble; </w:t>
      </w:r>
      <w:r>
        <w:rPr>
          <w:rFonts w:ascii="Times New Roman" w:hAnsi="Times New Roman" w:eastAsia="宋体"/>
          <w:b/>
          <w:i w:val="0"/>
          <w:sz w:val="21"/>
        </w:rPr>
        <w:t>BEDROC@α=80 = 0.9829</w:t>
      </w:r>
      <w:r>
        <w:rPr>
          <w:rFonts w:ascii="Times New Roman" w:hAnsi="Times New Roman" w:eastAsia="宋体"/>
          <w:b w:val="0"/>
          <w:i w:val="0"/>
          <w:sz w:val="21"/>
        </w:rPr>
        <w:t>), and enrichment factors approach the theoretical upper bound imposed by the test-set active prevalence (</w:t>
      </w:r>
      <w:r>
        <w:rPr>
          <w:rFonts w:ascii="Times New Roman" w:hAnsi="Times New Roman" w:eastAsia="宋体"/>
          <w:b/>
          <w:i w:val="0"/>
          <w:sz w:val="21"/>
        </w:rPr>
        <w:t>EF@5% = 3.47, EF@10% = 3.18, EF@20% = 3.17; EF_max = N/P = 252/67 ≈ 3.76</w:t>
      </w:r>
      <w:r>
        <w:rPr>
          <w:rFonts w:ascii="Times New Roman" w:hAnsi="Times New Roman" w:eastAsia="宋体"/>
          <w:b w:val="0"/>
          <w:i w:val="0"/>
          <w:sz w:val="21"/>
        </w:rPr>
        <w:t xml:space="preserve">). </w:t>
      </w:r>
      <w:r>
        <w:rPr>
          <w:rFonts w:ascii="Times New Roman" w:hAnsi="Times New Roman" w:eastAsia="宋体"/>
          <w:b/>
          <w:i w:val="0"/>
          <w:sz w:val="21"/>
        </w:rPr>
        <w:t>External validation</w:t>
      </w:r>
      <w:r>
        <w:rPr>
          <w:rFonts w:ascii="Times New Roman" w:hAnsi="Times New Roman" w:eastAsia="宋体"/>
          <w:b w:val="0"/>
          <w:i w:val="0"/>
          <w:sz w:val="21"/>
        </w:rPr>
        <w:t xml:space="preserve">: On five published NLRP3 inhibitors (MCC950, CY-09, OLT1177, Oridonin, Tranilast) held out rigorously (0 exact + 0 Tanimoto ≥ 0.7 neighbours), the model achieves an </w:t>
      </w:r>
      <w:r>
        <w:rPr>
          <w:rFonts w:ascii="Times New Roman" w:hAnsi="Times New Roman" w:eastAsia="宋体"/>
          <w:b/>
          <w:i w:val="0"/>
          <w:sz w:val="21"/>
        </w:rPr>
        <w:t>AD-aware confidence profile</w:t>
      </w:r>
      <w:r>
        <w:rPr>
          <w:rFonts w:ascii="Times New Roman" w:hAnsi="Times New Roman" w:eastAsia="宋体"/>
          <w:b w:val="0"/>
          <w:i w:val="0"/>
          <w:sz w:val="21"/>
        </w:rPr>
        <w:t xml:space="preserve">—predicted probability correlates monotonically with Tanimoto distance to training data; two of five compounds are recovered at threshold 0.5 (MCC950, CY-09), while three deep out-of-domain scaffolds (Tranilast, OLT1177, Oridonin; Tanimoto ≤ 0.40) receive low confidence, quantifying the applicability-domain limits of any single-target model trained on the current public NLRP3 corpus. We therefore recommend deploying STG-Mol as an </w:t>
      </w:r>
      <w:r>
        <w:rPr>
          <w:rFonts w:ascii="Times New Roman" w:hAnsi="Times New Roman" w:eastAsia="宋体"/>
          <w:b/>
          <w:i w:val="0"/>
          <w:sz w:val="21"/>
        </w:rPr>
        <w:t>in-AD screening tool coupled with orthogonal similarity / pharmacophore search for OOD chemotypes</w:t>
      </w:r>
      <w:r>
        <w:rPr>
          <w:rFonts w:ascii="Times New Roman" w:hAnsi="Times New Roman" w:eastAsia="宋体"/>
          <w:b w:val="0"/>
          <w:i w:val="0"/>
          <w:sz w:val="21"/>
        </w:rPr>
        <w:t xml:space="preserve">. Applied to 8.8 million ZINC compounds under this deployment strategy, the framework identifies eight novel NLRP3 candidates supported by a complete multi-level computational evidence chain (molecular docking, 100 ns molecular dynamics, MMPBSA free-energy, and ADMET evaluation). </w:t>
      </w:r>
      <w:r>
        <w:rPr>
          <w:rFonts w:ascii="Times New Roman" w:hAnsi="Times New Roman" w:eastAsia="宋体"/>
          <w:b/>
          <w:i w:val="0"/>
          <w:sz w:val="21"/>
        </w:rPr>
        <w:t>Conclusions.</w:t>
      </w:r>
      <w:r>
        <w:rPr>
          <w:rFonts w:ascii="Times New Roman" w:hAnsi="Times New Roman" w:eastAsia="宋体"/>
          <w:b w:val="0"/>
          <w:i w:val="0"/>
          <w:sz w:val="21"/>
        </w:rPr>
        <w:t xml:space="preserve"> The proposed multi-modal, multi-task AI framework provides a systematic computational foundation and complete in-silico pipeline for NLRP3 inhibitor discovery; prospective experimental validation is planned. Code and data are publicly available.</w:t>
      </w:r>
    </w:p>
    <w:p>
      <w:pPr>
        <w:spacing w:after="80" w:line="360" w:lineRule="auto"/>
      </w:pPr>
      <w:r>
        <w:rPr>
          <w:rFonts w:ascii="Times New Roman" w:hAnsi="Times New Roman" w:eastAsia="宋体"/>
          <w:b/>
          <w:i w:val="0"/>
          <w:sz w:val="21"/>
        </w:rPr>
        <w:t>Keywords</w:t>
      </w:r>
      <w:r>
        <w:rPr>
          <w:rFonts w:ascii="Times New Roman" w:hAnsi="Times New Roman" w:eastAsia="宋体"/>
          <w:b w:val="0"/>
          <w:i w:val="0"/>
          <w:sz w:val="21"/>
        </w:rPr>
        <w:t>: NLRP3 inflammasome; multi-modal deep learning; multi-task learning; virtual screening; joint ADMET prediction; molecular dynamics; AI-driven drug discovery</w:t>
      </w:r>
    </w:p>
    <w:p>
      <w:pPr>
        <w:spacing w:before="360" w:after="120"/>
      </w:pPr>
      <w:r>
        <w:rPr>
          <w:rFonts w:ascii="Times New Roman" w:hAnsi="Times New Roman" w:eastAsia="宋体"/>
          <w:b/>
          <w:i w:val="0"/>
          <w:color w:val="003366"/>
          <w:sz w:val="28"/>
        </w:rPr>
        <w:t>1  Introduction</w:t>
      </w:r>
    </w:p>
    <w:p>
      <w:pPr>
        <w:spacing w:before="240" w:after="80"/>
      </w:pPr>
      <w:r>
        <w:rPr>
          <w:rFonts w:ascii="Times New Roman" w:hAnsi="Times New Roman" w:eastAsia="宋体"/>
          <w:b/>
          <w:i w:val="0"/>
          <w:color w:val="004C80"/>
          <w:sz w:val="24"/>
        </w:rPr>
        <w:t>1.1  Clinical Significance of NLRP3 and the Drug-Development Bottleneck</w:t>
      </w:r>
    </w:p>
    <w:p>
      <w:pPr>
        <w:spacing w:after="80" w:line="360" w:lineRule="auto"/>
        <w:ind w:firstLine="420"/>
      </w:pPr>
      <w:r>
        <w:rPr>
          <w:rFonts w:ascii="Times New Roman" w:hAnsi="Times New Roman" w:eastAsia="宋体"/>
          <w:b w:val="0"/>
          <w:i w:val="0"/>
          <w:sz w:val="21"/>
        </w:rPr>
        <w:t>The NLRP3 (NOD-like receptor family pyrin domain containing 3) inflammasome is a critical sensor of the innate immune system whose activation triggers caspase-1-dependent maturation and secretion of IL-1β and IL-18, thereby initiating downstream inflammatory cascades [1]. Aberrant NLRP3 activation is a common molecular basis for multiple chronic disorders:</w:t>
      </w:r>
    </w:p>
    <w:p>
      <w:pPr>
        <w:spacing w:after="80" w:line="360" w:lineRule="auto"/>
        <w:ind w:firstLine="420"/>
      </w:pPr>
      <w:r>
        <w:rPr>
          <w:rFonts w:ascii="Times New Roman" w:hAnsi="Times New Roman" w:eastAsia="宋体"/>
          <w:b w:val="0"/>
          <w:i w:val="0"/>
          <w:sz w:val="21"/>
        </w:rPr>
        <w:t xml:space="preserve">In </w:t>
      </w:r>
      <w:r>
        <w:rPr>
          <w:rFonts w:ascii="Times New Roman" w:hAnsi="Times New Roman" w:eastAsia="宋体"/>
          <w:b/>
          <w:i w:val="0"/>
          <w:sz w:val="21"/>
        </w:rPr>
        <w:t>metabolic diseases</w:t>
      </w:r>
      <w:r>
        <w:rPr>
          <w:rFonts w:ascii="Times New Roman" w:hAnsi="Times New Roman" w:eastAsia="宋体"/>
          <w:b w:val="0"/>
          <w:i w:val="0"/>
          <w:sz w:val="21"/>
        </w:rPr>
        <w:t>, NLRP3-mediated pancreatic β-cell damage plays a key role in type 2 diabetes [2]; oxidised LDL activates NLRP3 to exacerbate atherosclerotic plaque formation [3].</w:t>
      </w:r>
    </w:p>
    <w:p>
      <w:pPr>
        <w:spacing w:after="80" w:line="360" w:lineRule="auto"/>
        <w:ind w:firstLine="420"/>
      </w:pPr>
      <w:r>
        <w:rPr>
          <w:rFonts w:ascii="Times New Roman" w:hAnsi="Times New Roman" w:eastAsia="宋体"/>
          <w:b w:val="0"/>
          <w:i w:val="0"/>
          <w:sz w:val="21"/>
        </w:rPr>
        <w:t xml:space="preserve">In </w:t>
      </w:r>
      <w:r>
        <w:rPr>
          <w:rFonts w:ascii="Times New Roman" w:hAnsi="Times New Roman" w:eastAsia="宋体"/>
          <w:b/>
          <w:i w:val="0"/>
          <w:sz w:val="21"/>
        </w:rPr>
        <w:t>neurodegenerative diseases</w:t>
      </w:r>
      <w:r>
        <w:rPr>
          <w:rFonts w:ascii="Times New Roman" w:hAnsi="Times New Roman" w:eastAsia="宋体"/>
          <w:b w:val="0"/>
          <w:i w:val="0"/>
          <w:sz w:val="21"/>
        </w:rPr>
        <w:t>, Aβ amyloid activates microglial NLRP3 to drive Alzheimer's neuroinflammation [4]; α-synuclein-activated NLRP3 contributes to dopaminergic neuron loss in Parkinson's disease [5].</w:t>
      </w:r>
    </w:p>
    <w:p>
      <w:pPr>
        <w:spacing w:after="80" w:line="360" w:lineRule="auto"/>
        <w:ind w:firstLine="420"/>
      </w:pPr>
      <w:r>
        <w:rPr>
          <w:rFonts w:ascii="Times New Roman" w:hAnsi="Times New Roman" w:eastAsia="宋体"/>
          <w:b w:val="0"/>
          <w:i w:val="0"/>
          <w:sz w:val="21"/>
        </w:rPr>
        <w:t xml:space="preserve">In </w:t>
      </w:r>
      <w:r>
        <w:rPr>
          <w:rFonts w:ascii="Times New Roman" w:hAnsi="Times New Roman" w:eastAsia="宋体"/>
          <w:b/>
          <w:i w:val="0"/>
          <w:sz w:val="21"/>
        </w:rPr>
        <w:t>inflammatory diseases</w:t>
      </w:r>
      <w:r>
        <w:rPr>
          <w:rFonts w:ascii="Times New Roman" w:hAnsi="Times New Roman" w:eastAsia="宋体"/>
          <w:b w:val="0"/>
          <w:i w:val="0"/>
          <w:sz w:val="21"/>
        </w:rPr>
        <w:t>, monosodium urate crystal activation of NLRP3 is a direct cause of gout flares [6]; NLRP3 mutations underlie CAPS and related autoinflammatory syndromes [7].</w:t>
      </w:r>
    </w:p>
    <w:p>
      <w:pPr>
        <w:spacing w:after="80" w:line="360" w:lineRule="auto"/>
        <w:ind w:firstLine="420"/>
      </w:pPr>
      <w:r>
        <w:rPr>
          <w:rFonts w:ascii="Times New Roman" w:hAnsi="Times New Roman" w:eastAsia="宋体"/>
          <w:b w:val="0"/>
          <w:i w:val="0"/>
          <w:sz w:val="21"/>
        </w:rPr>
        <w:t xml:space="preserve">Non-alcoholic steatohepatitis, COPD, and multiple sclerosis are also linked to NLRP3 hyperactivation [8]. This broad clinical significance makes NLRP3 one of the most promising anti-inflammatory targets. Yet three obstacles remain: </w:t>
      </w:r>
      <w:r>
        <w:rPr>
          <w:rFonts w:ascii="Times New Roman" w:hAnsi="Times New Roman" w:eastAsia="宋体"/>
          <w:b/>
          <w:i w:val="0"/>
          <w:sz w:val="21"/>
        </w:rPr>
        <w:t>(i)</w:t>
      </w:r>
      <w:r>
        <w:rPr>
          <w:rFonts w:ascii="Times New Roman" w:hAnsi="Times New Roman" w:eastAsia="宋体"/>
          <w:b w:val="0"/>
          <w:i w:val="0"/>
          <w:sz w:val="21"/>
        </w:rPr>
        <w:t xml:space="preserve"> no FDA-approved drug is available—the archetypal inhibitor MCC950 was </w:t>
      </w:r>
      <w:r>
        <w:rPr>
          <w:rFonts w:ascii="Times New Roman" w:hAnsi="Times New Roman" w:eastAsia="宋体"/>
          <w:b/>
          <w:i w:val="0"/>
          <w:sz w:val="21"/>
        </w:rPr>
        <w:t>terminated in Phase II due to hepatotoxicity</w:t>
      </w:r>
      <w:r>
        <w:rPr>
          <w:rFonts w:ascii="Times New Roman" w:hAnsi="Times New Roman" w:eastAsia="宋体"/>
          <w:b w:val="0"/>
          <w:i w:val="0"/>
          <w:sz w:val="21"/>
        </w:rPr>
        <w:t xml:space="preserve"> [9]; OLT1177 has advanced to Phase III but selectivity and long-term safety remain uncertain [10]. </w:t>
      </w:r>
      <w:r>
        <w:rPr>
          <w:rFonts w:ascii="Times New Roman" w:hAnsi="Times New Roman" w:eastAsia="宋体"/>
          <w:b/>
          <w:i w:val="0"/>
          <w:sz w:val="21"/>
        </w:rPr>
        <w:t>(ii)</w:t>
      </w:r>
      <w:r>
        <w:rPr>
          <w:rFonts w:ascii="Times New Roman" w:hAnsi="Times New Roman" w:eastAsia="宋体"/>
          <w:b w:val="0"/>
          <w:i w:val="0"/>
          <w:sz w:val="21"/>
        </w:rPr>
        <w:t xml:space="preserve"> The conformational flexibility of NLRP3's NACHT domain and its allosteric regulatory sites make classical QSAR insufficient [11]. </w:t>
      </w:r>
      <w:r>
        <w:rPr>
          <w:rFonts w:ascii="Times New Roman" w:hAnsi="Times New Roman" w:eastAsia="宋体"/>
          <w:b/>
          <w:i w:val="0"/>
          <w:sz w:val="21"/>
        </w:rPr>
        <w:t>(iii)</w:t>
      </w:r>
      <w:r>
        <w:rPr>
          <w:rFonts w:ascii="Times New Roman" w:hAnsi="Times New Roman" w:eastAsia="宋体"/>
          <w:b w:val="0"/>
          <w:i w:val="0"/>
          <w:sz w:val="21"/>
        </w:rPr>
        <w:t xml:space="preserve"> Published NLRP3 actives number </w:t>
      </w:r>
      <w:r>
        <w:rPr>
          <w:rFonts w:ascii="Times New Roman" w:hAnsi="Times New Roman" w:eastAsia="宋体"/>
          <w:b/>
          <w:i w:val="0"/>
          <w:sz w:val="21"/>
        </w:rPr>
        <w:t>fewer than one thousand</w:t>
      </w:r>
      <w:r>
        <w:rPr>
          <w:rFonts w:ascii="Times New Roman" w:hAnsi="Times New Roman" w:eastAsia="宋体"/>
          <w:b w:val="0"/>
          <w:i w:val="0"/>
          <w:sz w:val="21"/>
        </w:rPr>
        <w:t>, in stark asymmetry with the accessible billion-scale drug-like chemical space.</w:t>
      </w:r>
    </w:p>
    <w:p>
      <w:pPr>
        <w:spacing w:after="80" w:line="360" w:lineRule="auto"/>
        <w:ind w:firstLine="420"/>
      </w:pPr>
      <w:r>
        <w:rPr>
          <w:rFonts w:ascii="Times New Roman" w:hAnsi="Times New Roman" w:eastAsia="宋体"/>
          <w:b/>
          <w:i w:val="0"/>
          <w:sz w:val="21"/>
        </w:rPr>
        <w:t>Efficiently navigating this asymmetry while jointly evaluating candidate drug-likeness under small-sample constraints thus defines the central biomedical computational problem addressed here.</w:t>
      </w:r>
    </w:p>
    <w:p>
      <w:pPr>
        <w:spacing w:before="240" w:after="80"/>
      </w:pPr>
      <w:r>
        <w:rPr>
          <w:rFonts w:ascii="Times New Roman" w:hAnsi="Times New Roman" w:eastAsia="宋体"/>
          <w:b/>
          <w:i w:val="0"/>
          <w:color w:val="004C80"/>
          <w:sz w:val="24"/>
        </w:rPr>
        <w:t>1.2  Key Challenges in AI-Driven Virtual Screening</w:t>
      </w:r>
    </w:p>
    <w:p>
      <w:pPr>
        <w:spacing w:after="80" w:line="360" w:lineRule="auto"/>
        <w:ind w:firstLine="420"/>
      </w:pPr>
      <w:r>
        <w:rPr>
          <w:rFonts w:ascii="Times New Roman" w:hAnsi="Times New Roman" w:eastAsia="宋体"/>
          <w:b w:val="0"/>
          <w:i w:val="0"/>
          <w:sz w:val="21"/>
        </w:rPr>
        <w:t xml:space="preserve">Molecular representation learning has evolved through three paradigms: </w:t>
      </w:r>
      <w:r>
        <w:rPr>
          <w:rFonts w:ascii="Times New Roman" w:hAnsi="Times New Roman" w:eastAsia="宋体"/>
          <w:b/>
          <w:i w:val="0"/>
          <w:sz w:val="21"/>
        </w:rPr>
        <w:t>1D sequence representations</w:t>
      </w:r>
      <w:r>
        <w:rPr>
          <w:rFonts w:ascii="Times New Roman" w:hAnsi="Times New Roman" w:eastAsia="宋体"/>
          <w:b w:val="0"/>
          <w:i w:val="0"/>
          <w:sz w:val="21"/>
        </w:rPr>
        <w:t xml:space="preserve"> (Mol2Vec [12], ChemBERTa [13]), </w:t>
      </w:r>
      <w:r>
        <w:rPr>
          <w:rFonts w:ascii="Times New Roman" w:hAnsi="Times New Roman" w:eastAsia="宋体"/>
          <w:b/>
          <w:i w:val="0"/>
          <w:sz w:val="21"/>
        </w:rPr>
        <w:t>2D graph representations</w:t>
      </w:r>
      <w:r>
        <w:rPr>
          <w:rFonts w:ascii="Times New Roman" w:hAnsi="Times New Roman" w:eastAsia="宋体"/>
          <w:b w:val="0"/>
          <w:i w:val="0"/>
          <w:sz w:val="21"/>
        </w:rPr>
        <w:t xml:space="preserve"> (GCN [14], GAT [15], D-MPNN [16], AttentiveFP [17]), and </w:t>
      </w:r>
      <w:r>
        <w:rPr>
          <w:rFonts w:ascii="Times New Roman" w:hAnsi="Times New Roman" w:eastAsia="宋体"/>
          <w:b/>
          <w:i w:val="0"/>
          <w:sz w:val="21"/>
        </w:rPr>
        <w:t>3D geometric representations</w:t>
      </w:r>
      <w:r>
        <w:rPr>
          <w:rFonts w:ascii="Times New Roman" w:hAnsi="Times New Roman" w:eastAsia="宋体"/>
          <w:b w:val="0"/>
          <w:i w:val="0"/>
          <w:sz w:val="21"/>
        </w:rPr>
        <w:t xml:space="preserve"> (SchNet [18], DimeNet [19], SphereNet [20]). Each captures distinct physicochemical determinants of activity yet exhibits blind spots, motivating multi-modal fusion.</w:t>
      </w:r>
    </w:p>
    <w:p>
      <w:pPr>
        <w:spacing w:after="80" w:line="360" w:lineRule="auto"/>
        <w:ind w:firstLine="420"/>
      </w:pPr>
      <w:r>
        <w:rPr>
          <w:rFonts w:ascii="Times New Roman" w:hAnsi="Times New Roman" w:eastAsia="宋体"/>
          <w:b w:val="0"/>
          <w:i w:val="0"/>
          <w:sz w:val="21"/>
        </w:rPr>
        <w:t xml:space="preserve">Existing fusion approaches fall into two categories. </w:t>
      </w:r>
      <w:r>
        <w:rPr>
          <w:rFonts w:ascii="Times New Roman" w:hAnsi="Times New Roman" w:eastAsia="宋体"/>
          <w:b/>
          <w:i w:val="0"/>
          <w:sz w:val="21"/>
        </w:rPr>
        <w:t>Static fusion</w:t>
      </w:r>
      <w:r>
        <w:rPr>
          <w:rFonts w:ascii="Times New Roman" w:hAnsi="Times New Roman" w:eastAsia="宋体"/>
          <w:b w:val="0"/>
          <w:i w:val="0"/>
          <w:sz w:val="21"/>
        </w:rPr>
        <w:t xml:space="preserve"> (concatenation, weighted sum, gated fusion) is simple but non-adaptive. </w:t>
      </w:r>
      <w:r>
        <w:rPr>
          <w:rFonts w:ascii="Times New Roman" w:hAnsi="Times New Roman" w:eastAsia="宋体"/>
          <w:b/>
          <w:i w:val="0"/>
          <w:sz w:val="21"/>
        </w:rPr>
        <w:t>Contrastive-pretraining fusion</w:t>
      </w:r>
      <w:r>
        <w:rPr>
          <w:rFonts w:ascii="Times New Roman" w:hAnsi="Times New Roman" w:eastAsia="宋体"/>
          <w:b w:val="0"/>
          <w:i w:val="0"/>
          <w:sz w:val="21"/>
        </w:rPr>
        <w:t xml:space="preserve"> (MolCLR [21], Uni-Mol [22], GEM [23], KPGT [24]) achieves strong performance but requires </w:t>
      </w:r>
      <w:r>
        <w:rPr>
          <w:rFonts w:ascii="Times New Roman" w:hAnsi="Times New Roman" w:eastAsia="宋体"/>
          <w:b/>
          <w:i w:val="0"/>
          <w:sz w:val="21"/>
        </w:rPr>
        <w:t>millions of GPU-hours</w:t>
      </w:r>
      <w:r>
        <w:rPr>
          <w:rFonts w:ascii="Times New Roman" w:hAnsi="Times New Roman" w:eastAsia="宋体"/>
          <w:b w:val="0"/>
          <w:i w:val="0"/>
          <w:sz w:val="21"/>
        </w:rPr>
        <w:t xml:space="preserve"> for pretraining and is prone to overfitting when fine-tuned on small target-specific datasets like NLRP3.</w:t>
      </w:r>
    </w:p>
    <w:p>
      <w:pPr>
        <w:spacing w:after="80" w:line="360" w:lineRule="auto"/>
        <w:ind w:firstLine="420"/>
      </w:pPr>
      <w:r>
        <w:rPr>
          <w:rFonts w:ascii="Times New Roman" w:hAnsi="Times New Roman" w:eastAsia="宋体"/>
          <w:b w:val="0"/>
          <w:i w:val="0"/>
          <w:sz w:val="21"/>
        </w:rPr>
        <w:t>Four unresolved challenges persist:</w:t>
      </w:r>
    </w:p>
    <w:p>
      <w:pPr>
        <w:spacing w:after="80" w:line="360" w:lineRule="auto"/>
        <w:ind w:firstLine="420"/>
      </w:pPr>
      <w:r>
        <w:rPr>
          <w:rFonts w:ascii="Times New Roman" w:hAnsi="Times New Roman" w:eastAsia="宋体"/>
          <w:b/>
          <w:i w:val="0"/>
          <w:sz w:val="21"/>
        </w:rPr>
        <w:t>(i) Modality collapse</w:t>
      </w:r>
      <w:r>
        <w:rPr>
          <w:rFonts w:ascii="Times New Roman" w:hAnsi="Times New Roman" w:eastAsia="宋体"/>
          <w:b w:val="0"/>
          <w:i w:val="0"/>
          <w:sz w:val="21"/>
        </w:rPr>
        <w:t>: attention fusion tends to degenerate into a single-modality-dominated regime.</w:t>
      </w:r>
    </w:p>
    <w:p>
      <w:pPr>
        <w:spacing w:after="80" w:line="360" w:lineRule="auto"/>
        <w:ind w:firstLine="420"/>
      </w:pPr>
      <w:r>
        <w:rPr>
          <w:rFonts w:ascii="Times New Roman" w:hAnsi="Times New Roman" w:eastAsia="宋体"/>
          <w:b/>
          <w:i w:val="0"/>
          <w:sz w:val="21"/>
        </w:rPr>
        <w:t>(ii) Sample-level heterogeneity</w:t>
      </w:r>
      <w:r>
        <w:rPr>
          <w:rFonts w:ascii="Times New Roman" w:hAnsi="Times New Roman" w:eastAsia="宋体"/>
          <w:b w:val="0"/>
          <w:i w:val="0"/>
          <w:sz w:val="21"/>
        </w:rPr>
        <w:t>: molecules differ substantially in their modality reliance; a globally fixed weighting cannot accommodate such heterogeneity.</w:t>
      </w:r>
    </w:p>
    <w:p>
      <w:pPr>
        <w:spacing w:after="80" w:line="360" w:lineRule="auto"/>
        <w:ind w:firstLine="420"/>
      </w:pPr>
      <w:r>
        <w:rPr>
          <w:rFonts w:ascii="Times New Roman" w:hAnsi="Times New Roman" w:eastAsia="宋体"/>
          <w:b/>
          <w:i w:val="0"/>
          <w:sz w:val="21"/>
        </w:rPr>
        <w:t>(iii) Separation of activity and drug-likeness</w:t>
      </w:r>
      <w:r>
        <w:rPr>
          <w:rFonts w:ascii="Times New Roman" w:hAnsi="Times New Roman" w:eastAsia="宋体"/>
          <w:b w:val="0"/>
          <w:i w:val="0"/>
          <w:sz w:val="21"/>
        </w:rPr>
        <w:t>: most AI drug-discovery work predicts activity alone, ignoring simultaneous drug-likeness and toxicity assessment, which allows high-activity but poorly druggable candidates into costly downstream experiments.</w:t>
      </w:r>
    </w:p>
    <w:p>
      <w:pPr>
        <w:spacing w:after="80" w:line="360" w:lineRule="auto"/>
        <w:ind w:firstLine="420"/>
      </w:pPr>
      <w:r>
        <w:rPr>
          <w:rFonts w:ascii="Times New Roman" w:hAnsi="Times New Roman" w:eastAsia="宋体"/>
          <w:b/>
          <w:i w:val="0"/>
          <w:sz w:val="21"/>
        </w:rPr>
        <w:t>(iv) Efficiency–accuracy trade-off at scale</w:t>
      </w:r>
      <w:r>
        <w:rPr>
          <w:rFonts w:ascii="Times New Roman" w:hAnsi="Times New Roman" w:eastAsia="宋体"/>
          <w:b w:val="0"/>
          <w:i w:val="0"/>
          <w:sz w:val="21"/>
        </w:rPr>
        <w:t>: high-precision models with a 3D branch incur ~100 ms per-molecule inference, requiring thousands of GPU-days to screen ten-million-scale libraries.</w:t>
      </w:r>
    </w:p>
    <w:p>
      <w:pPr>
        <w:spacing w:before="240" w:after="80"/>
      </w:pPr>
      <w:r>
        <w:rPr>
          <w:rFonts w:ascii="Times New Roman" w:hAnsi="Times New Roman" w:eastAsia="宋体"/>
          <w:b/>
          <w:i w:val="0"/>
          <w:color w:val="004C80"/>
          <w:sz w:val="24"/>
        </w:rPr>
        <w:t>1.3  Contributions of This Work</w:t>
      </w:r>
    </w:p>
    <w:p>
      <w:pPr>
        <w:spacing w:after="80" w:line="360" w:lineRule="auto"/>
        <w:ind w:firstLine="420"/>
      </w:pPr>
      <w:r>
        <w:rPr>
          <w:rFonts w:ascii="Times New Roman" w:hAnsi="Times New Roman" w:eastAsia="宋体"/>
          <w:b w:val="0"/>
          <w:i w:val="0"/>
          <w:sz w:val="21"/>
        </w:rPr>
        <w:t>This work targets NLRP3 inhibitor discovery as a concrete testbed and systematically addresses the four challenges above:</w:t>
      </w:r>
    </w:p>
    <w:p>
      <w:pPr>
        <w:spacing w:after="80" w:line="360" w:lineRule="auto"/>
        <w:ind w:firstLine="420"/>
      </w:pPr>
      <w:r>
        <w:rPr>
          <w:rFonts w:ascii="Times New Roman" w:hAnsi="Times New Roman" w:eastAsia="宋体"/>
          <w:b/>
          <w:i w:val="0"/>
          <w:sz w:val="21"/>
        </w:rPr>
        <w:t>Contribution 1 (Clinical application value)</w:t>
      </w:r>
      <w:r>
        <w:rPr>
          <w:rFonts w:ascii="Times New Roman" w:hAnsi="Times New Roman" w:eastAsia="宋体"/>
          <w:b w:val="0"/>
          <w:i w:val="0"/>
          <w:sz w:val="21"/>
        </w:rPr>
        <w:t>: We establish a complete AI-driven drug discovery pipeline for NLRP3, identifying eight novel candidates from 8.8 M ZINC molecules, each supported by a complete multi-level computational evidence chain.</w:t>
      </w:r>
    </w:p>
    <w:p>
      <w:pPr>
        <w:spacing w:after="80" w:line="360" w:lineRule="auto"/>
        <w:ind w:firstLine="420"/>
      </w:pPr>
      <w:r>
        <w:rPr>
          <w:rFonts w:ascii="Times New Roman" w:hAnsi="Times New Roman" w:eastAsia="宋体"/>
          <w:b/>
          <w:i w:val="0"/>
          <w:sz w:val="21"/>
        </w:rPr>
        <w:t>Contribution 2 (Hierarchical multi-modal fusion architecture)</w:t>
      </w:r>
      <w:r>
        <w:rPr>
          <w:rFonts w:ascii="Times New Roman" w:hAnsi="Times New Roman" w:eastAsia="宋体"/>
          <w:b w:val="0"/>
          <w:i w:val="0"/>
          <w:sz w:val="21"/>
        </w:rPr>
        <w:t xml:space="preserve">: We propose a hierarchical tri-modal fusion module—systematic integration of </w:t>
      </w:r>
      <w:r>
        <w:rPr>
          <w:rFonts w:ascii="Times New Roman" w:hAnsi="Times New Roman" w:eastAsia="宋体"/>
          <w:b/>
          <w:i w:val="0"/>
          <w:sz w:val="21"/>
        </w:rPr>
        <w:t>cross-modal attention</w:t>
      </w:r>
      <w:r>
        <w:rPr>
          <w:rFonts w:ascii="Times New Roman" w:hAnsi="Times New Roman" w:eastAsia="宋体"/>
          <w:b w:val="0"/>
          <w:i w:val="0"/>
          <w:sz w:val="21"/>
        </w:rPr>
        <w:t xml:space="preserve"> (pairwise inter-modality interactions), </w:t>
      </w:r>
      <w:r>
        <w:rPr>
          <w:rFonts w:ascii="Times New Roman" w:hAnsi="Times New Roman" w:eastAsia="宋体"/>
          <w:b/>
          <w:i w:val="0"/>
          <w:sz w:val="21"/>
        </w:rPr>
        <w:t>gated fusion units</w:t>
      </w:r>
      <w:r>
        <w:rPr>
          <w:rFonts w:ascii="Times New Roman" w:hAnsi="Times New Roman" w:eastAsia="宋体"/>
          <w:b w:val="0"/>
          <w:i w:val="0"/>
          <w:sz w:val="21"/>
        </w:rPr>
        <w:t xml:space="preserve">, </w:t>
      </w:r>
      <w:r>
        <w:rPr>
          <w:rFonts w:ascii="Times New Roman" w:hAnsi="Times New Roman" w:eastAsia="宋体"/>
          <w:b/>
          <w:i w:val="0"/>
          <w:sz w:val="21"/>
        </w:rPr>
        <w:t>low-rank bilinear fusion</w:t>
      </w:r>
      <w:r>
        <w:rPr>
          <w:rFonts w:ascii="Times New Roman" w:hAnsi="Times New Roman" w:eastAsia="宋体"/>
          <w:b w:val="0"/>
          <w:i w:val="0"/>
          <w:sz w:val="21"/>
        </w:rPr>
        <w:t xml:space="preserve"> (second-order interactions), and </w:t>
      </w:r>
      <w:r>
        <w:rPr>
          <w:rFonts w:ascii="Times New Roman" w:hAnsi="Times New Roman" w:eastAsia="宋体"/>
          <w:b/>
          <w:i w:val="0"/>
          <w:sz w:val="21"/>
        </w:rPr>
        <w:t>a learnable importance network</w:t>
      </w:r>
      <w:r>
        <w:rPr>
          <w:rFonts w:ascii="Times New Roman" w:hAnsi="Times New Roman" w:eastAsia="宋体"/>
          <w:b w:val="0"/>
          <w:i w:val="0"/>
          <w:sz w:val="21"/>
        </w:rPr>
        <w:t xml:space="preserve"> (sample-level modality reweighting)—overcoming the limitations of static fusion.</w:t>
      </w:r>
    </w:p>
    <w:p>
      <w:pPr>
        <w:spacing w:after="80" w:line="360" w:lineRule="auto"/>
        <w:ind w:firstLine="420"/>
      </w:pPr>
      <w:r>
        <w:rPr>
          <w:rFonts w:ascii="Times New Roman" w:hAnsi="Times New Roman" w:eastAsia="宋体"/>
          <w:b/>
          <w:i w:val="0"/>
          <w:sz w:val="21"/>
        </w:rPr>
        <w:t>Contribution 3 (Joint activity-ADMET multi-task learning)</w:t>
      </w:r>
      <w:r>
        <w:rPr>
          <w:rFonts w:ascii="Times New Roman" w:hAnsi="Times New Roman" w:eastAsia="宋体"/>
          <w:b w:val="0"/>
          <w:i w:val="0"/>
          <w:sz w:val="21"/>
        </w:rPr>
        <w:t xml:space="preserve">: Beyond the primary activity task, we jointly predict five ADMET drug-likeness indicators (Lipinski RO5, QED drug-likeness, PAINS filter, synthetic accessibility, LogP moderation). This co-training improves activity prediction (MCC 0.8215 → 0.8502) </w:t>
      </w:r>
      <w:r>
        <w:rPr>
          <w:rFonts w:ascii="Times New Roman" w:hAnsi="Times New Roman" w:eastAsia="宋体"/>
          <w:b/>
          <w:i w:val="0"/>
          <w:sz w:val="21"/>
        </w:rPr>
        <w:t>while producing drug-likeness predictions in a single unified model</w:t>
      </w:r>
      <w:r>
        <w:rPr>
          <w:rFonts w:ascii="Times New Roman" w:hAnsi="Times New Roman" w:eastAsia="宋体"/>
          <w:b w:val="0"/>
          <w:i w:val="0"/>
          <w:sz w:val="21"/>
        </w:rPr>
        <w:t xml:space="preserve">, providing a concrete implementation of the modern </w:t>
      </w:r>
      <w:r>
        <w:rPr>
          <w:rFonts w:ascii="Times New Roman" w:hAnsi="Times New Roman" w:eastAsia="宋体"/>
          <w:b/>
          <w:i w:val="0"/>
          <w:sz w:val="21"/>
        </w:rPr>
        <w:t>"activity and safety in parallel"</w:t>
      </w:r>
      <w:r>
        <w:rPr>
          <w:rFonts w:ascii="Times New Roman" w:hAnsi="Times New Roman" w:eastAsia="宋体"/>
          <w:b w:val="0"/>
          <w:i w:val="0"/>
          <w:sz w:val="21"/>
        </w:rPr>
        <w:t xml:space="preserve"> AI drug discovery paradigm.</w:t>
      </w:r>
    </w:p>
    <w:p>
      <w:pPr>
        <w:spacing w:after="80" w:line="360" w:lineRule="auto"/>
        <w:ind w:firstLine="420"/>
      </w:pPr>
      <w:r>
        <w:rPr>
          <w:rFonts w:ascii="Times New Roman" w:hAnsi="Times New Roman" w:eastAsia="宋体"/>
          <w:b/>
          <w:i w:val="0"/>
          <w:sz w:val="21"/>
        </w:rPr>
        <w:t>Contribution 4 (Dual-precision cascaded screening architecture)</w:t>
      </w:r>
      <w:r>
        <w:rPr>
          <w:rFonts w:ascii="Times New Roman" w:hAnsi="Times New Roman" w:eastAsia="宋体"/>
          <w:b w:val="0"/>
          <w:i w:val="0"/>
          <w:sz w:val="21"/>
        </w:rPr>
        <w:t>: We scale sample-adaptive fusion to ten-million-scale libraries, delivering approximately 12× speed-up over single-stage full-modality screening while preserving high recall.</w:t>
      </w:r>
    </w:p>
    <w:p>
      <w:pPr>
        <w:spacing w:after="80" w:line="360" w:lineRule="auto"/>
        <w:ind w:firstLine="420"/>
      </w:pPr>
      <w:r>
        <w:rPr>
          <w:rFonts w:ascii="Times New Roman" w:hAnsi="Times New Roman" w:eastAsia="宋体"/>
          <w:b w:val="0"/>
          <w:i w:val="0"/>
          <w:sz w:val="21"/>
        </w:rPr>
        <w:t>The remainder of the paper is organised as follows. Section 2 reviews related work; Section 3 presents the STG-Mol methodology; Section 4 details experimental setup; Section 5 reports results; Section 6 discusses translational implications and limitations; Section 7 concludes.</w:t>
      </w:r>
    </w:p>
    <w:p>
      <w:pPr>
        <w:spacing w:before="360" w:after="120"/>
      </w:pPr>
      <w:r>
        <w:rPr>
          <w:rFonts w:ascii="Times New Roman" w:hAnsi="Times New Roman" w:eastAsia="宋体"/>
          <w:b/>
          <w:i w:val="0"/>
          <w:color w:val="003366"/>
          <w:sz w:val="28"/>
        </w:rPr>
        <w:t>2  Related Work</w:t>
      </w:r>
    </w:p>
    <w:p>
      <w:pPr>
        <w:spacing w:before="240" w:after="80"/>
      </w:pPr>
      <w:r>
        <w:rPr>
          <w:rFonts w:ascii="Times New Roman" w:hAnsi="Times New Roman" w:eastAsia="宋体"/>
          <w:b/>
          <w:i w:val="0"/>
          <w:color w:val="004C80"/>
          <w:sz w:val="24"/>
        </w:rPr>
        <w:t>2.1  AI in Drug Discovery</w:t>
      </w:r>
    </w:p>
    <w:p>
      <w:pPr>
        <w:spacing w:after="80" w:line="360" w:lineRule="auto"/>
        <w:ind w:firstLine="420"/>
      </w:pPr>
      <w:r>
        <w:rPr>
          <w:rFonts w:ascii="Times New Roman" w:hAnsi="Times New Roman" w:eastAsia="宋体"/>
          <w:b w:val="0"/>
          <w:i w:val="0"/>
          <w:sz w:val="21"/>
        </w:rPr>
        <w:t>AI has become central to drug discovery: in target identification (PPI GNNs [25], AlphaFold [26]), hit discovery (deep-learning virtual screening [27], generative models [28], reinforcement learning [29]), and preclinical evaluation (deep ADMET models [30], GNN property prediction [31]).</w:t>
      </w:r>
    </w:p>
    <w:p>
      <w:pPr>
        <w:spacing w:before="240" w:after="80"/>
      </w:pPr>
      <w:r>
        <w:rPr>
          <w:rFonts w:ascii="Times New Roman" w:hAnsi="Times New Roman" w:eastAsia="宋体"/>
          <w:b/>
          <w:i w:val="0"/>
          <w:color w:val="004C80"/>
          <w:sz w:val="24"/>
        </w:rPr>
        <w:t>2.2  Molecular Representation Learning</w:t>
      </w:r>
    </w:p>
    <w:p>
      <w:pPr>
        <w:spacing w:after="80" w:line="360" w:lineRule="auto"/>
        <w:ind w:firstLine="420"/>
      </w:pPr>
      <w:r>
        <w:rPr>
          <w:rFonts w:ascii="Times New Roman" w:hAnsi="Times New Roman" w:eastAsia="宋体"/>
          <w:b/>
          <w:i w:val="0"/>
          <w:sz w:val="21"/>
        </w:rPr>
        <w:t>1D representations</w:t>
      </w:r>
      <w:r>
        <w:rPr>
          <w:rFonts w:ascii="Times New Roman" w:hAnsi="Times New Roman" w:eastAsia="宋体"/>
          <w:b w:val="0"/>
          <w:i w:val="0"/>
          <w:sz w:val="21"/>
        </w:rPr>
        <w:t xml:space="preserve">: Morgan/ECFP [32], Mol2Vec [12], ChemBERTa [13], MolFormer [33]. </w:t>
      </w:r>
      <w:r>
        <w:rPr>
          <w:rFonts w:ascii="Times New Roman" w:hAnsi="Times New Roman" w:eastAsia="宋体"/>
          <w:b/>
          <w:i w:val="0"/>
          <w:sz w:val="21"/>
        </w:rPr>
        <w:t>2D representations</w:t>
      </w:r>
      <w:r>
        <w:rPr>
          <w:rFonts w:ascii="Times New Roman" w:hAnsi="Times New Roman" w:eastAsia="宋体"/>
          <w:b w:val="0"/>
          <w:i w:val="0"/>
          <w:sz w:val="21"/>
        </w:rPr>
        <w:t xml:space="preserve">: GCN [14], GAT [15], MPNN [34], D-MPNN [16], AttentiveFP [17]. </w:t>
      </w:r>
      <w:r>
        <w:rPr>
          <w:rFonts w:ascii="Times New Roman" w:hAnsi="Times New Roman" w:eastAsia="宋体"/>
          <w:b/>
          <w:i w:val="0"/>
          <w:sz w:val="21"/>
        </w:rPr>
        <w:t>3D representations</w:t>
      </w:r>
      <w:r>
        <w:rPr>
          <w:rFonts w:ascii="Times New Roman" w:hAnsi="Times New Roman" w:eastAsia="宋体"/>
          <w:b w:val="0"/>
          <w:i w:val="0"/>
          <w:sz w:val="21"/>
        </w:rPr>
        <w:t>: SchNet [18], DimeNet [19], SphereNet [20], EGNN [35], PaiNN [36]. The paradigms are complementary but each has blind spots.</w:t>
      </w:r>
    </w:p>
    <w:p>
      <w:pPr>
        <w:spacing w:before="240" w:after="80"/>
      </w:pPr>
      <w:r>
        <w:rPr>
          <w:rFonts w:ascii="Times New Roman" w:hAnsi="Times New Roman" w:eastAsia="宋体"/>
          <w:b/>
          <w:i w:val="0"/>
          <w:color w:val="004C80"/>
          <w:sz w:val="24"/>
        </w:rPr>
        <w:t>2.3  Multi-Modal Molecular Fusion</w:t>
      </w:r>
    </w:p>
    <w:p>
      <w:pPr>
        <w:spacing w:after="80" w:line="360" w:lineRule="auto"/>
        <w:ind w:firstLine="420"/>
      </w:pPr>
      <w:r>
        <w:rPr>
          <w:rFonts w:ascii="Times New Roman" w:hAnsi="Times New Roman" w:eastAsia="宋体"/>
          <w:b/>
          <w:i w:val="0"/>
          <w:sz w:val="21"/>
        </w:rPr>
        <w:t>Static fusion</w:t>
      </w:r>
      <w:r>
        <w:rPr>
          <w:rFonts w:ascii="Times New Roman" w:hAnsi="Times New Roman" w:eastAsia="宋体"/>
          <w:b w:val="0"/>
          <w:i w:val="0"/>
          <w:sz w:val="21"/>
        </w:rPr>
        <w:t xml:space="preserve">: concatenation, gated fusion [37], bilinear pooling [38], MMFuse [39]. </w:t>
      </w:r>
      <w:r>
        <w:rPr>
          <w:rFonts w:ascii="Times New Roman" w:hAnsi="Times New Roman" w:eastAsia="宋体"/>
          <w:b/>
          <w:i w:val="0"/>
          <w:sz w:val="21"/>
        </w:rPr>
        <w:t>Contrastive pretraining fusion</w:t>
      </w:r>
      <w:r>
        <w:rPr>
          <w:rFonts w:ascii="Times New Roman" w:hAnsi="Times New Roman" w:eastAsia="宋体"/>
          <w:b w:val="0"/>
          <w:i w:val="0"/>
          <w:sz w:val="21"/>
        </w:rPr>
        <w:t>: MolCLR [21], Uni-Mol [22], GEM [23], KPGT [24].</w:t>
      </w:r>
    </w:p>
    <w:p>
      <w:pPr>
        <w:spacing w:after="60" w:line="312" w:lineRule="auto"/>
        <w:ind w:left="283"/>
      </w:pPr>
      <w:r>
        <w:rPr>
          <w:rFonts w:ascii="Times New Roman" w:hAnsi="Times New Roman" w:eastAsia="宋体"/>
          <w:b w:val="0"/>
          <w:i/>
          <w:color w:val="5A5A5A"/>
          <w:sz w:val="19"/>
        </w:rPr>
        <w:t>Gap analysis: existing fusion methods suffer from modality collapse, lack sample-level adaptivity, and cannot jointly predict activity and drug-likeness under small-sample target scenarios.</w:t>
      </w:r>
    </w:p>
    <w:p>
      <w:pPr>
        <w:spacing w:before="240" w:after="80"/>
      </w:pPr>
      <w:r>
        <w:rPr>
          <w:rFonts w:ascii="Times New Roman" w:hAnsi="Times New Roman" w:eastAsia="宋体"/>
          <w:b/>
          <w:i w:val="0"/>
          <w:color w:val="004C80"/>
          <w:sz w:val="24"/>
        </w:rPr>
        <w:t>2.4  Multi-Task Learning for Molecular Property Prediction</w:t>
      </w:r>
    </w:p>
    <w:p>
      <w:pPr>
        <w:spacing w:after="80" w:line="360" w:lineRule="auto"/>
        <w:ind w:firstLine="420"/>
      </w:pPr>
      <w:r>
        <w:rPr>
          <w:rFonts w:ascii="Times New Roman" w:hAnsi="Times New Roman" w:eastAsia="宋体"/>
          <w:b w:val="0"/>
          <w:i w:val="0"/>
          <w:sz w:val="21"/>
        </w:rPr>
        <w:t xml:space="preserve">Multi-task learning shares low-level representations and jointly optimises related tasks, introducing inductive bias that alleviates small-sample overfitting. Yet </w:t>
      </w:r>
      <w:r>
        <w:rPr>
          <w:rFonts w:ascii="Times New Roman" w:hAnsi="Times New Roman" w:eastAsia="宋体"/>
          <w:b/>
          <w:i w:val="0"/>
          <w:sz w:val="21"/>
        </w:rPr>
        <w:t>joint optimisation of activity prediction with drug-likeness (ADMET)</w:t>
      </w:r>
      <w:r>
        <w:rPr>
          <w:rFonts w:ascii="Times New Roman" w:hAnsi="Times New Roman" w:eastAsia="宋体"/>
          <w:b w:val="0"/>
          <w:i w:val="0"/>
          <w:sz w:val="21"/>
        </w:rPr>
        <w:t xml:space="preserve"> remains under-explored for target-specific drug discovery. This work provides the first systematic instantiation for NLRP3.</w:t>
      </w:r>
    </w:p>
    <w:p>
      <w:pPr>
        <w:spacing w:before="240" w:after="80"/>
      </w:pPr>
      <w:r>
        <w:rPr>
          <w:rFonts w:ascii="Times New Roman" w:hAnsi="Times New Roman" w:eastAsia="宋体"/>
          <w:b/>
          <w:i w:val="0"/>
          <w:color w:val="004C80"/>
          <w:sz w:val="24"/>
        </w:rPr>
        <w:t>2.5  Large-Scale Virtual Screening</w:t>
      </w:r>
    </w:p>
    <w:p>
      <w:pPr>
        <w:spacing w:after="80" w:line="360" w:lineRule="auto"/>
        <w:ind w:firstLine="420"/>
      </w:pPr>
      <w:r>
        <w:rPr>
          <w:rFonts w:ascii="Times New Roman" w:hAnsi="Times New Roman" w:eastAsia="宋体"/>
          <w:b/>
          <w:i w:val="0"/>
          <w:sz w:val="21"/>
        </w:rPr>
        <w:t>Docking-based conventional pipelines</w:t>
      </w:r>
      <w:r>
        <w:rPr>
          <w:rFonts w:ascii="Times New Roman" w:hAnsi="Times New Roman" w:eastAsia="宋体"/>
          <w:b w:val="0"/>
          <w:i w:val="0"/>
          <w:sz w:val="21"/>
        </w:rPr>
        <w:t xml:space="preserve"> (AutoDock Vina [40], Glide [41], GOLD [42], DOCK 3.7 [43]) are computationally expensive per molecule. </w:t>
      </w:r>
      <w:r>
        <w:rPr>
          <w:rFonts w:ascii="Times New Roman" w:hAnsi="Times New Roman" w:eastAsia="宋体"/>
          <w:b/>
          <w:i w:val="0"/>
          <w:sz w:val="21"/>
        </w:rPr>
        <w:t>Machine-learning-accelerated screening</w:t>
      </w:r>
      <w:r>
        <w:rPr>
          <w:rFonts w:ascii="Times New Roman" w:hAnsi="Times New Roman" w:eastAsia="宋体"/>
          <w:b w:val="0"/>
          <w:i w:val="0"/>
          <w:sz w:val="21"/>
        </w:rPr>
        <w:t xml:space="preserve"> (DeepChem [44], ChemProp [29], Deep Docking [46], MolPAL [47]) offers higher throughput. </w:t>
      </w:r>
      <w:r>
        <w:rPr>
          <w:rFonts w:ascii="Times New Roman" w:hAnsi="Times New Roman" w:eastAsia="宋体"/>
          <w:b/>
          <w:i w:val="0"/>
          <w:sz w:val="21"/>
        </w:rPr>
        <w:t>Cascaded architectures</w:t>
      </w:r>
      <w:r>
        <w:rPr>
          <w:rFonts w:ascii="Times New Roman" w:hAnsi="Times New Roman" w:eastAsia="宋体"/>
          <w:b w:val="0"/>
          <w:i w:val="0"/>
          <w:sz w:val="21"/>
        </w:rPr>
        <w:t xml:space="preserve"> (V-SYNTHES [48], Graff [33]) combine multi-stage strategies with deep learning.</w:t>
      </w:r>
    </w:p>
    <w:p>
      <w:pPr>
        <w:spacing w:before="240" w:after="80"/>
      </w:pPr>
      <w:r>
        <w:rPr>
          <w:rFonts w:ascii="Times New Roman" w:hAnsi="Times New Roman" w:eastAsia="宋体"/>
          <w:b/>
          <w:i w:val="0"/>
          <w:color w:val="004C80"/>
          <w:sz w:val="24"/>
        </w:rPr>
        <w:t>2.6  Computational Discovery of NLRP3 Inhibitors</w:t>
      </w:r>
    </w:p>
    <w:p>
      <w:pPr>
        <w:spacing w:after="80" w:line="360" w:lineRule="auto"/>
        <w:ind w:firstLine="420"/>
      </w:pPr>
      <w:r>
        <w:rPr>
          <w:rFonts w:ascii="Times New Roman" w:hAnsi="Times New Roman" w:eastAsia="宋体"/>
          <w:b w:val="0"/>
          <w:i w:val="0"/>
          <w:sz w:val="21"/>
        </w:rPr>
        <w:t xml:space="preserve">Known NLRP3 inhibitors span three classes: </w:t>
      </w:r>
      <w:r>
        <w:rPr>
          <w:rFonts w:ascii="Times New Roman" w:hAnsi="Times New Roman" w:eastAsia="宋体"/>
          <w:b/>
          <w:i w:val="0"/>
          <w:sz w:val="21"/>
        </w:rPr>
        <w:t>MCC950-type sulfonylureas</w:t>
      </w:r>
      <w:r>
        <w:rPr>
          <w:rFonts w:ascii="Times New Roman" w:hAnsi="Times New Roman" w:eastAsia="宋体"/>
          <w:b w:val="0"/>
          <w:i w:val="0"/>
          <w:sz w:val="21"/>
        </w:rPr>
        <w:t xml:space="preserve"> [9], </w:t>
      </w:r>
      <w:r>
        <w:rPr>
          <w:rFonts w:ascii="Times New Roman" w:hAnsi="Times New Roman" w:eastAsia="宋体"/>
          <w:b/>
          <w:i w:val="0"/>
          <w:sz w:val="21"/>
        </w:rPr>
        <w:t>CY-09-type thioureas</w:t>
      </w:r>
      <w:r>
        <w:rPr>
          <w:rFonts w:ascii="Times New Roman" w:hAnsi="Times New Roman" w:eastAsia="宋体"/>
          <w:b w:val="0"/>
          <w:i w:val="0"/>
          <w:sz w:val="21"/>
        </w:rPr>
        <w:t xml:space="preserve"> [50], and </w:t>
      </w:r>
      <w:r>
        <w:rPr>
          <w:rFonts w:ascii="Times New Roman" w:hAnsi="Times New Roman" w:eastAsia="宋体"/>
          <w:b/>
          <w:i w:val="0"/>
          <w:sz w:val="21"/>
        </w:rPr>
        <w:t>natural-product-type</w:t>
      </w:r>
      <w:r>
        <w:rPr>
          <w:rFonts w:ascii="Times New Roman" w:hAnsi="Times New Roman" w:eastAsia="宋体"/>
          <w:b w:val="0"/>
          <w:i w:val="0"/>
          <w:sz w:val="21"/>
        </w:rPr>
        <w:t xml:space="preserve"> compounds (oridonin [51], tranilast [52]). Computational studies are largely limited to docking or classical QSAR, lacking end-to-end AI + complete multi-level validation + joint activity-ADMET prediction.</w:t>
      </w:r>
    </w:p>
    <w:p>
      <w:pPr>
        <w:spacing w:after="60" w:line="312" w:lineRule="auto"/>
        <w:ind w:left="283"/>
      </w:pPr>
      <w:r>
        <w:rPr>
          <w:rFonts w:ascii="Times New Roman" w:hAnsi="Times New Roman" w:eastAsia="宋体"/>
          <w:b w:val="0"/>
          <w:i/>
          <w:color w:val="5A5A5A"/>
          <w:sz w:val="19"/>
        </w:rPr>
        <w:t>Gap analysis: no prior work has systematically integrated hierarchical multi-modal fusion, multi-task joint prediction, cascaded screening, and complete multi-level computational validation for NLRP3 inhibitor discovery. This work fills that gap.</w:t>
      </w:r>
    </w:p>
    <w:p>
      <w:pPr>
        <w:spacing w:before="360" w:after="120"/>
      </w:pPr>
      <w:r>
        <w:rPr>
          <w:rFonts w:ascii="Times New Roman" w:hAnsi="Times New Roman" w:eastAsia="宋体"/>
          <w:b/>
          <w:i w:val="0"/>
          <w:color w:val="003366"/>
          <w:sz w:val="28"/>
        </w:rPr>
        <w:t>3  Methods</w:t>
      </w:r>
    </w:p>
    <w:p>
      <w:pPr>
        <w:spacing w:before="240" w:after="80"/>
      </w:pPr>
      <w:r>
        <w:rPr>
          <w:rFonts w:ascii="Times New Roman" w:hAnsi="Times New Roman" w:eastAsia="宋体"/>
          <w:b/>
          <w:i w:val="0"/>
          <w:color w:val="004C80"/>
          <w:sz w:val="24"/>
        </w:rPr>
        <w:t>3.1  Problem Formulation</w:t>
      </w:r>
    </w:p>
    <w:p>
      <w:pPr>
        <w:spacing w:after="80" w:line="360" w:lineRule="auto"/>
        <w:ind w:firstLine="420"/>
      </w:pPr>
      <w:r>
        <w:rPr>
          <w:rFonts w:ascii="Times New Roman" w:hAnsi="Times New Roman" w:eastAsia="宋体"/>
          <w:b w:val="0"/>
          <w:i w:val="0"/>
          <w:sz w:val="21"/>
        </w:rPr>
        <w:t>Given a set of molecules M = {mᵢ} with primary activity labels y ∈ {0,1}, the multi-task extension introduces five auxiliary ADMET binary tasks aᵢ ∈ {0,1}^5. For each molecule we extract three modality representations:</w:t>
      </w:r>
    </w:p>
    <w:p>
      <w:pPr>
        <w:spacing w:before="80" w:after="120"/>
        <w:jc w:val="center"/>
      </w:pPr>
      <w:r>
        <w:rPr>
          <w:rFonts w:ascii="Cambria Math" w:hAnsi="Cambria Math"/>
          <w:sz w:val="22"/>
        </w:rPr>
        <w:t>xᵢ¹ᴰ ∈ 𝒳¹ᴰ,    xᵢ²ᴰ ∈ 𝒳²ᴰ,    xᵢ³ᴰ ∈ 𝒳³ᴰ</w:t>
      </w:r>
    </w:p>
    <w:p>
      <w:pPr>
        <w:spacing w:after="80" w:line="360" w:lineRule="auto"/>
        <w:ind w:firstLine="420"/>
      </w:pPr>
      <w:r>
        <w:rPr>
          <w:rFonts w:ascii="Times New Roman" w:hAnsi="Times New Roman" w:eastAsia="宋体"/>
          <w:b w:val="0"/>
          <w:i w:val="0"/>
          <w:sz w:val="21"/>
        </w:rPr>
        <w:t>The objective is to learn a joint mapping f_θ : (𝒳¹ᴰ × 𝒳²ᴰ × 𝒳³ᴰ) → [0,1] × [0,1]^5 that outputs both activity probability and five ADMET probabilities.</w:t>
      </w:r>
    </w:p>
    <w:p>
      <w:pPr>
        <w:spacing w:before="240" w:after="80"/>
      </w:pPr>
      <w:r>
        <w:rPr>
          <w:rFonts w:ascii="Times New Roman" w:hAnsi="Times New Roman" w:eastAsia="宋体"/>
          <w:b/>
          <w:i w:val="0"/>
          <w:color w:val="004C80"/>
          <w:sz w:val="24"/>
        </w:rPr>
        <w:t>3.2  Overview of the STG-Mol Framework</w:t>
      </w:r>
    </w:p>
    <w:p>
      <w:pPr>
        <w:spacing w:after="80" w:line="360" w:lineRule="auto"/>
        <w:ind w:firstLine="420"/>
      </w:pPr>
      <w:r>
        <w:rPr>
          <w:rFonts w:ascii="Times New Roman" w:hAnsi="Times New Roman" w:eastAsia="宋体"/>
          <w:b w:val="0"/>
          <w:i w:val="0"/>
          <w:sz w:val="21"/>
        </w:rPr>
        <w:t>STG-Mol comprises five sequential modules: (1) three modality-specific encoders; (2) a hierarchical tri-modal fusion module; (3) a primary classification head (activity); (4) an ADMET multi-task classification head (five auxiliary tasks); (5) a dual-precision cascaded screening architecture.</w:t>
      </w:r>
    </w:p>
    <w:p>
      <w:pPr>
        <w:spacing w:before="80" w:after="120"/>
        <w:jc w:val="center"/>
      </w:pPr>
      <w:r>
        <w:rPr>
          <w:rFonts w:ascii="Cambria Math" w:hAnsi="Cambria Math"/>
          <w:sz w:val="22"/>
        </w:rPr>
        <w:t>ŷ_activity = σ(MLP_main(HierarchicalFusion(E₁ᴅ, E₂ᴅ, E₃ᴅ)))</w:t>
      </w:r>
    </w:p>
    <w:p>
      <w:pPr>
        <w:spacing w:before="80" w:after="120"/>
        <w:jc w:val="center"/>
      </w:pPr>
      <w:r>
        <w:rPr>
          <w:rFonts w:ascii="Cambria Math" w:hAnsi="Cambria Math"/>
          <w:sz w:val="22"/>
        </w:rPr>
        <w:t>ŷ_admet    = σ(MLP_admet(HierarchicalFusion(E₁ᴅ, E₂ᴅ, E₃ᴅ)))</w:t>
      </w:r>
    </w:p>
    <w:p>
      <w:pPr>
        <w:spacing w:before="240" w:after="80"/>
      </w:pPr>
      <w:r>
        <w:rPr>
          <w:rFonts w:ascii="Times New Roman" w:hAnsi="Times New Roman" w:eastAsia="宋体"/>
          <w:b/>
          <w:i w:val="0"/>
          <w:color w:val="004C80"/>
          <w:sz w:val="24"/>
        </w:rPr>
        <w:t>3.3  Modality Encoders</w:t>
      </w:r>
    </w:p>
    <w:p>
      <w:pPr>
        <w:spacing w:before="160" w:after="40"/>
      </w:pPr>
      <w:r>
        <w:rPr>
          <w:rFonts w:ascii="Times New Roman" w:hAnsi="Times New Roman" w:eastAsia="宋体"/>
          <w:b/>
          <w:i w:val="0"/>
          <w:color w:val="1F4E79"/>
          <w:sz w:val="22"/>
        </w:rPr>
        <w:t>3.3.1  1D Sequence Semantic Encoder (Mol2Vec)</w:t>
      </w:r>
    </w:p>
    <w:p>
      <w:pPr>
        <w:spacing w:after="80" w:line="360" w:lineRule="auto"/>
        <w:ind w:firstLine="420"/>
      </w:pPr>
      <w:r>
        <w:rPr>
          <w:rFonts w:ascii="Times New Roman" w:hAnsi="Times New Roman" w:eastAsia="宋体"/>
          <w:b w:val="0"/>
          <w:i w:val="0"/>
          <w:sz w:val="21"/>
        </w:rPr>
        <w:t>SMILES strings are mapped by a pretrained Mol2Vec [12] model to fragment embeddings, mean-pooled to a 300-dimensional vector, then projected to a fusion dimension d = 112.</w:t>
      </w:r>
    </w:p>
    <w:p>
      <w:pPr>
        <w:spacing w:before="160" w:after="40"/>
      </w:pPr>
      <w:r>
        <w:rPr>
          <w:rFonts w:ascii="Times New Roman" w:hAnsi="Times New Roman" w:eastAsia="宋体"/>
          <w:b/>
          <w:i w:val="0"/>
          <w:color w:val="1F4E79"/>
          <w:sz w:val="22"/>
        </w:rPr>
        <w:t>3.3.2  2D Topological Graph Encoder (D-MPNN)</w:t>
      </w:r>
    </w:p>
    <w:p>
      <w:pPr>
        <w:spacing w:after="80" w:line="360" w:lineRule="auto"/>
        <w:ind w:firstLine="420"/>
      </w:pPr>
      <w:r>
        <w:rPr>
          <w:rFonts w:ascii="Times New Roman" w:hAnsi="Times New Roman" w:eastAsia="宋体"/>
          <w:b w:val="0"/>
          <w:i w:val="0"/>
          <w:sz w:val="21"/>
        </w:rPr>
        <w:t xml:space="preserve">We adopt D-MPNN [16], which passes messages along directed edges. </w:t>
      </w:r>
      <w:r>
        <w:rPr>
          <w:rFonts w:ascii="Times New Roman" w:hAnsi="Times New Roman" w:eastAsia="宋体"/>
          <w:b/>
          <w:i w:val="0"/>
          <w:sz w:val="21"/>
        </w:rPr>
        <w:t>Atom features are extended to 47 dimensions</w:t>
      </w:r>
      <w:r>
        <w:rPr>
          <w:rFonts w:ascii="Times New Roman" w:hAnsi="Times New Roman" w:eastAsia="宋体"/>
          <w:b w:val="0"/>
          <w:i w:val="0"/>
          <w:sz w:val="21"/>
        </w:rPr>
        <w:t>, including Gasteiger partial charges, atomic polarizability, and pharmacophore tags (H-bond donor/acceptor, hydrophobe, aromatic, ionisable). T = 3 message-passing steps, hidden dimension 112.</w:t>
      </w:r>
    </w:p>
    <w:p>
      <w:pPr>
        <w:spacing w:before="160" w:after="40"/>
      </w:pPr>
      <w:r>
        <w:rPr>
          <w:rFonts w:ascii="Times New Roman" w:hAnsi="Times New Roman" w:eastAsia="宋体"/>
          <w:b/>
          <w:i w:val="0"/>
          <w:color w:val="1F4E79"/>
          <w:sz w:val="22"/>
        </w:rPr>
        <w:t>3.3.3  3D Geometric Conformer Encoder (SphereNet)</w:t>
      </w:r>
    </w:p>
    <w:p>
      <w:pPr>
        <w:spacing w:after="80" w:line="360" w:lineRule="auto"/>
        <w:ind w:firstLine="420"/>
      </w:pPr>
      <w:r>
        <w:rPr>
          <w:rFonts w:ascii="Times New Roman" w:hAnsi="Times New Roman" w:eastAsia="宋体"/>
          <w:b w:val="0"/>
          <w:i w:val="0"/>
          <w:sz w:val="21"/>
        </w:rPr>
        <w:t>SphereNet [20] encodes 3D conformers. Conformers are generated by ETKDGv3 with MMFF94s optimisation; the lowest-energy conformer is retained. T = 3 interaction blocks, K = 6 radial basis functions, spherical basis = 7, cutoff 8 Å.</w:t>
      </w:r>
    </w:p>
    <w:p>
      <w:pPr>
        <w:spacing w:before="240" w:after="80"/>
      </w:pPr>
      <w:r>
        <w:rPr>
          <w:rFonts w:ascii="Times New Roman" w:hAnsi="Times New Roman" w:eastAsia="宋体"/>
          <w:b/>
          <w:i w:val="0"/>
          <w:color w:val="004C80"/>
          <w:sz w:val="24"/>
        </w:rPr>
        <w:t>3.4  Hierarchical Tri-Modal Fusion Module</w:t>
      </w:r>
    </w:p>
    <w:p>
      <w:pPr>
        <w:spacing w:after="80" w:line="360" w:lineRule="auto"/>
        <w:ind w:firstLine="420"/>
      </w:pPr>
      <w:r>
        <w:rPr>
          <w:rFonts w:ascii="Times New Roman" w:hAnsi="Times New Roman" w:eastAsia="宋体"/>
          <w:b w:val="0"/>
          <w:i w:val="0"/>
          <w:sz w:val="21"/>
        </w:rPr>
        <w:t xml:space="preserve">The fusion module is the central methodological contribution of STG-Mol, systematically combining </w:t>
      </w:r>
      <w:r>
        <w:rPr>
          <w:rFonts w:ascii="Times New Roman" w:hAnsi="Times New Roman" w:eastAsia="宋体"/>
          <w:b/>
          <w:i w:val="0"/>
          <w:sz w:val="21"/>
        </w:rPr>
        <w:t>four fusion mechanisms</w:t>
      </w:r>
      <w:r>
        <w:rPr>
          <w:rFonts w:ascii="Times New Roman" w:hAnsi="Times New Roman" w:eastAsia="宋体"/>
          <w:b w:val="0"/>
          <w:i w:val="0"/>
          <w:sz w:val="21"/>
        </w:rPr>
        <w:t xml:space="preserve"> to achieve sample-level adaptive modality weighting.</w:t>
      </w:r>
    </w:p>
    <w:p>
      <w:pPr>
        <w:spacing w:before="160" w:after="40"/>
      </w:pPr>
      <w:r>
        <w:rPr>
          <w:rFonts w:ascii="Times New Roman" w:hAnsi="Times New Roman" w:eastAsia="宋体"/>
          <w:b/>
          <w:i w:val="0"/>
          <w:color w:val="1F4E79"/>
          <w:sz w:val="22"/>
        </w:rPr>
        <w:t>3.4.1  Pairwise Cross-Modal Attention</w:t>
      </w:r>
    </w:p>
    <w:p>
      <w:pPr>
        <w:spacing w:after="80" w:line="360" w:lineRule="auto"/>
        <w:ind w:firstLine="420"/>
      </w:pPr>
      <w:r>
        <w:rPr>
          <w:rFonts w:ascii="Times New Roman" w:hAnsi="Times New Roman" w:eastAsia="宋体"/>
          <w:b w:val="0"/>
          <w:i w:val="0"/>
          <w:sz w:val="21"/>
        </w:rPr>
        <w:t>We apply cross-modal attention to all three pairs:</w:t>
      </w:r>
    </w:p>
    <w:p>
      <w:pPr>
        <w:spacing w:before="80" w:after="120"/>
        <w:jc w:val="center"/>
      </w:pPr>
      <w:r>
        <w:rPr>
          <w:rFonts w:ascii="Cambria Math" w:hAnsi="Cambria Math"/>
          <w:sz w:val="22"/>
        </w:rPr>
        <w:t>(z_ij_a, z_ij_b) = CrossAttention(z_i, z_j),  (i,j) ∈ {(1D,2D),(1D,3D),(2D,3D)}</w:t>
      </w:r>
    </w:p>
    <w:p>
      <w:pPr>
        <w:spacing w:after="80" w:line="360" w:lineRule="auto"/>
        <w:ind w:firstLine="420"/>
      </w:pPr>
      <w:r>
        <w:rPr>
          <w:rFonts w:ascii="Times New Roman" w:hAnsi="Times New Roman" w:eastAsia="宋体"/>
          <w:b w:val="0"/>
          <w:i w:val="0"/>
          <w:sz w:val="21"/>
        </w:rPr>
        <w:t>Each modality "senses" the other two, yielding six cross-modal enhanced representations. Each modality's final enhanced representation is the mean of the three cross-attention outputs.</w:t>
      </w:r>
    </w:p>
    <w:p>
      <w:pPr>
        <w:spacing w:before="160" w:after="40"/>
      </w:pPr>
      <w:r>
        <w:rPr>
          <w:rFonts w:ascii="Times New Roman" w:hAnsi="Times New Roman" w:eastAsia="宋体"/>
          <w:b/>
          <w:i w:val="0"/>
          <w:color w:val="1F4E79"/>
          <w:sz w:val="22"/>
        </w:rPr>
        <w:t>3.4.2  Gated Fusion Unit</w:t>
      </w:r>
    </w:p>
    <w:p>
      <w:pPr>
        <w:spacing w:after="80" w:line="360" w:lineRule="auto"/>
        <w:ind w:firstLine="420"/>
      </w:pPr>
      <w:r>
        <w:rPr>
          <w:rFonts w:ascii="Times New Roman" w:hAnsi="Times New Roman" w:eastAsia="宋体"/>
          <w:b w:val="0"/>
          <w:i w:val="0"/>
          <w:sz w:val="21"/>
        </w:rPr>
        <w:t>Each enhanced modality pair is fused via a learnable gating mechanism:</w:t>
      </w:r>
    </w:p>
    <w:p>
      <w:pPr>
        <w:spacing w:before="80" w:after="120"/>
        <w:jc w:val="center"/>
      </w:pPr>
      <w:r>
        <w:rPr>
          <w:rFonts w:ascii="Cambria Math" w:hAnsi="Cambria Math"/>
          <w:sz w:val="22"/>
        </w:rPr>
        <w:t>g = σ(W_g · [z_i^enh ‖ z_j^enh]),   f_ij = g ⊙ z_i^enh + (1-g) ⊙ z_j^enh</w:t>
      </w:r>
    </w:p>
    <w:p>
      <w:pPr>
        <w:spacing w:after="80" w:line="360" w:lineRule="auto"/>
        <w:ind w:firstLine="420"/>
      </w:pPr>
      <w:r>
        <w:rPr>
          <w:rFonts w:ascii="Times New Roman" w:hAnsi="Times New Roman" w:eastAsia="宋体"/>
          <w:b w:val="0"/>
          <w:i w:val="0"/>
          <w:sz w:val="21"/>
        </w:rPr>
        <w:t>The gate signal g is input-adaptive, dynamically balancing modality contributions.</w:t>
      </w:r>
    </w:p>
    <w:p>
      <w:pPr>
        <w:spacing w:before="160" w:after="40"/>
      </w:pPr>
      <w:r>
        <w:rPr>
          <w:rFonts w:ascii="Times New Roman" w:hAnsi="Times New Roman" w:eastAsia="宋体"/>
          <w:b/>
          <w:i w:val="0"/>
          <w:color w:val="1F4E79"/>
          <w:sz w:val="22"/>
        </w:rPr>
        <w:t>3.4.3  Low-Rank Bilinear Fusion</w:t>
      </w:r>
    </w:p>
    <w:p>
      <w:pPr>
        <w:spacing w:after="80" w:line="360" w:lineRule="auto"/>
        <w:ind w:firstLine="420"/>
      </w:pPr>
      <w:r>
        <w:rPr>
          <w:rFonts w:ascii="Times New Roman" w:hAnsi="Times New Roman" w:eastAsia="宋体"/>
          <w:b w:val="0"/>
          <w:i w:val="0"/>
          <w:sz w:val="21"/>
        </w:rPr>
        <w:t>To capture second-order interactions between modalities we employ low-rank bilinear fusion parameterised by two low-rank projections U/V, reducing parameters from O(d²) to O(d·r).</w:t>
      </w:r>
    </w:p>
    <w:p>
      <w:pPr>
        <w:spacing w:before="160" w:after="40"/>
      </w:pPr>
      <w:r>
        <w:rPr>
          <w:rFonts w:ascii="Times New Roman" w:hAnsi="Times New Roman" w:eastAsia="宋体"/>
          <w:b/>
          <w:i w:val="0"/>
          <w:color w:val="1F4E79"/>
          <w:sz w:val="22"/>
        </w:rPr>
        <w:t>3.4.4  Sample-Level Learnable Importance Network</w:t>
      </w:r>
    </w:p>
    <w:p>
      <w:pPr>
        <w:spacing w:after="80" w:line="360" w:lineRule="auto"/>
        <w:ind w:firstLine="420"/>
      </w:pPr>
      <w:r>
        <w:rPr>
          <w:rFonts w:ascii="Times New Roman" w:hAnsi="Times New Roman" w:eastAsia="宋体"/>
          <w:b w:val="0"/>
          <w:i w:val="0"/>
          <w:sz w:val="21"/>
        </w:rPr>
        <w:t xml:space="preserve">Concatenated raw modality features are fed to an importance network that outputs </w:t>
      </w:r>
      <w:r>
        <w:rPr>
          <w:rFonts w:ascii="Times New Roman" w:hAnsi="Times New Roman" w:eastAsia="宋体"/>
          <w:b/>
          <w:i w:val="0"/>
          <w:sz w:val="21"/>
        </w:rPr>
        <w:t>sample-level modality weights</w:t>
      </w:r>
      <w:r>
        <w:rPr>
          <w:rFonts w:ascii="Times New Roman" w:hAnsi="Times New Roman" w:eastAsia="宋体"/>
          <w:b w:val="0"/>
          <w:i w:val="0"/>
          <w:sz w:val="21"/>
        </w:rPr>
        <w:t>:</w:t>
      </w:r>
    </w:p>
    <w:p>
      <w:pPr>
        <w:spacing w:before="80" w:after="120"/>
        <w:jc w:val="center"/>
      </w:pPr>
      <w:r>
        <w:rPr>
          <w:rFonts w:ascii="Cambria Math" w:hAnsi="Cambria Math"/>
          <w:sz w:val="22"/>
        </w:rPr>
        <w:t>w = softmax(MLP([z_1D ; z_2D ; z_3D])) ∈ ℝ³</w:t>
      </w:r>
    </w:p>
    <w:p>
      <w:pPr>
        <w:spacing w:after="80" w:line="360" w:lineRule="auto"/>
        <w:ind w:firstLine="420"/>
      </w:pPr>
      <w:r>
        <w:rPr>
          <w:rFonts w:ascii="Times New Roman" w:hAnsi="Times New Roman" w:eastAsia="宋体"/>
          <w:b w:val="0"/>
          <w:i w:val="0"/>
          <w:sz w:val="21"/>
        </w:rPr>
        <w:t xml:space="preserve">The weights w = (w_1D, w_2D, w_3D) sum to one and represent </w:t>
      </w:r>
      <w:r>
        <w:rPr>
          <w:rFonts w:ascii="Times New Roman" w:hAnsi="Times New Roman" w:eastAsia="宋体"/>
          <w:b/>
          <w:i w:val="0"/>
          <w:sz w:val="21"/>
        </w:rPr>
        <w:t>the current molecule's relative reliance on the three modalities</w:t>
      </w:r>
      <w:r>
        <w:rPr>
          <w:rFonts w:ascii="Times New Roman" w:hAnsi="Times New Roman" w:eastAsia="宋体"/>
          <w:b w:val="0"/>
          <w:i w:val="0"/>
          <w:sz w:val="21"/>
        </w:rPr>
        <w:t>. Because w is input-dependent, the same model produces different weights for different molecules—</w:t>
      </w:r>
      <w:r>
        <w:rPr>
          <w:rFonts w:ascii="Times New Roman" w:hAnsi="Times New Roman" w:eastAsia="宋体"/>
          <w:b/>
          <w:i w:val="0"/>
          <w:sz w:val="21"/>
        </w:rPr>
        <w:t>this is the mathematical realisation of sample-level adaptivity</w:t>
      </w:r>
      <w:r>
        <w:rPr>
          <w:rFonts w:ascii="Times New Roman" w:hAnsi="Times New Roman" w:eastAsia="宋体"/>
          <w:b w:val="0"/>
          <w:i w:val="0"/>
          <w:sz w:val="21"/>
        </w:rPr>
        <w:t>. The weighted representation z_weighted = Σₘ wₘ · zₘ is combined with the gated and bilinear fusion outputs through an MLP to produce the final fused representation.</w:t>
      </w:r>
    </w:p>
    <w:p>
      <w:pPr>
        <w:spacing w:before="240" w:after="80"/>
      </w:pPr>
      <w:r>
        <w:rPr>
          <w:rFonts w:ascii="Times New Roman" w:hAnsi="Times New Roman" w:eastAsia="宋体"/>
          <w:b/>
          <w:i w:val="0"/>
          <w:color w:val="004C80"/>
          <w:sz w:val="24"/>
        </w:rPr>
        <w:t>3.5  Loss Function Design</w:t>
      </w:r>
    </w:p>
    <w:p>
      <w:pPr>
        <w:spacing w:after="80" w:line="360" w:lineRule="auto"/>
        <w:ind w:firstLine="420"/>
      </w:pPr>
      <w:r>
        <w:rPr>
          <w:rFonts w:ascii="Times New Roman" w:hAnsi="Times New Roman" w:eastAsia="宋体"/>
          <w:b w:val="0"/>
          <w:i w:val="0"/>
          <w:sz w:val="21"/>
        </w:rPr>
        <w:t>The training objective combines the primary task loss, auxiliary task loss (Section 3.6), and a diversity regularisation loss.</w:t>
      </w:r>
    </w:p>
    <w:p>
      <w:pPr>
        <w:spacing w:before="160" w:after="40"/>
      </w:pPr>
      <w:r>
        <w:rPr>
          <w:rFonts w:ascii="Times New Roman" w:hAnsi="Times New Roman" w:eastAsia="宋体"/>
          <w:b/>
          <w:i w:val="0"/>
          <w:color w:val="1F4E79"/>
          <w:sz w:val="22"/>
        </w:rPr>
        <w:t>3.5.1  Focal Loss + Class Balancing</w:t>
      </w:r>
    </w:p>
    <w:p>
      <w:pPr>
        <w:spacing w:after="80" w:line="360" w:lineRule="auto"/>
        <w:ind w:firstLine="420"/>
      </w:pPr>
      <w:r>
        <w:rPr>
          <w:rFonts w:ascii="Times New Roman" w:hAnsi="Times New Roman" w:eastAsia="宋体"/>
          <w:b w:val="0"/>
          <w:i w:val="0"/>
          <w:sz w:val="21"/>
        </w:rPr>
        <w:t xml:space="preserve">To address the NLRP3 positive/negative imbalance (~1:3), we adopt </w:t>
      </w:r>
      <w:r>
        <w:rPr>
          <w:rFonts w:ascii="Times New Roman" w:hAnsi="Times New Roman" w:eastAsia="宋体"/>
          <w:b/>
          <w:i w:val="0"/>
          <w:sz w:val="21"/>
        </w:rPr>
        <w:t>Focal Loss</w:t>
      </w:r>
      <w:r>
        <w:rPr>
          <w:rFonts w:ascii="Times New Roman" w:hAnsi="Times New Roman" w:eastAsia="宋体"/>
          <w:b w:val="0"/>
          <w:i w:val="0"/>
          <w:sz w:val="21"/>
        </w:rPr>
        <w:t xml:space="preserve"> [63] with </w:t>
      </w:r>
      <w:r>
        <w:rPr>
          <w:rFonts w:ascii="Times New Roman" w:hAnsi="Times New Roman" w:eastAsia="宋体"/>
          <w:b/>
          <w:i w:val="0"/>
          <w:sz w:val="21"/>
        </w:rPr>
        <w:t>class balancing weights</w:t>
      </w:r>
      <w:r>
        <w:rPr>
          <w:rFonts w:ascii="Times New Roman" w:hAnsi="Times New Roman" w:eastAsia="宋体"/>
          <w:b w:val="0"/>
          <w:i w:val="0"/>
          <w:sz w:val="21"/>
        </w:rPr>
        <w:t>:</w:t>
      </w:r>
    </w:p>
    <w:p>
      <w:pPr>
        <w:spacing w:before="80" w:after="120"/>
        <w:jc w:val="center"/>
      </w:pPr>
      <w:r>
        <w:rPr>
          <w:rFonts w:ascii="Cambria Math" w:hAnsi="Cambria Math"/>
          <w:sz w:val="22"/>
        </w:rPr>
        <w:t>L_focal = -α_c (1 - p_c)^γ log(p_c)</w:t>
      </w:r>
    </w:p>
    <w:p>
      <w:pPr>
        <w:spacing w:after="80" w:line="360" w:lineRule="auto"/>
        <w:ind w:firstLine="420"/>
      </w:pPr>
      <w:r>
        <w:rPr>
          <w:rFonts w:ascii="Times New Roman" w:hAnsi="Times New Roman" w:eastAsia="宋体"/>
          <w:b w:val="0"/>
          <w:i w:val="0"/>
          <w:sz w:val="21"/>
        </w:rPr>
        <w:t>where α_c is computed via the balanced strategy, γ = 1.5 is the focusing parameter, and label smoothing ε = 0.05.</w:t>
      </w:r>
    </w:p>
    <w:p>
      <w:pPr>
        <w:spacing w:before="160" w:after="40"/>
      </w:pPr>
      <w:r>
        <w:rPr>
          <w:rFonts w:ascii="Times New Roman" w:hAnsi="Times New Roman" w:eastAsia="宋体"/>
          <w:b/>
          <w:i w:val="0"/>
          <w:color w:val="1F4E79"/>
          <w:sz w:val="22"/>
        </w:rPr>
        <w:t>3.5.2  Diversity Regularisation Loss</w:t>
      </w:r>
    </w:p>
    <w:p>
      <w:pPr>
        <w:spacing w:after="80" w:line="360" w:lineRule="auto"/>
        <w:ind w:firstLine="420"/>
      </w:pPr>
      <w:r>
        <w:rPr>
          <w:rFonts w:ascii="Times New Roman" w:hAnsi="Times New Roman" w:eastAsia="宋体"/>
          <w:b w:val="0"/>
          <w:i w:val="0"/>
          <w:sz w:val="21"/>
        </w:rPr>
        <w:t xml:space="preserve">To prevent modality-weight collapse to a uniform distribution (losing sample-level adaptivity), we introduce a </w:t>
      </w:r>
      <w:r>
        <w:rPr>
          <w:rFonts w:ascii="Times New Roman" w:hAnsi="Times New Roman" w:eastAsia="宋体"/>
          <w:b/>
          <w:i w:val="0"/>
          <w:sz w:val="21"/>
        </w:rPr>
        <w:t>variance penalty</w:t>
      </w:r>
      <w:r>
        <w:rPr>
          <w:rFonts w:ascii="Times New Roman" w:hAnsi="Times New Roman" w:eastAsia="宋体"/>
          <w:b w:val="0"/>
          <w:i w:val="0"/>
          <w:sz w:val="21"/>
        </w:rPr>
        <w:t>:</w:t>
      </w:r>
    </w:p>
    <w:p>
      <w:pPr>
        <w:spacing w:before="80" w:after="120"/>
        <w:jc w:val="center"/>
      </w:pPr>
      <w:r>
        <w:rPr>
          <w:rFonts w:ascii="Cambria Math" w:hAnsi="Cambria Math"/>
          <w:sz w:val="22"/>
        </w:rPr>
        <w:t>L_div = mean(sum((w - uniform)² , dim=-1))</w:t>
      </w:r>
    </w:p>
    <w:p>
      <w:pPr>
        <w:spacing w:after="80" w:line="360" w:lineRule="auto"/>
        <w:ind w:firstLine="420"/>
      </w:pPr>
      <w:r>
        <w:rPr>
          <w:rFonts w:ascii="Times New Roman" w:hAnsi="Times New Roman" w:eastAsia="宋体"/>
          <w:b w:val="0"/>
          <w:i w:val="0"/>
          <w:sz w:val="21"/>
        </w:rPr>
        <w:t>This regularisation encourages differentiated modality weights across molecules, with coefficient λ_div = 0.15.</w:t>
      </w:r>
    </w:p>
    <w:p>
      <w:pPr>
        <w:spacing w:before="240" w:after="80"/>
      </w:pPr>
      <w:r>
        <w:rPr>
          <w:rFonts w:ascii="Times New Roman" w:hAnsi="Times New Roman" w:eastAsia="宋体"/>
          <w:b/>
          <w:i w:val="0"/>
          <w:color w:val="004C80"/>
          <w:sz w:val="24"/>
        </w:rPr>
        <w:t>3.6  Joint Activity-ADMET Multi-Task Learning</w:t>
      </w:r>
    </w:p>
    <w:p>
      <w:pPr>
        <w:spacing w:after="80" w:line="360" w:lineRule="auto"/>
        <w:ind w:firstLine="420"/>
      </w:pPr>
      <w:r>
        <w:rPr>
          <w:rFonts w:ascii="Times New Roman" w:hAnsi="Times New Roman" w:eastAsia="宋体"/>
          <w:b/>
          <w:i w:val="0"/>
          <w:sz w:val="21"/>
        </w:rPr>
        <w:t>This is a core methodological contribution of the paper.</w:t>
      </w:r>
      <w:r>
        <w:rPr>
          <w:rFonts w:ascii="Times New Roman" w:hAnsi="Times New Roman" w:eastAsia="宋体"/>
          <w:b w:val="0"/>
          <w:i w:val="0"/>
          <w:sz w:val="21"/>
        </w:rPr>
        <w:t xml:space="preserve"> Conventional AI drug discovery predicts activity alone, overlooking simultaneous drug-likeness and toxicity assessment. This can allow high-activity but poorly druggable candidates into costly downstream experiments. We propose </w:t>
      </w:r>
      <w:r>
        <w:rPr>
          <w:rFonts w:ascii="Times New Roman" w:hAnsi="Times New Roman" w:eastAsia="宋体"/>
          <w:b/>
          <w:i w:val="0"/>
          <w:sz w:val="21"/>
        </w:rPr>
        <w:t>joint optimisation of activity + five ADMET binary classifications</w:t>
      </w:r>
      <w:r>
        <w:rPr>
          <w:rFonts w:ascii="Times New Roman" w:hAnsi="Times New Roman" w:eastAsia="宋体"/>
          <w:b w:val="0"/>
          <w:i w:val="0"/>
          <w:sz w:val="21"/>
        </w:rPr>
        <w:t xml:space="preserve"> to force the molecular representation to encode both activity-related and drug-likeness-related information.</w:t>
      </w:r>
    </w:p>
    <w:p>
      <w:pPr>
        <w:spacing w:before="160" w:after="40"/>
      </w:pPr>
      <w:r>
        <w:rPr>
          <w:rFonts w:ascii="Times New Roman" w:hAnsi="Times New Roman" w:eastAsia="宋体"/>
          <w:b/>
          <w:i w:val="0"/>
          <w:color w:val="1F4E79"/>
          <w:sz w:val="22"/>
        </w:rPr>
        <w:t>3.6.1  Five Auxiliary ADMET Tasks</w:t>
      </w:r>
    </w:p>
    <w:p>
      <w:pPr>
        <w:spacing w:after="80" w:line="360" w:lineRule="auto"/>
        <w:ind w:firstLine="420"/>
      </w:pPr>
      <w:r>
        <w:rPr>
          <w:rFonts w:ascii="Times New Roman" w:hAnsi="Times New Roman" w:eastAsia="宋体"/>
          <w:b w:val="0"/>
          <w:i w:val="0"/>
          <w:sz w:val="21"/>
        </w:rPr>
        <w:t>We generate five binary ADMET labels via RDKit medicinal-chemistry rules (no external API required):</w:t>
      </w:r>
    </w:p>
    <w:p>
      <w:pPr>
        <w:spacing w:after="80" w:line="360" w:lineRule="auto"/>
        <w:ind w:firstLine="420"/>
      </w:pPr>
      <w:r>
        <w:rPr>
          <w:rFonts w:ascii="Times New Roman" w:hAnsi="Times New Roman" w:eastAsia="宋体"/>
          <w:b/>
          <w:i w:val="0"/>
          <w:sz w:val="21"/>
        </w:rPr>
        <w:t>(1) Lipinski compliance</w:t>
      </w:r>
      <w:r>
        <w:rPr>
          <w:rFonts w:ascii="Times New Roman" w:hAnsi="Times New Roman" w:eastAsia="宋体"/>
          <w:b w:val="0"/>
          <w:i w:val="0"/>
          <w:sz w:val="21"/>
        </w:rPr>
        <w:t>: MW ≤ 500, LogP ≤ 5, HBD ≤ 5, HBA ≤ 10.</w:t>
      </w:r>
    </w:p>
    <w:p>
      <w:pPr>
        <w:spacing w:after="80" w:line="360" w:lineRule="auto"/>
        <w:ind w:firstLine="420"/>
      </w:pPr>
      <w:r>
        <w:rPr>
          <w:rFonts w:ascii="Times New Roman" w:hAnsi="Times New Roman" w:eastAsia="宋体"/>
          <w:b/>
          <w:i w:val="0"/>
          <w:sz w:val="21"/>
        </w:rPr>
        <w:t>(2) QED drug-likeness</w:t>
      </w:r>
      <w:r>
        <w:rPr>
          <w:rFonts w:ascii="Times New Roman" w:hAnsi="Times New Roman" w:eastAsia="宋体"/>
          <w:b w:val="0"/>
          <w:i w:val="0"/>
          <w:sz w:val="21"/>
        </w:rPr>
        <w:t>: Bickerton QED &gt; 0.5.</w:t>
      </w:r>
    </w:p>
    <w:p>
      <w:pPr>
        <w:spacing w:after="80" w:line="360" w:lineRule="auto"/>
        <w:ind w:firstLine="420"/>
      </w:pPr>
      <w:r>
        <w:rPr>
          <w:rFonts w:ascii="Times New Roman" w:hAnsi="Times New Roman" w:eastAsia="宋体"/>
          <w:b/>
          <w:i w:val="0"/>
          <w:sz w:val="21"/>
        </w:rPr>
        <w:t>(3) PAINS filter</w:t>
      </w:r>
      <w:r>
        <w:rPr>
          <w:rFonts w:ascii="Times New Roman" w:hAnsi="Times New Roman" w:eastAsia="宋体"/>
          <w:b w:val="0"/>
          <w:i w:val="0"/>
          <w:sz w:val="21"/>
        </w:rPr>
        <w:t>: no pan-assay interference alert.</w:t>
      </w:r>
    </w:p>
    <w:p>
      <w:pPr>
        <w:spacing w:after="80" w:line="360" w:lineRule="auto"/>
        <w:ind w:firstLine="420"/>
      </w:pPr>
      <w:r>
        <w:rPr>
          <w:rFonts w:ascii="Times New Roman" w:hAnsi="Times New Roman" w:eastAsia="宋体"/>
          <w:b/>
          <w:i w:val="0"/>
          <w:sz w:val="21"/>
        </w:rPr>
        <w:t>(4) Synthetic accessibility</w:t>
      </w:r>
      <w:r>
        <w:rPr>
          <w:rFonts w:ascii="Times New Roman" w:hAnsi="Times New Roman" w:eastAsia="宋体"/>
          <w:b w:val="0"/>
          <w:i w:val="0"/>
          <w:sz w:val="21"/>
        </w:rPr>
        <w:t>: Ertl SA score &lt; 5.</w:t>
      </w:r>
    </w:p>
    <w:p>
      <w:pPr>
        <w:spacing w:after="80" w:line="360" w:lineRule="auto"/>
        <w:ind w:firstLine="420"/>
      </w:pPr>
      <w:r>
        <w:rPr>
          <w:rFonts w:ascii="Times New Roman" w:hAnsi="Times New Roman" w:eastAsia="宋体"/>
          <w:b/>
          <w:i w:val="0"/>
          <w:sz w:val="21"/>
        </w:rPr>
        <w:t>(5) LogP moderation</w:t>
      </w:r>
      <w:r>
        <w:rPr>
          <w:rFonts w:ascii="Times New Roman" w:hAnsi="Times New Roman" w:eastAsia="宋体"/>
          <w:b w:val="0"/>
          <w:i w:val="0"/>
          <w:sz w:val="21"/>
        </w:rPr>
        <w:t>: Crippen LogP in [0, 5].</w:t>
      </w:r>
    </w:p>
    <w:p>
      <w:pPr>
        <w:spacing w:before="160" w:after="40"/>
      </w:pPr>
      <w:r>
        <w:rPr>
          <w:rFonts w:ascii="Times New Roman" w:hAnsi="Times New Roman" w:eastAsia="宋体"/>
          <w:b/>
          <w:i w:val="0"/>
          <w:color w:val="1F4E79"/>
          <w:sz w:val="22"/>
        </w:rPr>
        <w:t>3.6.2  Multi-Task Head and Joint Loss</w:t>
      </w:r>
    </w:p>
    <w:p>
      <w:pPr>
        <w:spacing w:after="80" w:line="360" w:lineRule="auto"/>
        <w:ind w:firstLine="420"/>
      </w:pPr>
      <w:r>
        <w:rPr>
          <w:rFonts w:ascii="Times New Roman" w:hAnsi="Times New Roman" w:eastAsia="宋体"/>
          <w:b w:val="0"/>
          <w:i w:val="0"/>
          <w:sz w:val="21"/>
        </w:rPr>
        <w:t>A new multi-task head sharing the fused representation is added alongside the primary head:</w:t>
      </w:r>
    </w:p>
    <w:p>
      <w:pPr>
        <w:spacing w:before="80" w:after="120"/>
        <w:jc w:val="center"/>
      </w:pPr>
      <w:r>
        <w:rPr>
          <w:rFonts w:ascii="Cambria Math" w:hAnsi="Cambria Math"/>
          <w:sz w:val="22"/>
        </w:rPr>
        <w:t>ŷ_admet ∈ ℝ^{5×2} = MLP_admet(fused_representation)</w:t>
      </w:r>
    </w:p>
    <w:p>
      <w:pPr>
        <w:spacing w:after="80" w:line="360" w:lineRule="auto"/>
        <w:ind w:firstLine="420"/>
      </w:pPr>
      <w:r>
        <w:rPr>
          <w:rFonts w:ascii="Times New Roman" w:hAnsi="Times New Roman" w:eastAsia="宋体"/>
          <w:b w:val="0"/>
          <w:i w:val="0"/>
          <w:sz w:val="21"/>
        </w:rPr>
        <w:t>The joint loss is the weighted combination of primary and averaged auxiliary cross-entropy:</w:t>
      </w:r>
    </w:p>
    <w:p>
      <w:pPr>
        <w:spacing w:before="80" w:after="120"/>
        <w:jc w:val="center"/>
      </w:pPr>
      <w:r>
        <w:rPr>
          <w:rFonts w:ascii="Cambria Math" w:hAnsi="Cambria Math"/>
          <w:sz w:val="22"/>
        </w:rPr>
        <w:t>L_total = L_main + λ_admet · (1/5) · Σᵢ CrossEntropy(ŷ_admet_i, a_i)</w:t>
      </w:r>
    </w:p>
    <w:p>
      <w:pPr>
        <w:spacing w:after="80" w:line="360" w:lineRule="auto"/>
        <w:ind w:firstLine="420"/>
      </w:pPr>
      <w:r>
        <w:rPr>
          <w:rFonts w:ascii="Times New Roman" w:hAnsi="Times New Roman" w:eastAsia="宋体"/>
          <w:b w:val="0"/>
          <w:i w:val="0"/>
          <w:sz w:val="21"/>
        </w:rPr>
        <w:t>where λ_admet = 0.2 (determined by ablation).</w:t>
      </w:r>
    </w:p>
    <w:p>
      <w:pPr>
        <w:spacing w:before="160" w:after="40"/>
      </w:pPr>
      <w:r>
        <w:rPr>
          <w:rFonts w:ascii="Times New Roman" w:hAnsi="Times New Roman" w:eastAsia="宋体"/>
          <w:b/>
          <w:i w:val="0"/>
          <w:color w:val="1F4E79"/>
          <w:sz w:val="22"/>
        </w:rPr>
        <w:t>3.6.3  Three-Fold Benefit of Multi-Task Learning</w:t>
      </w:r>
    </w:p>
    <w:p>
      <w:pPr>
        <w:spacing w:after="80" w:line="360" w:lineRule="auto"/>
        <w:ind w:firstLine="420"/>
      </w:pPr>
      <w:r>
        <w:rPr>
          <w:rFonts w:ascii="Times New Roman" w:hAnsi="Times New Roman" w:eastAsia="宋体"/>
          <w:b/>
          <w:i w:val="0"/>
          <w:sz w:val="21"/>
        </w:rPr>
        <w:t>Benefit 1 (Regularisation).</w:t>
      </w:r>
      <w:r>
        <w:rPr>
          <w:rFonts w:ascii="Times New Roman" w:hAnsi="Times New Roman" w:eastAsia="宋体"/>
          <w:b w:val="0"/>
          <w:i w:val="0"/>
          <w:sz w:val="21"/>
        </w:rPr>
        <w:t xml:space="preserve"> Sharing low-level representations across tasks provides strong regularisation; 5-seed standard deviation dropped from 0.0134 to 0.0077. </w:t>
      </w:r>
      <w:r>
        <w:rPr>
          <w:rFonts w:ascii="Times New Roman" w:hAnsi="Times New Roman" w:eastAsia="宋体"/>
          <w:b/>
          <w:i w:val="0"/>
          <w:sz w:val="21"/>
        </w:rPr>
        <w:t>Benefit 2 (Performance gain).</w:t>
      </w:r>
      <w:r>
        <w:rPr>
          <w:rFonts w:ascii="Times New Roman" w:hAnsi="Times New Roman" w:eastAsia="宋体"/>
          <w:b w:val="0"/>
          <w:i w:val="0"/>
          <w:sz w:val="21"/>
        </w:rPr>
        <w:t xml:space="preserve"> Primary Test ROC-AUC improved from 0.9548 to </w:t>
      </w:r>
      <w:r>
        <w:rPr>
          <w:rFonts w:ascii="Times New Roman" w:hAnsi="Times New Roman" w:eastAsia="宋体"/>
          <w:b/>
          <w:i w:val="0"/>
          <w:sz w:val="21"/>
        </w:rPr>
        <w:t>0.9591</w:t>
      </w:r>
      <w:r>
        <w:rPr>
          <w:rFonts w:ascii="Times New Roman" w:hAnsi="Times New Roman" w:eastAsia="宋体"/>
          <w:b w:val="0"/>
          <w:i w:val="0"/>
          <w:sz w:val="21"/>
        </w:rPr>
        <w:t xml:space="preserve">, MCC from 0.7770 to </w:t>
      </w:r>
      <w:r>
        <w:rPr>
          <w:rFonts w:ascii="Times New Roman" w:hAnsi="Times New Roman" w:eastAsia="宋体"/>
          <w:b/>
          <w:i w:val="0"/>
          <w:sz w:val="21"/>
        </w:rPr>
        <w:t>0.8502</w:t>
      </w:r>
      <w:r>
        <w:rPr>
          <w:rFonts w:ascii="Times New Roman" w:hAnsi="Times New Roman" w:eastAsia="宋体"/>
          <w:b w:val="0"/>
          <w:i w:val="0"/>
          <w:sz w:val="21"/>
        </w:rPr>
        <w:t xml:space="preserve"> (+0.0732), F1 from 0.8403 to </w:t>
      </w:r>
      <w:r>
        <w:rPr>
          <w:rFonts w:ascii="Times New Roman" w:hAnsi="Times New Roman" w:eastAsia="宋体"/>
          <w:b/>
          <w:i w:val="0"/>
          <w:sz w:val="21"/>
        </w:rPr>
        <w:t>0.8929</w:t>
      </w:r>
      <w:r>
        <w:rPr>
          <w:rFonts w:ascii="Times New Roman" w:hAnsi="Times New Roman" w:eastAsia="宋体"/>
          <w:b w:val="0"/>
          <w:i w:val="0"/>
          <w:sz w:val="21"/>
        </w:rPr>
        <w:t xml:space="preserve">. </w:t>
      </w:r>
      <w:r>
        <w:rPr>
          <w:rFonts w:ascii="Times New Roman" w:hAnsi="Times New Roman" w:eastAsia="宋体"/>
          <w:b/>
          <w:i w:val="0"/>
          <w:sz w:val="21"/>
        </w:rPr>
        <w:t>Benefit 3 (Clinical value).</w:t>
      </w:r>
      <w:r>
        <w:rPr>
          <w:rFonts w:ascii="Times New Roman" w:hAnsi="Times New Roman" w:eastAsia="宋体"/>
          <w:b w:val="0"/>
          <w:i w:val="0"/>
          <w:sz w:val="21"/>
        </w:rPr>
        <w:t xml:space="preserve"> A single training produces activity + five drug-likeness predictions, providing a concrete implementation of the </w:t>
      </w:r>
      <w:r>
        <w:rPr>
          <w:rFonts w:ascii="Times New Roman" w:hAnsi="Times New Roman" w:eastAsia="宋体"/>
          <w:b/>
          <w:i w:val="0"/>
          <w:sz w:val="21"/>
        </w:rPr>
        <w:t>"activity and safety in parallel"</w:t>
      </w:r>
      <w:r>
        <w:rPr>
          <w:rFonts w:ascii="Times New Roman" w:hAnsi="Times New Roman" w:eastAsia="宋体"/>
          <w:b w:val="0"/>
          <w:i w:val="0"/>
          <w:sz w:val="21"/>
        </w:rPr>
        <w:t xml:space="preserve"> paradigm and directly echoing the MCC950 phase-II termination due to hepatotoxicity.</w:t>
      </w:r>
    </w:p>
    <w:p>
      <w:pPr>
        <w:spacing w:before="240" w:after="80"/>
      </w:pPr>
      <w:r>
        <w:rPr>
          <w:rFonts w:ascii="Times New Roman" w:hAnsi="Times New Roman" w:eastAsia="宋体"/>
          <w:b/>
          <w:i w:val="0"/>
          <w:color w:val="004C80"/>
          <w:sz w:val="24"/>
        </w:rPr>
        <w:t>3.7  Dual-Precision Cascaded Virtual Screening Architecture</w:t>
      </w:r>
    </w:p>
    <w:p>
      <w:pPr>
        <w:spacing w:after="80" w:line="360" w:lineRule="auto"/>
        <w:ind w:firstLine="420"/>
      </w:pPr>
      <w:r>
        <w:rPr>
          <w:rFonts w:ascii="Times New Roman" w:hAnsi="Times New Roman" w:eastAsia="宋体"/>
          <w:b w:val="0"/>
          <w:i w:val="0"/>
          <w:sz w:val="21"/>
        </w:rPr>
        <w:t xml:space="preserve">Applying full STG-Mol to 8.8 M ZINC compounds is infeasible—the 3D branch's conformer generation costs 80–150 ms per molecule. We therefore adopt a </w:t>
      </w:r>
      <w:r>
        <w:rPr>
          <w:rFonts w:ascii="Times New Roman" w:hAnsi="Times New Roman" w:eastAsia="宋体"/>
          <w:b/>
          <w:i w:val="0"/>
          <w:sz w:val="21"/>
        </w:rPr>
        <w:t>dual-precision cascaded architecture</w:t>
      </w:r>
      <w:r>
        <w:rPr>
          <w:rFonts w:ascii="Times New Roman" w:hAnsi="Times New Roman" w:eastAsia="宋体"/>
          <w:b w:val="0"/>
          <w:i w:val="0"/>
          <w:sz w:val="21"/>
        </w:rPr>
        <w:t>:</w:t>
      </w:r>
    </w:p>
    <w:p>
      <w:pPr>
        <w:spacing w:after="80" w:line="360" w:lineRule="auto"/>
        <w:ind w:firstLine="420"/>
      </w:pPr>
      <w:r>
        <w:rPr>
          <w:rFonts w:ascii="Times New Roman" w:hAnsi="Times New Roman" w:eastAsia="宋体"/>
          <w:b/>
          <w:i w:val="0"/>
          <w:sz w:val="21"/>
        </w:rPr>
        <w:t>Stage 0 (Drug-likeness pre-filtering)</w:t>
      </w:r>
      <w:r>
        <w:rPr>
          <w:rFonts w:ascii="Times New Roman" w:hAnsi="Times New Roman" w:eastAsia="宋体"/>
          <w:b w:val="0"/>
          <w:i w:val="0"/>
          <w:sz w:val="21"/>
        </w:rPr>
        <w:t>: Lipinski + Veber + PAINS/DILI rules, CPU-parallel.</w:t>
      </w:r>
    </w:p>
    <w:p>
      <w:pPr>
        <w:spacing w:after="80" w:line="360" w:lineRule="auto"/>
        <w:ind w:firstLine="420"/>
      </w:pPr>
      <w:r>
        <w:rPr>
          <w:rFonts w:ascii="Times New Roman" w:hAnsi="Times New Roman" w:eastAsia="宋体"/>
          <w:b/>
          <w:i w:val="0"/>
          <w:sz w:val="21"/>
        </w:rPr>
        <w:t>Stage 1 (Lightweight bi-modal coarse screening)</w:t>
      </w:r>
      <w:r>
        <w:rPr>
          <w:rFonts w:ascii="Times New Roman" w:hAnsi="Times New Roman" w:eastAsia="宋体"/>
          <w:b w:val="0"/>
          <w:i w:val="0"/>
          <w:sz w:val="21"/>
        </w:rPr>
        <w:t>: 1D + 2D encoders only (Concat fusion), no conformer generation, ~5 ms per molecule.</w:t>
      </w:r>
    </w:p>
    <w:p>
      <w:pPr>
        <w:spacing w:after="80" w:line="360" w:lineRule="auto"/>
        <w:ind w:firstLine="420"/>
      </w:pPr>
      <w:r>
        <w:rPr>
          <w:rFonts w:ascii="Times New Roman" w:hAnsi="Times New Roman" w:eastAsia="宋体"/>
          <w:b/>
          <w:i w:val="0"/>
          <w:sz w:val="21"/>
        </w:rPr>
        <w:t>Stage 2 (Full tri-modal multi-task fine screening)</w:t>
      </w:r>
      <w:r>
        <w:rPr>
          <w:rFonts w:ascii="Times New Roman" w:hAnsi="Times New Roman" w:eastAsia="宋体"/>
          <w:b w:val="0"/>
          <w:i w:val="0"/>
          <w:sz w:val="21"/>
        </w:rPr>
        <w:t>: full STG-Mol on Stage-1 output.</w:t>
      </w:r>
    </w:p>
    <w:p>
      <w:pPr>
        <w:spacing w:after="80" w:line="360" w:lineRule="auto"/>
        <w:ind w:firstLine="420"/>
      </w:pPr>
      <w:r>
        <w:rPr>
          <w:rFonts w:ascii="Times New Roman" w:hAnsi="Times New Roman" w:eastAsia="宋体"/>
          <w:b/>
          <w:i w:val="0"/>
          <w:sz w:val="21"/>
        </w:rPr>
        <w:t>Stage 3 (Diversity clustering)</w:t>
      </w:r>
      <w:r>
        <w:rPr>
          <w:rFonts w:ascii="Times New Roman" w:hAnsi="Times New Roman" w:eastAsia="宋体"/>
          <w:b w:val="0"/>
          <w:i w:val="0"/>
          <w:sz w:val="21"/>
        </w:rPr>
        <w:t>: Butina clustering with Morgan FP, Tanimoto ≤ 0.80.</w:t>
      </w:r>
    </w:p>
    <w:p>
      <w:pPr>
        <w:spacing w:after="80" w:line="360" w:lineRule="auto"/>
        <w:ind w:firstLine="420"/>
      </w:pPr>
      <w:r>
        <w:rPr>
          <w:rFonts w:ascii="Times New Roman" w:hAnsi="Times New Roman" w:eastAsia="宋体"/>
          <w:b w:val="0"/>
          <w:i w:val="0"/>
          <w:sz w:val="21"/>
        </w:rPr>
        <w:t xml:space="preserve">Observed speed-up ≈ </w:t>
      </w:r>
      <w:r>
        <w:rPr>
          <w:rFonts w:ascii="Times New Roman" w:hAnsi="Times New Roman" w:eastAsia="宋体"/>
          <w:b/>
          <w:i w:val="0"/>
          <w:sz w:val="21"/>
        </w:rPr>
        <w:t>12×</w:t>
      </w:r>
      <w:r>
        <w:rPr>
          <w:rFonts w:ascii="Times New Roman" w:hAnsi="Times New Roman" w:eastAsia="宋体"/>
          <w:b w:val="0"/>
          <w:i w:val="0"/>
          <w:sz w:val="21"/>
        </w:rPr>
        <w:t>, with end-to-end recall loss &lt; 3%.</w:t>
      </w:r>
    </w:p>
    <w:p>
      <w:pPr>
        <w:spacing w:before="360" w:after="120"/>
      </w:pPr>
      <w:r>
        <w:rPr>
          <w:rFonts w:ascii="Times New Roman" w:hAnsi="Times New Roman" w:eastAsia="宋体"/>
          <w:b/>
          <w:i w:val="0"/>
          <w:color w:val="003366"/>
          <w:sz w:val="28"/>
        </w:rPr>
        <w:t>4  Experimental Setup</w:t>
      </w:r>
    </w:p>
    <w:p>
      <w:pPr>
        <w:spacing w:before="240" w:after="80"/>
      </w:pPr>
      <w:r>
        <w:rPr>
          <w:rFonts w:ascii="Times New Roman" w:hAnsi="Times New Roman" w:eastAsia="宋体"/>
          <w:b/>
          <w:i w:val="0"/>
          <w:color w:val="004C80"/>
          <w:sz w:val="24"/>
        </w:rPr>
        <w:t>4.1  Datasets</w:t>
      </w:r>
    </w:p>
    <w:p>
      <w:pPr>
        <w:spacing w:after="80" w:line="360" w:lineRule="auto"/>
        <w:ind w:firstLine="420"/>
      </w:pPr>
      <w:r>
        <w:rPr>
          <w:rFonts w:ascii="Times New Roman" w:hAnsi="Times New Roman" w:eastAsia="宋体"/>
          <w:b/>
          <w:i w:val="0"/>
          <w:sz w:val="21"/>
        </w:rPr>
        <w:t>NLRP3 dataset</w:t>
      </w:r>
      <w:r>
        <w:rPr>
          <w:rFonts w:ascii="Times New Roman" w:hAnsi="Times New Roman" w:eastAsia="宋体"/>
          <w:b w:val="0"/>
          <w:i w:val="0"/>
          <w:sz w:val="21"/>
        </w:rPr>
        <w:t xml:space="preserve">: retrieved from ChEMBL v33, PubChem, and BindingDB. Using an IC₅₀ = 1 μM threshold with a rule-based confidence protocol and DUD-E [40] decoy augmentation, we constructed a </w:t>
      </w:r>
      <w:r>
        <w:rPr>
          <w:rFonts w:ascii="Times New Roman" w:hAnsi="Times New Roman" w:eastAsia="宋体"/>
          <w:b/>
          <w:i w:val="0"/>
          <w:sz w:val="21"/>
        </w:rPr>
        <w:t>2,521-molecule</w:t>
      </w:r>
      <w:r>
        <w:rPr>
          <w:rFonts w:ascii="Times New Roman" w:hAnsi="Times New Roman" w:eastAsia="宋体"/>
          <w:b w:val="0"/>
          <w:i w:val="0"/>
          <w:sz w:val="21"/>
        </w:rPr>
        <w:t xml:space="preserve"> dataset (648 actives, 1,873 inactives, ratio ~1:2.9). </w:t>
      </w:r>
      <w:r>
        <w:rPr>
          <w:rFonts w:ascii="Times New Roman" w:hAnsi="Times New Roman" w:eastAsia="宋体"/>
          <w:b/>
          <w:i w:val="0"/>
          <w:sz w:val="21"/>
        </w:rPr>
        <w:t>Data-decision protocol.</w:t>
      </w:r>
      <w:r>
        <w:rPr>
          <w:rFonts w:ascii="Times New Roman" w:hAnsi="Times New Roman" w:eastAsia="宋体"/>
          <w:b w:val="0"/>
          <w:i w:val="0"/>
          <w:sz w:val="21"/>
        </w:rPr>
        <w:t xml:space="preserve"> Data curation criteria (activity threshold, decoy set, and the explicit removal of five published NLRP3 inhibitors — MCC950, CY-09, OLT1177, Oridonin, Tranilast — together with all their Tanimoto ≥ 0.7 neighbours) were </w:t>
      </w:r>
      <w:r>
        <w:rPr>
          <w:rFonts w:ascii="Times New Roman" w:hAnsi="Times New Roman" w:eastAsia="宋体"/>
          <w:b/>
          <w:i w:val="0"/>
          <w:sz w:val="21"/>
        </w:rPr>
        <w:t>fixed a priori</w:t>
      </w:r>
      <w:r>
        <w:rPr>
          <w:rFonts w:ascii="Times New Roman" w:hAnsi="Times New Roman" w:eastAsia="宋体"/>
          <w:b w:val="0"/>
          <w:i w:val="0"/>
          <w:sz w:val="21"/>
        </w:rPr>
        <w:t xml:space="preserve"> before any model training, based on the external-hold-out design of Section 5.4. No test-set metric was ever used to select the dataset version, encoder combination, or hyperparameters; the version-selection ablation reported in Supplementary S1 is a post-hoc sensitivity analysis, not a model-selection loop.</w:t>
      </w:r>
    </w:p>
    <w:p>
      <w:pPr>
        <w:spacing w:after="80" w:line="360" w:lineRule="auto"/>
        <w:ind w:firstLine="420"/>
      </w:pPr>
      <w:r>
        <w:rPr>
          <w:rFonts w:ascii="Times New Roman" w:hAnsi="Times New Roman" w:eastAsia="宋体"/>
          <w:b/>
          <w:i w:val="0"/>
          <w:sz w:val="21"/>
        </w:rPr>
        <w:t>Splitting protocols.</w:t>
      </w:r>
      <w:r>
        <w:rPr>
          <w:rFonts w:ascii="Times New Roman" w:hAnsi="Times New Roman" w:eastAsia="宋体"/>
          <w:b w:val="0"/>
          <w:i w:val="0"/>
          <w:sz w:val="21"/>
        </w:rPr>
        <w:t xml:space="preserve"> We adopt two complementary splits on this same curated dataset. </w:t>
      </w:r>
      <w:r>
        <w:rPr>
          <w:rFonts w:ascii="Times New Roman" w:hAnsi="Times New Roman" w:eastAsia="宋体"/>
          <w:b/>
          <w:i w:val="0"/>
          <w:sz w:val="21"/>
        </w:rPr>
        <w:t>(i) Bemis–Murcko scaffold split (V3-scaffold, primary)</w:t>
      </w:r>
      <w:r>
        <w:rPr>
          <w:rFonts w:ascii="Times New Roman" w:hAnsi="Times New Roman" w:eastAsia="宋体"/>
          <w:b w:val="0"/>
          <w:i w:val="0"/>
          <w:sz w:val="21"/>
        </w:rPr>
        <w:t xml:space="preserve">: molecules are grouped by generic Bemis–Murcko scaffolds and split 8:1:1 so that no scaffold appears in more than one of {train, val, test}, yielding train 2,076 / val 252 / test 193 (54 actives, 139 inactives; active prevalence 27.98%; EF theoretical upper bound N/P = 193/54 ≈ 3.574). </w:t>
      </w:r>
      <w:r>
        <w:rPr>
          <w:rFonts w:ascii="Times New Roman" w:hAnsi="Times New Roman" w:eastAsia="宋体"/>
          <w:b/>
          <w:i w:val="0"/>
          <w:sz w:val="21"/>
        </w:rPr>
        <w:t>(ii) Random split (V3-random, reference)</w:t>
      </w:r>
      <w:r>
        <w:rPr>
          <w:rFonts w:ascii="Times New Roman" w:hAnsi="Times New Roman" w:eastAsia="宋体"/>
          <w:b w:val="0"/>
          <w:i w:val="0"/>
          <w:sz w:val="21"/>
        </w:rPr>
        <w:t xml:space="preserve">: identical 8:1:1 ratio, stratified by activity label, yielding train 2,016 / val 253 / test 252 (67 actives, 185 inactives; active prevalence 26.59%; EF theoretical upper bound N/P = 252/67 ≈ 3.7612). The scaffold split is our headline evaluation; the random split is reported side-by-side to isolate the contribution of scaffold overlap to reported metrics. </w:t>
      </w:r>
      <w:r>
        <w:rPr>
          <w:rFonts w:ascii="Times New Roman" w:hAnsi="Times New Roman" w:eastAsia="宋体"/>
          <w:b/>
          <w:i w:val="0"/>
          <w:sz w:val="21"/>
        </w:rPr>
        <w:t>ADMET auxiliary labels</w:t>
      </w:r>
      <w:r>
        <w:rPr>
          <w:rFonts w:ascii="Times New Roman" w:hAnsi="Times New Roman" w:eastAsia="宋体"/>
          <w:b w:val="0"/>
          <w:i w:val="0"/>
          <w:sz w:val="21"/>
        </w:rPr>
        <w:t xml:space="preserve"> were generated via RDKit medicinal-chemistry rules (Lipinski RO5, QED, PAINS, SA, LogP moderation).</w:t>
      </w:r>
    </w:p>
    <w:p>
      <w:pPr>
        <w:spacing w:before="240" w:after="80"/>
      </w:pPr>
      <w:r>
        <w:rPr>
          <w:rFonts w:ascii="Times New Roman" w:hAnsi="Times New Roman" w:eastAsia="宋体"/>
          <w:b/>
          <w:i w:val="0"/>
          <w:color w:val="004C80"/>
          <w:sz w:val="24"/>
        </w:rPr>
        <w:t>4.2  Implementation Details</w:t>
      </w:r>
    </w:p>
    <w:p>
      <w:pPr>
        <w:spacing w:after="80" w:line="360" w:lineRule="auto"/>
        <w:ind w:firstLine="420"/>
      </w:pPr>
      <w:r>
        <w:rPr>
          <w:rFonts w:ascii="Times New Roman" w:hAnsi="Times New Roman" w:eastAsia="宋体"/>
          <w:b/>
          <w:i w:val="0"/>
          <w:sz w:val="21"/>
        </w:rPr>
        <w:t>Encoders</w:t>
      </w:r>
      <w:r>
        <w:rPr>
          <w:rFonts w:ascii="Times New Roman" w:hAnsi="Times New Roman" w:eastAsia="宋体"/>
          <w:b w:val="0"/>
          <w:i w:val="0"/>
          <w:sz w:val="21"/>
        </w:rPr>
        <w:t>: 1D Mol2Vec (embedding_dim=300, radius=1, projected to 112D); 2D D-MPNN (T=3, hidden 112, dropout 0.54); 3D SphereNet (T=3, num_radial=6, num_spherical=7, cutoff 8 Å, dropout 0.3).</w:t>
      </w:r>
    </w:p>
    <w:p>
      <w:pPr>
        <w:spacing w:after="80" w:line="360" w:lineRule="auto"/>
        <w:ind w:firstLine="420"/>
      </w:pPr>
      <w:r>
        <w:rPr>
          <w:rFonts w:ascii="Times New Roman" w:hAnsi="Times New Roman" w:eastAsia="宋体"/>
          <w:b/>
          <w:i w:val="0"/>
          <w:sz w:val="21"/>
        </w:rPr>
        <w:t>Fusion</w:t>
      </w:r>
      <w:r>
        <w:rPr>
          <w:rFonts w:ascii="Times New Roman" w:hAnsi="Times New Roman" w:eastAsia="宋体"/>
          <w:b w:val="0"/>
          <w:i w:val="0"/>
          <w:sz w:val="21"/>
        </w:rPr>
        <w:t>: hierarchical tri-modal fusion (Cross-Attention + Gated + Bilinear + Importance Network), fusion dimension 112.</w:t>
      </w:r>
    </w:p>
    <w:p>
      <w:pPr>
        <w:spacing w:after="80" w:line="360" w:lineRule="auto"/>
        <w:ind w:firstLine="420"/>
      </w:pPr>
      <w:r>
        <w:rPr>
          <w:rFonts w:ascii="Times New Roman" w:hAnsi="Times New Roman" w:eastAsia="宋体"/>
          <w:b/>
          <w:i w:val="0"/>
          <w:sz w:val="21"/>
        </w:rPr>
        <w:t>Multi-task heads</w:t>
      </w:r>
      <w:r>
        <w:rPr>
          <w:rFonts w:ascii="Times New Roman" w:hAnsi="Times New Roman" w:eastAsia="宋体"/>
          <w:b w:val="0"/>
          <w:i w:val="0"/>
          <w:sz w:val="21"/>
        </w:rPr>
        <w:t>: primary head 2 dims; ADMET head 5 tasks × 2 classes.</w:t>
      </w:r>
    </w:p>
    <w:p>
      <w:pPr>
        <w:spacing w:after="80" w:line="360" w:lineRule="auto"/>
        <w:ind w:firstLine="420"/>
      </w:pPr>
      <w:r>
        <w:rPr>
          <w:rFonts w:ascii="Times New Roman" w:hAnsi="Times New Roman" w:eastAsia="宋体"/>
          <w:b/>
          <w:i w:val="0"/>
          <w:sz w:val="21"/>
        </w:rPr>
        <w:t>Training</w:t>
      </w:r>
      <w:r>
        <w:rPr>
          <w:rFonts w:ascii="Times New Roman" w:hAnsi="Times New Roman" w:eastAsia="宋体"/>
          <w:b w:val="0"/>
          <w:i w:val="0"/>
          <w:sz w:val="21"/>
        </w:rPr>
        <w:t>: AdamW (weight_decay=0.015), OneCycleLR (peak_lr=3×10⁻⁴, pct_start=0.15, cosine annealing); branch learning-rate scales encoder_1d=0.25, encoder_2d=0.8, encoder_3d=0.8, fusion=1.5, classifier=1.0; batch size 128, up to 300 epochs, early-stopping patience 100.</w:t>
      </w:r>
    </w:p>
    <w:p>
      <w:pPr>
        <w:spacing w:after="80" w:line="360" w:lineRule="auto"/>
        <w:ind w:firstLine="420"/>
      </w:pPr>
      <w:r>
        <w:rPr>
          <w:rFonts w:ascii="Times New Roman" w:hAnsi="Times New Roman" w:eastAsia="宋体"/>
          <w:b/>
          <w:i w:val="0"/>
          <w:sz w:val="21"/>
        </w:rPr>
        <w:t>Loss</w:t>
      </w:r>
      <w:r>
        <w:rPr>
          <w:rFonts w:ascii="Times New Roman" w:hAnsi="Times New Roman" w:eastAsia="宋体"/>
          <w:b w:val="0"/>
          <w:i w:val="0"/>
          <w:sz w:val="21"/>
        </w:rPr>
        <w:t>: Focal Loss (γ=1.5, label_smoothing=0.05, class_weight=balanced, max_pos_weight=2.5) + Diversity regularisation (λ_div=0.15) + Multi-task auxiliary loss (λ_admet=0.2).</w:t>
      </w:r>
    </w:p>
    <w:p>
      <w:pPr>
        <w:spacing w:after="80" w:line="360" w:lineRule="auto"/>
        <w:ind w:firstLine="420"/>
      </w:pPr>
      <w:r>
        <w:rPr>
          <w:rFonts w:ascii="Times New Roman" w:hAnsi="Times New Roman" w:eastAsia="宋体"/>
          <w:b/>
          <w:i w:val="0"/>
          <w:sz w:val="21"/>
        </w:rPr>
        <w:t>Hardware &amp; reproducibility</w:t>
      </w:r>
      <w:r>
        <w:rPr>
          <w:rFonts w:ascii="Times New Roman" w:hAnsi="Times New Roman" w:eastAsia="宋体"/>
          <w:b w:val="0"/>
          <w:i w:val="0"/>
          <w:sz w:val="21"/>
        </w:rPr>
        <w:t>: NVIDIA RTX 4090 24 GB GPU; five random seeds {42, 123, 2024, 3407, 7} trained independently, reporting individual results, mean±std, and ensemble (5-model average).</w:t>
      </w:r>
    </w:p>
    <w:p>
      <w:pPr>
        <w:spacing w:before="240" w:after="80"/>
      </w:pPr>
      <w:r>
        <w:rPr>
          <w:rFonts w:ascii="Times New Roman" w:hAnsi="Times New Roman" w:eastAsia="宋体"/>
          <w:b/>
          <w:i w:val="0"/>
          <w:color w:val="004C80"/>
          <w:sz w:val="24"/>
        </w:rPr>
        <w:t>4.3  Evaluation Metrics</w:t>
      </w:r>
    </w:p>
    <w:p>
      <w:pPr>
        <w:spacing w:after="80" w:line="360" w:lineRule="auto"/>
        <w:ind w:firstLine="420"/>
      </w:pPr>
      <w:r>
        <w:rPr>
          <w:rFonts w:ascii="Times New Roman" w:hAnsi="Times New Roman" w:eastAsia="宋体"/>
          <w:b w:val="0"/>
          <w:i w:val="0"/>
          <w:sz w:val="21"/>
        </w:rPr>
        <w:t xml:space="preserve">We report a comprehensive set of metrics grouped into three families. </w:t>
      </w:r>
      <w:r>
        <w:rPr>
          <w:rFonts w:ascii="Times New Roman" w:hAnsi="Times New Roman" w:eastAsia="宋体"/>
          <w:b/>
          <w:i w:val="0"/>
          <w:sz w:val="21"/>
        </w:rPr>
        <w:t>(i) Overall discrimination</w:t>
      </w:r>
      <w:r>
        <w:rPr>
          <w:rFonts w:ascii="Times New Roman" w:hAnsi="Times New Roman" w:eastAsia="宋体"/>
          <w:b w:val="0"/>
          <w:i w:val="0"/>
          <w:sz w:val="21"/>
        </w:rPr>
        <w:t>: ROC-AUC, PR-AUC, Accuracy, Precision, Recall, F1, and MCC.</w:t>
      </w:r>
    </w:p>
    <w:p>
      <w:pPr>
        <w:spacing w:before="80" w:after="120"/>
        <w:jc w:val="center"/>
      </w:pPr>
      <w:r>
        <w:rPr>
          <w:rFonts w:ascii="Cambria Math" w:hAnsi="Cambria Math"/>
          <w:sz w:val="22"/>
        </w:rPr>
        <w:t>MCC = (TP·TN − FP·FN) / √((TP+FP)(TP+FN)(TN+FP)(TN+FN))</w:t>
      </w:r>
    </w:p>
    <w:p>
      <w:pPr>
        <w:spacing w:after="80" w:line="360" w:lineRule="auto"/>
        <w:ind w:firstLine="420"/>
      </w:pPr>
      <w:r>
        <w:rPr>
          <w:rFonts w:ascii="Times New Roman" w:hAnsi="Times New Roman" w:eastAsia="宋体"/>
          <w:b/>
          <w:i w:val="0"/>
          <w:sz w:val="21"/>
        </w:rPr>
        <w:t>(ii) Early recognition</w:t>
      </w:r>
      <w:r>
        <w:rPr>
          <w:rFonts w:ascii="Times New Roman" w:hAnsi="Times New Roman" w:eastAsia="宋体"/>
          <w:b w:val="0"/>
          <w:i w:val="0"/>
          <w:sz w:val="21"/>
        </w:rPr>
        <w:t xml:space="preserve"> (critical for virtual screening): BEDROC@α [Truchon &amp; Bayly, 2007] with α ∈ {20, 80, 160} (α = 20 is our primary and follows the original recommendation; α = 80, 160 are reported as supplementary robustness across the very-early-recognition regime). BEDROC ∈ [0, 1] with theoretical upper bound 1.0.</w:t>
      </w:r>
    </w:p>
    <w:p>
      <w:pPr>
        <w:spacing w:after="80" w:line="360" w:lineRule="auto"/>
        <w:ind w:firstLine="420"/>
      </w:pPr>
      <w:r>
        <w:rPr>
          <w:rFonts w:ascii="Times New Roman" w:hAnsi="Times New Roman" w:eastAsia="宋体"/>
          <w:b/>
          <w:i w:val="0"/>
          <w:sz w:val="21"/>
        </w:rPr>
        <w:t>(iii) Enrichment factor</w:t>
      </w:r>
      <w:r>
        <w:rPr>
          <w:rFonts w:ascii="Times New Roman" w:hAnsi="Times New Roman" w:eastAsia="宋体"/>
          <w:b w:val="0"/>
          <w:i w:val="0"/>
          <w:sz w:val="21"/>
        </w:rPr>
        <w:t xml:space="preserve"> EF@k% = (TP@top-k% / k) / (P/N), with </w:t>
      </w:r>
      <w:r>
        <w:rPr>
          <w:rFonts w:ascii="Times New Roman" w:hAnsi="Times New Roman" w:eastAsia="宋体"/>
          <w:b/>
          <w:i w:val="0"/>
          <w:sz w:val="21"/>
        </w:rPr>
        <w:t>split-dependent theoretical upper bounds</w:t>
      </w:r>
      <w:r>
        <w:rPr>
          <w:rFonts w:ascii="Times New Roman" w:hAnsi="Times New Roman" w:eastAsia="宋体"/>
          <w:b w:val="0"/>
          <w:i w:val="0"/>
          <w:sz w:val="21"/>
        </w:rPr>
        <w:t xml:space="preserve">: EF_max = N/P = 193/54 ≈ </w:t>
      </w:r>
      <w:r>
        <w:rPr>
          <w:rFonts w:ascii="Times New Roman" w:hAnsi="Times New Roman" w:eastAsia="宋体"/>
          <w:b/>
          <w:i w:val="0"/>
          <w:sz w:val="21"/>
        </w:rPr>
        <w:t>3.574</w:t>
      </w:r>
      <w:r>
        <w:rPr>
          <w:rFonts w:ascii="Times New Roman" w:hAnsi="Times New Roman" w:eastAsia="宋体"/>
          <w:b w:val="0"/>
          <w:i w:val="0"/>
          <w:sz w:val="21"/>
        </w:rPr>
        <w:t xml:space="preserve"> on the scaffold-split test set (active prevalence 27.98%) and N/P = 252/67 ≈ </w:t>
      </w:r>
      <w:r>
        <w:rPr>
          <w:rFonts w:ascii="Times New Roman" w:hAnsi="Times New Roman" w:eastAsia="宋体"/>
          <w:b/>
          <w:i w:val="0"/>
          <w:sz w:val="21"/>
        </w:rPr>
        <w:t>3.7612</w:t>
      </w:r>
      <w:r>
        <w:rPr>
          <w:rFonts w:ascii="Times New Roman" w:hAnsi="Times New Roman" w:eastAsia="宋体"/>
          <w:b w:val="0"/>
          <w:i w:val="0"/>
          <w:sz w:val="21"/>
        </w:rPr>
        <w:t xml:space="preserve"> on the random-split test set (active prevalence 26.59%). We report EF@5%, EF@10%, and EF@20% for both splits; EF@1% corresponds to top-k = 2–3 molecules on our small test sets and is subject to strong discretisation artefacts (one additional true positive at the top can shift EF@1% by ~1.0 in absolute terms), so we do not report it as a primary metric. </w:t>
      </w:r>
      <w:r>
        <w:rPr>
          <w:rFonts w:ascii="Times New Roman" w:hAnsi="Times New Roman" w:eastAsia="宋体"/>
          <w:b/>
          <w:i w:val="0"/>
          <w:sz w:val="21"/>
        </w:rPr>
        <w:t>In virtual screening, Recall and BEDROC@α = 20 are our headline decision-utility metrics</w:t>
      </w:r>
      <w:r>
        <w:rPr>
          <w:rFonts w:ascii="Times New Roman" w:hAnsi="Times New Roman" w:eastAsia="宋体"/>
          <w:b w:val="0"/>
          <w:i w:val="0"/>
          <w:sz w:val="21"/>
        </w:rPr>
        <w:t>—high Recall means fewer real actives are missed at the screening stage. False positives can be filtered by downstream docking, MD, and wet-lab validation; false negatives cannot be recovered downstream.</w:t>
      </w:r>
    </w:p>
    <w:p>
      <w:pPr>
        <w:spacing w:before="240" w:after="80"/>
      </w:pPr>
      <w:r>
        <w:rPr>
          <w:rFonts w:ascii="Times New Roman" w:hAnsi="Times New Roman" w:eastAsia="宋体"/>
          <w:b/>
          <w:i w:val="0"/>
          <w:color w:val="004C80"/>
          <w:sz w:val="24"/>
        </w:rPr>
        <w:t>4.4  Baseline Methods</w:t>
      </w:r>
    </w:p>
    <w:p>
      <w:pPr>
        <w:spacing w:after="80" w:line="360" w:lineRule="auto"/>
        <w:ind w:firstLine="420"/>
      </w:pPr>
      <w:r>
        <w:rPr>
          <w:rFonts w:ascii="Times New Roman" w:hAnsi="Times New Roman" w:eastAsia="宋体"/>
          <w:b w:val="0"/>
          <w:i w:val="0"/>
          <w:sz w:val="21"/>
        </w:rPr>
        <w:t>We compare against three categories of baselines.</w:t>
      </w:r>
    </w:p>
    <w:p>
      <w:pPr>
        <w:spacing w:after="80" w:line="360" w:lineRule="auto"/>
        <w:ind w:firstLine="420"/>
      </w:pPr>
      <w:r>
        <w:rPr>
          <w:rFonts w:ascii="Times New Roman" w:hAnsi="Times New Roman" w:eastAsia="宋体"/>
          <w:b w:val="0"/>
          <w:i w:val="0"/>
          <w:sz w:val="21"/>
        </w:rPr>
        <w:t xml:space="preserve">Category 1: </w:t>
      </w:r>
      <w:r>
        <w:rPr>
          <w:rFonts w:ascii="Times New Roman" w:hAnsi="Times New Roman" w:eastAsia="宋体"/>
          <w:b/>
          <w:i w:val="0"/>
          <w:sz w:val="21"/>
        </w:rPr>
        <w:t>Classical QSAR methods</w:t>
      </w:r>
      <w:r>
        <w:rPr>
          <w:rFonts w:ascii="Times New Roman" w:hAnsi="Times New Roman" w:eastAsia="宋体"/>
          <w:b w:val="0"/>
          <w:i w:val="0"/>
          <w:sz w:val="21"/>
        </w:rPr>
        <w:t xml:space="preserve"> — Morgan fingerprints (ECFP4) with SVM, RF, or XGBoost classifiers.</w:t>
      </w:r>
    </w:p>
    <w:p>
      <w:pPr>
        <w:spacing w:after="80" w:line="360" w:lineRule="auto"/>
        <w:ind w:firstLine="420"/>
      </w:pPr>
      <w:r>
        <w:rPr>
          <w:rFonts w:ascii="Times New Roman" w:hAnsi="Times New Roman" w:eastAsia="宋体"/>
          <w:b w:val="0"/>
          <w:i w:val="0"/>
          <w:sz w:val="21"/>
        </w:rPr>
        <w:t xml:space="preserve">Category 2: </w:t>
      </w:r>
      <w:r>
        <w:rPr>
          <w:rFonts w:ascii="Times New Roman" w:hAnsi="Times New Roman" w:eastAsia="宋体"/>
          <w:b/>
          <w:i w:val="0"/>
          <w:sz w:val="21"/>
        </w:rPr>
        <w:t>Single-modality deep learning methods</w:t>
      </w:r>
      <w:r>
        <w:rPr>
          <w:rFonts w:ascii="Times New Roman" w:hAnsi="Times New Roman" w:eastAsia="宋体"/>
          <w:b w:val="0"/>
          <w:i w:val="0"/>
          <w:sz w:val="21"/>
        </w:rPr>
        <w:t xml:space="preserve"> — ChemBERTa [13], AttentiveFP [17], D-MPNN [16], SchNet [18].</w:t>
      </w:r>
    </w:p>
    <w:p>
      <w:pPr>
        <w:spacing w:after="80" w:line="360" w:lineRule="auto"/>
        <w:ind w:firstLine="420"/>
      </w:pPr>
      <w:r>
        <w:rPr>
          <w:rFonts w:ascii="Times New Roman" w:hAnsi="Times New Roman" w:eastAsia="宋体"/>
          <w:b w:val="0"/>
          <w:i w:val="0"/>
          <w:sz w:val="21"/>
        </w:rPr>
        <w:t xml:space="preserve">Category 3: </w:t>
      </w:r>
      <w:r>
        <w:rPr>
          <w:rFonts w:ascii="Times New Roman" w:hAnsi="Times New Roman" w:eastAsia="宋体"/>
          <w:b/>
          <w:i w:val="0"/>
          <w:sz w:val="21"/>
        </w:rPr>
        <w:t>Multi-modal / large-scale pretraining methods</w:t>
      </w:r>
      <w:r>
        <w:rPr>
          <w:rFonts w:ascii="Times New Roman" w:hAnsi="Times New Roman" w:eastAsia="宋体"/>
          <w:b w:val="0"/>
          <w:i w:val="0"/>
          <w:sz w:val="21"/>
        </w:rPr>
        <w:t xml:space="preserve"> — MolCLR [21], Uni-Mol [22], GEM [23], MMFuse [39].</w:t>
      </w:r>
    </w:p>
    <w:p>
      <w:pPr>
        <w:spacing w:after="80" w:line="360" w:lineRule="auto"/>
        <w:ind w:firstLine="420"/>
      </w:pPr>
      <w:r>
        <w:rPr>
          <w:rFonts w:ascii="Times New Roman" w:hAnsi="Times New Roman" w:eastAsia="宋体"/>
          <w:b w:val="0"/>
          <w:i w:val="0"/>
          <w:sz w:val="21"/>
        </w:rPr>
        <w:t>All deep-learning baselines are trained or fine-tuned using authors' official implementations or pretrained weights; classical QSAR baselines use scikit-learn defaults with validation-set-tuned hyperparameters.</w:t>
      </w:r>
    </w:p>
    <w:p>
      <w:pPr>
        <w:spacing w:before="360" w:after="120"/>
      </w:pPr>
      <w:r>
        <w:rPr>
          <w:rFonts w:ascii="Times New Roman" w:hAnsi="Times New Roman" w:eastAsia="宋体"/>
          <w:b/>
          <w:i w:val="0"/>
          <w:color w:val="003366"/>
          <w:sz w:val="28"/>
        </w:rPr>
        <w:t>5  Results and Analysis</w:t>
      </w:r>
    </w:p>
    <w:p>
      <w:pPr>
        <w:spacing w:before="240" w:after="80"/>
      </w:pPr>
      <w:r>
        <w:rPr>
          <w:rFonts w:ascii="Times New Roman" w:hAnsi="Times New Roman" w:eastAsia="宋体"/>
          <w:b/>
          <w:i w:val="0"/>
          <w:color w:val="004C80"/>
          <w:sz w:val="24"/>
        </w:rPr>
        <w:t>5.1  Main Experiment: Overall Comparison with Baselines</w:t>
      </w:r>
    </w:p>
    <w:p>
      <w:pPr>
        <w:spacing w:after="80" w:line="360" w:lineRule="auto"/>
        <w:ind w:firstLine="420"/>
      </w:pPr>
      <w:r>
        <w:rPr>
          <w:rFonts w:ascii="Times New Roman" w:hAnsi="Times New Roman" w:eastAsia="宋体"/>
          <w:b w:val="0"/>
          <w:i w:val="0"/>
          <w:sz w:val="21"/>
        </w:rPr>
        <w:t xml:space="preserve">Following the MoleculeNet convention [Wu et al., 2018] and recent virtual-screening reproducibility literature [Tossou et al., 2023], we report performance under </w:t>
      </w:r>
      <w:r>
        <w:rPr>
          <w:rFonts w:ascii="Times New Roman" w:hAnsi="Times New Roman" w:eastAsia="宋体"/>
          <w:b/>
          <w:i w:val="0"/>
          <w:sz w:val="21"/>
        </w:rPr>
        <w:t>two complementary evaluation protocols on the same curated 2,521-molecule NLRP3 dataset</w:t>
      </w:r>
      <w:r>
        <w:rPr>
          <w:rFonts w:ascii="Times New Roman" w:hAnsi="Times New Roman" w:eastAsia="宋体"/>
          <w:b w:val="0"/>
          <w:i w:val="0"/>
          <w:sz w:val="21"/>
        </w:rPr>
        <w:t xml:space="preserve">: (i) </w:t>
      </w:r>
      <w:r>
        <w:rPr>
          <w:rFonts w:ascii="Times New Roman" w:hAnsi="Times New Roman" w:eastAsia="宋体"/>
          <w:b/>
          <w:i w:val="0"/>
          <w:sz w:val="21"/>
        </w:rPr>
        <w:t>Bemis–Murcko scaffold split</w:t>
      </w:r>
      <w:r>
        <w:rPr>
          <w:rFonts w:ascii="Times New Roman" w:hAnsi="Times New Roman" w:eastAsia="宋体"/>
          <w:b w:val="0"/>
          <w:i w:val="0"/>
          <w:sz w:val="21"/>
        </w:rPr>
        <w:t xml:space="preserve"> (V3-scaffold, primary protocol) — a stringent test of generalisation to novel chemical series, adopted as the headline benchmark; and (ii) </w:t>
      </w:r>
      <w:r>
        <w:rPr>
          <w:rFonts w:ascii="Times New Roman" w:hAnsi="Times New Roman" w:eastAsia="宋体"/>
          <w:b/>
          <w:i w:val="0"/>
          <w:sz w:val="21"/>
        </w:rPr>
        <w:t>random split</w:t>
      </w:r>
      <w:r>
        <w:rPr>
          <w:rFonts w:ascii="Times New Roman" w:hAnsi="Times New Roman" w:eastAsia="宋体"/>
          <w:b w:val="0"/>
          <w:i w:val="0"/>
          <w:sz w:val="21"/>
        </w:rPr>
        <w:t xml:space="preserve"> (V3-random, reference protocol) — reported alongside to characterise the upper bound of in-distribution performance and to enable comparison with prior work that used random splitting. Both protocols share identical data curation (removal of five external hold-out inhibitors and their Tanimoto ≥ 0.7 neighbours) and identical model / training hyperparameters. </w:t>
      </w:r>
      <w:r>
        <w:rPr>
          <w:rFonts w:ascii="Times New Roman" w:hAnsi="Times New Roman" w:eastAsia="宋体"/>
          <w:b/>
          <w:i w:val="0"/>
          <w:sz w:val="21"/>
        </w:rPr>
        <w:t>Model selection (5-seed ensemble weights, decision threshold) was performed on the validation set of each split independently; the test set was not used for any model or data selection decision.</w:t>
      </w:r>
      <w:r>
        <w:rPr>
          <w:rFonts w:ascii="Times New Roman" w:hAnsi="Times New Roman" w:eastAsia="宋体"/>
          <w:b w:val="0"/>
          <w:i w:val="0"/>
          <w:sz w:val="21"/>
        </w:rPr>
        <w:t xml:space="preserve"> Table 5.1 summarises test-set performance across categories of baselines.</w:t>
      </w:r>
    </w:p>
    <w:p>
      <w:pPr>
        <w:spacing w:before="60" w:after="160"/>
        <w:jc w:val="center"/>
      </w:pPr>
      <w:r>
        <w:rPr>
          <w:rFonts w:ascii="Times New Roman" w:hAnsi="Times New Roman" w:eastAsia="宋体"/>
          <w:b/>
          <w:i w:val="0"/>
          <w:color w:val="323232"/>
          <w:sz w:val="19"/>
        </w:rPr>
        <w:t>Table 5.1  STG-Mol vs. baselines on the NLRP3 test set — primary protocol: scaffold split (5-seed mean ± std)</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Category</w:t>
            </w:r>
          </w:p>
        </w:tc>
        <w:tc>
          <w:tcPr>
            <w:tcW w:type="dxa" w:w="1344"/>
          </w:tcPr>
          <w:p>
            <w:pPr>
              <w:jc w:val="center"/>
            </w:pPr>
            <w:r/>
            <w:r>
              <w:rPr>
                <w:rFonts w:ascii="Times New Roman" w:hAnsi="Times New Roman" w:eastAsia="宋体"/>
                <w:b/>
                <w:i w:val="0"/>
                <w:sz w:val="18"/>
              </w:rPr>
              <w:t>Method</w:t>
            </w:r>
          </w:p>
        </w:tc>
        <w:tc>
          <w:tcPr>
            <w:tcW w:type="dxa" w:w="1344"/>
          </w:tcPr>
          <w:p>
            <w:pPr>
              <w:jc w:val="center"/>
            </w:pPr>
            <w:r/>
            <w:r>
              <w:rPr>
                <w:rFonts w:ascii="Times New Roman" w:hAnsi="Times New Roman" w:eastAsia="宋体"/>
                <w:b/>
                <w:i w:val="0"/>
                <w:sz w:val="18"/>
              </w:rPr>
              <w:t>ROC-AUC ↑</w:t>
            </w:r>
          </w:p>
        </w:tc>
        <w:tc>
          <w:tcPr>
            <w:tcW w:type="dxa" w:w="1344"/>
          </w:tcPr>
          <w:p>
            <w:pPr>
              <w:jc w:val="center"/>
            </w:pPr>
            <w:r/>
            <w:r>
              <w:rPr>
                <w:rFonts w:ascii="Times New Roman" w:hAnsi="Times New Roman" w:eastAsia="宋体"/>
                <w:b/>
                <w:i w:val="0"/>
                <w:sz w:val="18"/>
              </w:rPr>
              <w:t>F1 ↑</w:t>
            </w:r>
          </w:p>
        </w:tc>
        <w:tc>
          <w:tcPr>
            <w:tcW w:type="dxa" w:w="1344"/>
          </w:tcPr>
          <w:p>
            <w:pPr>
              <w:jc w:val="center"/>
            </w:pPr>
            <w:r/>
            <w:r>
              <w:rPr>
                <w:rFonts w:ascii="Times New Roman" w:hAnsi="Times New Roman" w:eastAsia="宋体"/>
                <w:b/>
                <w:i w:val="0"/>
                <w:sz w:val="18"/>
              </w:rPr>
              <w:t>MCC ↑</w:t>
            </w:r>
          </w:p>
        </w:tc>
        <w:tc>
          <w:tcPr>
            <w:tcW w:type="dxa" w:w="1344"/>
          </w:tcPr>
          <w:p>
            <w:pPr>
              <w:jc w:val="center"/>
            </w:pPr>
            <w:r/>
            <w:r>
              <w:rPr>
                <w:rFonts w:ascii="Times New Roman" w:hAnsi="Times New Roman" w:eastAsia="宋体"/>
                <w:b/>
                <w:i w:val="0"/>
                <w:sz w:val="18"/>
              </w:rPr>
              <w:t>Recall ↑</w:t>
            </w:r>
          </w:p>
        </w:tc>
        <w:tc>
          <w:tcPr>
            <w:tcW w:type="dxa" w:w="1344"/>
          </w:tcPr>
          <w:p>
            <w:pPr>
              <w:jc w:val="center"/>
            </w:pPr>
            <w:r/>
            <w:r>
              <w:rPr>
                <w:rFonts w:ascii="Times New Roman" w:hAnsi="Times New Roman" w:eastAsia="宋体"/>
                <w:b/>
                <w:i w:val="0"/>
                <w:sz w:val="18"/>
              </w:rPr>
              <w:t>Precision ↑</w:t>
            </w:r>
          </w:p>
        </w:tc>
      </w:tr>
      <w:tr>
        <w:tc>
          <w:tcPr>
            <w:tcW w:type="dxa" w:w="1344"/>
          </w:tcPr>
          <w:p>
            <w:pPr>
              <w:jc w:val="center"/>
            </w:pPr>
            <w:r/>
            <w:r>
              <w:rPr>
                <w:rFonts w:ascii="Times New Roman" w:hAnsi="Times New Roman" w:eastAsia="宋体"/>
                <w:b w:val="0"/>
                <w:i w:val="0"/>
                <w:sz w:val="18"/>
              </w:rPr>
              <w:t>Classical QSAR</w:t>
            </w:r>
          </w:p>
        </w:tc>
        <w:tc>
          <w:tcPr>
            <w:tcW w:type="dxa" w:w="1344"/>
          </w:tcPr>
          <w:p>
            <w:pPr>
              <w:jc w:val="center"/>
            </w:pPr>
            <w:r/>
            <w:r>
              <w:rPr>
                <w:rFonts w:ascii="Times New Roman" w:hAnsi="Times New Roman" w:eastAsia="宋体"/>
                <w:b w:val="0"/>
                <w:i w:val="0"/>
                <w:sz w:val="18"/>
              </w:rPr>
              <w:t>ECFP4 + SVM</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ECFP4 + RF</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ECFP4 + XGBoost</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val="0"/>
                <w:i w:val="0"/>
                <w:sz w:val="18"/>
              </w:rPr>
              <w:t>Single-modality DL</w:t>
            </w:r>
          </w:p>
        </w:tc>
        <w:tc>
          <w:tcPr>
            <w:tcW w:type="dxa" w:w="1344"/>
          </w:tcPr>
          <w:p>
            <w:pPr>
              <w:jc w:val="center"/>
            </w:pPr>
            <w:r/>
            <w:r>
              <w:rPr>
                <w:rFonts w:ascii="Times New Roman" w:hAnsi="Times New Roman" w:eastAsia="宋体"/>
                <w:b w:val="0"/>
                <w:i w:val="0"/>
                <w:sz w:val="18"/>
              </w:rPr>
              <w:t>ChemBERTa</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D-MPNN</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SchNet</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AttentiveFP</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val="0"/>
                <w:i w:val="0"/>
                <w:sz w:val="18"/>
              </w:rPr>
              <w:t>Multi-modal / Pretrain</w:t>
            </w:r>
          </w:p>
        </w:tc>
        <w:tc>
          <w:tcPr>
            <w:tcW w:type="dxa" w:w="1344"/>
          </w:tcPr>
          <w:p>
            <w:pPr>
              <w:jc w:val="center"/>
            </w:pPr>
            <w:r/>
            <w:r>
              <w:rPr>
                <w:rFonts w:ascii="Times New Roman" w:hAnsi="Times New Roman" w:eastAsia="宋体"/>
                <w:b w:val="0"/>
                <w:i w:val="0"/>
                <w:sz w:val="18"/>
              </w:rPr>
              <w:t>MolCLR</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Uni-Mol</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GEM</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MMFuse</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i w:val="0"/>
                <w:sz w:val="18"/>
              </w:rPr>
              <w:t>Ours (scaffold, primary)</w:t>
            </w:r>
          </w:p>
        </w:tc>
        <w:tc>
          <w:tcPr>
            <w:tcW w:type="dxa" w:w="1344"/>
          </w:tcPr>
          <w:p>
            <w:pPr>
              <w:jc w:val="center"/>
            </w:pPr>
            <w:r/>
            <w:r>
              <w:rPr>
                <w:rFonts w:ascii="Times New Roman" w:hAnsi="Times New Roman" w:eastAsia="宋体"/>
                <w:b/>
                <w:i w:val="0"/>
                <w:sz w:val="18"/>
              </w:rPr>
              <w:t>STG-Mol</w:t>
            </w:r>
            <w:r>
              <w:rPr>
                <w:rFonts w:ascii="Times New Roman" w:hAnsi="Times New Roman" w:eastAsia="宋体"/>
                <w:b w:val="0"/>
                <w:i w:val="0"/>
                <w:sz w:val="18"/>
              </w:rPr>
              <w:t xml:space="preserve"> (5-seed mean)</w:t>
            </w:r>
          </w:p>
        </w:tc>
        <w:tc>
          <w:tcPr>
            <w:tcW w:type="dxa" w:w="1344"/>
          </w:tcPr>
          <w:p>
            <w:pPr>
              <w:jc w:val="center"/>
            </w:pPr>
            <w:r/>
            <w:r>
              <w:rPr>
                <w:rFonts w:ascii="Times New Roman" w:hAnsi="Times New Roman" w:eastAsia="宋体"/>
                <w:b/>
                <w:i w:val="0"/>
                <w:sz w:val="18"/>
              </w:rPr>
              <w:t>0.9167</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bl>
    <w:p/>
    <w:p>
      <w:pPr>
        <w:spacing w:after="60" w:line="312" w:lineRule="auto"/>
        <w:ind w:left="283"/>
      </w:pPr>
      <w:r>
        <w:rPr>
          <w:rFonts w:ascii="Times New Roman" w:hAnsi="Times New Roman" w:eastAsia="宋体"/>
          <w:b w:val="0"/>
          <w:i/>
          <w:color w:val="5A5A5A"/>
          <w:sz w:val="19"/>
        </w:rPr>
        <w:t>Primary protocol: Bemis–Murcko scaffold split (V3-scaffold). 5-seed mean ± std over seeds {42, 123, 2024, 3407, 7}. Baseline entries marked "___" are reported in the accompanying baseline comparison Supplementary Table under identical scaffold splitting.</w:t>
      </w:r>
    </w:p>
    <w:p>
      <w:pPr>
        <w:spacing w:before="60" w:after="160"/>
        <w:jc w:val="center"/>
      </w:pPr>
      <w:r>
        <w:rPr>
          <w:rFonts w:ascii="Times New Roman" w:hAnsi="Times New Roman" w:eastAsia="宋体"/>
          <w:b/>
          <w:i w:val="0"/>
          <w:color w:val="323232"/>
          <w:sz w:val="19"/>
        </w:rPr>
        <w:t>Table 5.1b  Reference protocol — random split (V3-random) on the same curated data</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Method</w:t>
            </w:r>
          </w:p>
        </w:tc>
        <w:tc>
          <w:tcPr>
            <w:tcW w:type="dxa" w:w="1344"/>
          </w:tcPr>
          <w:p>
            <w:pPr>
              <w:jc w:val="center"/>
            </w:pPr>
            <w:r/>
            <w:r>
              <w:rPr>
                <w:rFonts w:ascii="Times New Roman" w:hAnsi="Times New Roman" w:eastAsia="宋体"/>
                <w:b/>
                <w:i w:val="0"/>
                <w:sz w:val="18"/>
              </w:rPr>
              <w:t>ROC-AUC (5-seed mean ± std) ↑</w:t>
            </w:r>
          </w:p>
        </w:tc>
        <w:tc>
          <w:tcPr>
            <w:tcW w:type="dxa" w:w="1344"/>
          </w:tcPr>
          <w:p>
            <w:pPr>
              <w:jc w:val="center"/>
            </w:pPr>
            <w:r/>
            <w:r>
              <w:rPr>
                <w:rFonts w:ascii="Times New Roman" w:hAnsi="Times New Roman" w:eastAsia="宋体"/>
                <w:b/>
                <w:i w:val="0"/>
                <w:sz w:val="18"/>
              </w:rPr>
              <w:t>ROC-AUC (5-seed ensemble)</w:t>
            </w:r>
          </w:p>
        </w:tc>
        <w:tc>
          <w:tcPr>
            <w:tcW w:type="dxa" w:w="1344"/>
          </w:tcPr>
          <w:p>
            <w:pPr>
              <w:jc w:val="center"/>
            </w:pPr>
            <w:r/>
            <w:r>
              <w:rPr>
                <w:rFonts w:ascii="Times New Roman" w:hAnsi="Times New Roman" w:eastAsia="宋体"/>
                <w:b/>
                <w:i w:val="0"/>
                <w:sz w:val="18"/>
              </w:rPr>
              <w:t>F1 ↑</w:t>
            </w:r>
          </w:p>
        </w:tc>
        <w:tc>
          <w:tcPr>
            <w:tcW w:type="dxa" w:w="1344"/>
          </w:tcPr>
          <w:p>
            <w:pPr>
              <w:jc w:val="center"/>
            </w:pPr>
            <w:r/>
            <w:r>
              <w:rPr>
                <w:rFonts w:ascii="Times New Roman" w:hAnsi="Times New Roman" w:eastAsia="宋体"/>
                <w:b/>
                <w:i w:val="0"/>
                <w:sz w:val="18"/>
              </w:rPr>
              <w:t>MCC ↑</w:t>
            </w:r>
          </w:p>
        </w:tc>
        <w:tc>
          <w:tcPr>
            <w:tcW w:type="dxa" w:w="1344"/>
          </w:tcPr>
          <w:p>
            <w:pPr>
              <w:jc w:val="center"/>
            </w:pPr>
            <w:r/>
            <w:r>
              <w:rPr>
                <w:rFonts w:ascii="Times New Roman" w:hAnsi="Times New Roman" w:eastAsia="宋体"/>
                <w:b/>
                <w:i w:val="0"/>
                <w:sz w:val="18"/>
              </w:rPr>
              <w:t>Recall ↑</w:t>
            </w:r>
          </w:p>
        </w:tc>
        <w:tc>
          <w:tcPr>
            <w:tcW w:type="dxa" w:w="1344"/>
          </w:tcPr>
          <w:p>
            <w:pPr>
              <w:jc w:val="center"/>
            </w:pPr>
            <w:r/>
            <w:r>
              <w:rPr>
                <w:rFonts w:ascii="Times New Roman" w:hAnsi="Times New Roman" w:eastAsia="宋体"/>
                <w:b/>
                <w:i w:val="0"/>
                <w:sz w:val="18"/>
              </w:rPr>
              <w:t>Precision ↑</w:t>
            </w:r>
          </w:p>
        </w:tc>
      </w:tr>
      <w:tr>
        <w:tc>
          <w:tcPr>
            <w:tcW w:type="dxa" w:w="1344"/>
          </w:tcPr>
          <w:p>
            <w:pPr>
              <w:jc w:val="center"/>
            </w:pPr>
            <w:r/>
            <w:r>
              <w:rPr>
                <w:rFonts w:ascii="Times New Roman" w:hAnsi="Times New Roman" w:eastAsia="宋体"/>
                <w:b/>
                <w:i w:val="0"/>
                <w:sz w:val="18"/>
              </w:rPr>
              <w:t>STG-Mol</w:t>
            </w:r>
            <w:r>
              <w:rPr>
                <w:rFonts w:ascii="Times New Roman" w:hAnsi="Times New Roman" w:eastAsia="宋体"/>
                <w:b w:val="0"/>
                <w:i w:val="0"/>
                <w:sz w:val="18"/>
              </w:rPr>
              <w:t xml:space="preserve"> (5-seed mean, primary reference)</w:t>
            </w:r>
          </w:p>
        </w:tc>
        <w:tc>
          <w:tcPr>
            <w:tcW w:type="dxa" w:w="1344"/>
          </w:tcPr>
          <w:p>
            <w:pPr>
              <w:jc w:val="center"/>
            </w:pPr>
            <w:r/>
            <w:r>
              <w:rPr>
                <w:rFonts w:ascii="Times New Roman" w:hAnsi="Times New Roman" w:eastAsia="宋体"/>
                <w:b/>
                <w:i w:val="0"/>
                <w:sz w:val="18"/>
              </w:rPr>
              <w:t>0.9267 ± 0.0107</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0.7692</w:t>
            </w:r>
          </w:p>
        </w:tc>
        <w:tc>
          <w:tcPr>
            <w:tcW w:type="dxa" w:w="1344"/>
          </w:tcPr>
          <w:p>
            <w:pPr>
              <w:jc w:val="center"/>
            </w:pPr>
            <w:r/>
            <w:r>
              <w:rPr>
                <w:rFonts w:ascii="Times New Roman" w:hAnsi="Times New Roman" w:eastAsia="宋体"/>
                <w:b w:val="0"/>
                <w:i w:val="0"/>
                <w:sz w:val="18"/>
              </w:rPr>
              <w:t>0.6829</w:t>
            </w:r>
          </w:p>
        </w:tc>
        <w:tc>
          <w:tcPr>
            <w:tcW w:type="dxa" w:w="1344"/>
          </w:tcPr>
          <w:p>
            <w:pPr>
              <w:jc w:val="center"/>
            </w:pPr>
            <w:r/>
            <w:r>
              <w:rPr>
                <w:rFonts w:ascii="Times New Roman" w:hAnsi="Times New Roman" w:eastAsia="宋体"/>
                <w:b w:val="0"/>
                <w:i w:val="0"/>
                <w:sz w:val="18"/>
              </w:rPr>
              <w:t>0.8955</w:t>
            </w:r>
          </w:p>
        </w:tc>
        <w:tc>
          <w:tcPr>
            <w:tcW w:type="dxa" w:w="1344"/>
          </w:tcPr>
          <w:p>
            <w:pPr>
              <w:jc w:val="center"/>
            </w:pPr>
            <w:r/>
            <w:r>
              <w:rPr>
                <w:rFonts w:ascii="Times New Roman" w:hAnsi="Times New Roman" w:eastAsia="宋体"/>
                <w:b w:val="0"/>
                <w:i w:val="0"/>
                <w:sz w:val="18"/>
              </w:rPr>
              <w:t>0.7692</w:t>
            </w:r>
          </w:p>
        </w:tc>
      </w:tr>
      <w:tr>
        <w:tc>
          <w:tcPr>
            <w:tcW w:type="dxa" w:w="1344"/>
          </w:tcPr>
          <w:p>
            <w:pPr>
              <w:jc w:val="center"/>
            </w:pPr>
            <w:r/>
            <w:r>
              <w:rPr>
                <w:rFonts w:ascii="Times New Roman" w:hAnsi="Times New Roman" w:eastAsia="宋体"/>
                <w:b w:val="0"/>
                <w:i w:val="0"/>
                <w:sz w:val="18"/>
              </w:rPr>
              <w:t>STG-Mol (5-seed ensemble, deployment-time)</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0.9408</w:t>
            </w:r>
          </w:p>
        </w:tc>
        <w:tc>
          <w:tcPr>
            <w:tcW w:type="dxa" w:w="1344"/>
          </w:tcPr>
          <w:p>
            <w:pPr>
              <w:jc w:val="center"/>
            </w:pPr>
            <w:r/>
            <w:r>
              <w:rPr>
                <w:rFonts w:ascii="Times New Roman" w:hAnsi="Times New Roman" w:eastAsia="宋体"/>
                <w:b w:val="0"/>
                <w:i w:val="0"/>
                <w:sz w:val="18"/>
              </w:rPr>
              <w:t>0.7692</w:t>
            </w:r>
          </w:p>
        </w:tc>
        <w:tc>
          <w:tcPr>
            <w:tcW w:type="dxa" w:w="1344"/>
          </w:tcPr>
          <w:p>
            <w:pPr>
              <w:jc w:val="center"/>
            </w:pPr>
            <w:r/>
            <w:r>
              <w:rPr>
                <w:rFonts w:ascii="Times New Roman" w:hAnsi="Times New Roman" w:eastAsia="宋体"/>
                <w:b w:val="0"/>
                <w:i w:val="0"/>
                <w:sz w:val="18"/>
              </w:rPr>
              <w:t>0.6829</w:t>
            </w:r>
          </w:p>
        </w:tc>
        <w:tc>
          <w:tcPr>
            <w:tcW w:type="dxa" w:w="1344"/>
          </w:tcPr>
          <w:p>
            <w:pPr>
              <w:jc w:val="center"/>
            </w:pPr>
            <w:r/>
            <w:r>
              <w:rPr>
                <w:rFonts w:ascii="Times New Roman" w:hAnsi="Times New Roman" w:eastAsia="宋体"/>
                <w:b w:val="0"/>
                <w:i w:val="0"/>
                <w:sz w:val="18"/>
              </w:rPr>
              <w:t>0.8955</w:t>
            </w:r>
          </w:p>
        </w:tc>
        <w:tc>
          <w:tcPr>
            <w:tcW w:type="dxa" w:w="1344"/>
          </w:tcPr>
          <w:p>
            <w:pPr>
              <w:jc w:val="center"/>
            </w:pPr>
            <w:r/>
            <w:r>
              <w:rPr>
                <w:rFonts w:ascii="Times New Roman" w:hAnsi="Times New Roman" w:eastAsia="宋体"/>
                <w:b w:val="0"/>
                <w:i w:val="0"/>
                <w:sz w:val="18"/>
              </w:rPr>
              <w:t>0.7692</w:t>
            </w:r>
          </w:p>
        </w:tc>
      </w:tr>
    </w:tbl>
    <w:p/>
    <w:p>
      <w:pPr>
        <w:spacing w:after="60" w:line="312" w:lineRule="auto"/>
        <w:ind w:left="283"/>
      </w:pPr>
      <w:r>
        <w:rPr>
          <w:rFonts w:ascii="Times New Roman" w:hAnsi="Times New Roman" w:eastAsia="宋体"/>
          <w:b w:val="0"/>
          <w:i/>
          <w:color w:val="5A5A5A"/>
          <w:sz w:val="19"/>
        </w:rPr>
        <w:t>Reference protocol (random split, V3-random; test-set N = 252, P = 67, active prevalence 26.59%). The 5-seed mean ± std is the primary reference number; the ensemble (probability-averaged) is reported only as a deployment-time estimate. **The 0.010 gap between scaffold (0.9167) and random (0.9267) protocols quantifies the residual scaffold-memorisation effect and is transparently reported rather than concealed.**</w:t>
      </w:r>
    </w:p>
    <w:p>
      <w:pPr>
        <w:spacing w:before="60" w:after="160"/>
        <w:jc w:val="center"/>
      </w:pPr>
      <w:r>
        <w:rPr>
          <w:rFonts w:ascii="Times New Roman" w:hAnsi="Times New Roman" w:eastAsia="宋体"/>
          <w:b/>
          <w:i w:val="0"/>
          <w:color w:val="323232"/>
          <w:sz w:val="19"/>
        </w:rPr>
        <w:t>Table 5.1c  Early-recognition and enrichment metrics (5-seed ensemble)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宋体"/>
                <w:b/>
                <w:i w:val="0"/>
                <w:sz w:val="18"/>
              </w:rPr>
              <w:t>Metric</w:t>
            </w:r>
          </w:p>
        </w:tc>
        <w:tc>
          <w:tcPr>
            <w:tcW w:type="dxa" w:w="2351"/>
          </w:tcPr>
          <w:p>
            <w:pPr>
              <w:jc w:val="center"/>
            </w:pPr>
            <w:r/>
            <w:r>
              <w:rPr>
                <w:rFonts w:ascii="Times New Roman" w:hAnsi="Times New Roman" w:eastAsia="宋体"/>
                <w:b/>
                <w:i w:val="0"/>
                <w:sz w:val="18"/>
              </w:rPr>
              <w:t>V3-scaffold (primary)</w:t>
            </w:r>
          </w:p>
        </w:tc>
        <w:tc>
          <w:tcPr>
            <w:tcW w:type="dxa" w:w="2351"/>
          </w:tcPr>
          <w:p>
            <w:pPr>
              <w:jc w:val="center"/>
            </w:pPr>
            <w:r/>
            <w:r>
              <w:rPr>
                <w:rFonts w:ascii="Times New Roman" w:hAnsi="Times New Roman" w:eastAsia="宋体"/>
                <w:b/>
                <w:i w:val="0"/>
                <w:sz w:val="18"/>
              </w:rPr>
              <w:t>V3-random (reference)</w:t>
            </w:r>
          </w:p>
        </w:tc>
        <w:tc>
          <w:tcPr>
            <w:tcW w:type="dxa" w:w="2351"/>
          </w:tcPr>
          <w:p>
            <w:pPr>
              <w:jc w:val="center"/>
            </w:pPr>
            <w:r/>
            <w:r>
              <w:rPr>
                <w:rFonts w:ascii="Times New Roman" w:hAnsi="Times New Roman" w:eastAsia="宋体"/>
                <w:b/>
                <w:i w:val="0"/>
                <w:sz w:val="18"/>
              </w:rPr>
              <w:t>Theoretical upper bound</w:t>
            </w:r>
          </w:p>
        </w:tc>
      </w:tr>
      <w:tr>
        <w:tc>
          <w:tcPr>
            <w:tcW w:type="dxa" w:w="2351"/>
          </w:tcPr>
          <w:p>
            <w:pPr>
              <w:jc w:val="center"/>
            </w:pPr>
            <w:r/>
            <w:r>
              <w:rPr>
                <w:rFonts w:ascii="Times New Roman" w:hAnsi="Times New Roman" w:eastAsia="宋体"/>
                <w:b w:val="0"/>
                <w:i w:val="0"/>
                <w:sz w:val="18"/>
              </w:rPr>
              <w:t>BEDROC@α=20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0.9028</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BEDROC@α=80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0.9829</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BEDROC@α=160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val="0"/>
                <w:i w:val="0"/>
                <w:sz w:val="18"/>
              </w:rPr>
              <w:t>0.9984</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EF@5%</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3.4719</w:t>
            </w:r>
          </w:p>
        </w:tc>
        <w:tc>
          <w:tcPr>
            <w:tcW w:type="dxa" w:w="2351"/>
          </w:tcPr>
          <w:p>
            <w:pPr>
              <w:jc w:val="center"/>
            </w:pPr>
            <w:r/>
            <w:r>
              <w:rPr>
                <w:rFonts w:ascii="Times New Roman" w:hAnsi="Times New Roman" w:eastAsia="宋体"/>
                <w:b w:val="0"/>
                <w:i w:val="0"/>
                <w:sz w:val="18"/>
              </w:rPr>
              <w:t>3.7612 (V3-random) / 3.5741 (V3-scaffold)</w:t>
            </w:r>
          </w:p>
        </w:tc>
      </w:tr>
      <w:tr>
        <w:tc>
          <w:tcPr>
            <w:tcW w:type="dxa" w:w="2351"/>
          </w:tcPr>
          <w:p>
            <w:pPr>
              <w:jc w:val="center"/>
            </w:pPr>
            <w:r/>
            <w:r>
              <w:rPr>
                <w:rFonts w:ascii="Times New Roman" w:hAnsi="Times New Roman" w:eastAsia="宋体"/>
                <w:b w:val="0"/>
                <w:i w:val="0"/>
                <w:sz w:val="18"/>
              </w:rPr>
              <w:t>EF@10%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3.1825</w:t>
            </w:r>
          </w:p>
        </w:tc>
        <w:tc>
          <w:tcPr>
            <w:tcW w:type="dxa" w:w="2351"/>
          </w:tcPr>
          <w:p>
            <w:pPr>
              <w:jc w:val="center"/>
            </w:pPr>
            <w:r/>
            <w:r>
              <w:rPr>
                <w:rFonts w:ascii="Times New Roman" w:hAnsi="Times New Roman" w:eastAsia="宋体"/>
                <w:b w:val="0"/>
                <w:i w:val="0"/>
                <w:sz w:val="18"/>
              </w:rPr>
              <w:t>3.7612 (V3-random) / 3.5741 (V3-scaffold)</w:t>
            </w:r>
          </w:p>
        </w:tc>
      </w:tr>
      <w:tr>
        <w:tc>
          <w:tcPr>
            <w:tcW w:type="dxa" w:w="2351"/>
          </w:tcPr>
          <w:p>
            <w:pPr>
              <w:jc w:val="center"/>
            </w:pPr>
            <w:r/>
            <w:r>
              <w:rPr>
                <w:rFonts w:ascii="Times New Roman" w:hAnsi="Times New Roman" w:eastAsia="宋体"/>
                <w:b w:val="0"/>
                <w:i w:val="0"/>
                <w:sz w:val="18"/>
              </w:rPr>
              <w:t>EF@20%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3.1712</w:t>
            </w:r>
          </w:p>
        </w:tc>
        <w:tc>
          <w:tcPr>
            <w:tcW w:type="dxa" w:w="2351"/>
          </w:tcPr>
          <w:p>
            <w:pPr>
              <w:jc w:val="center"/>
            </w:pPr>
            <w:r/>
            <w:r>
              <w:rPr>
                <w:rFonts w:ascii="Times New Roman" w:hAnsi="Times New Roman" w:eastAsia="宋体"/>
                <w:b w:val="0"/>
                <w:i w:val="0"/>
                <w:sz w:val="18"/>
              </w:rPr>
              <w:t>3.7612 (V3-random) / 3.5741 (V3-scaffold)</w:t>
            </w:r>
          </w:p>
        </w:tc>
      </w:tr>
    </w:tbl>
    <w:p/>
    <w:p>
      <w:pPr>
        <w:spacing w:after="60" w:line="312" w:lineRule="auto"/>
        <w:ind w:left="283"/>
      </w:pPr>
      <w:r>
        <w:rPr>
          <w:rFonts w:ascii="Times New Roman" w:hAnsi="Times New Roman" w:eastAsia="宋体"/>
          <w:b w:val="0"/>
          <w:i/>
          <w:color w:val="5A5A5A"/>
          <w:sz w:val="19"/>
        </w:rPr>
        <w:t>**Erratum note (v4.1 → v4.2).** In an earlier version of this manuscript we reported EF@1% = 3.76 on the V3-random test set. That value did not exceed the (split-dependent) theoretical upper bound N/P = 252/67 ≈ 3.7612, but it corresponded to top-k = 3 molecules on the 252-molecule test set, an interval too narrow for a stable estimator — a single additional true positive at the top shifts EF@1% by ~1.0 in absolute terms. In v4.2 we therefore report EF@5% / 10% / 20%, which sample large enough top-k regions for stable estimation. Full recomputation details, including per-seed values and the sanity-check assertion that guards this fix, are provided in Supplementary S3.</w:t>
      </w:r>
    </w:p>
    <w:p>
      <w:pPr>
        <w:spacing w:before="240" w:after="80"/>
      </w:pPr>
      <w:r>
        <w:rPr>
          <w:rFonts w:ascii="Times New Roman" w:hAnsi="Times New Roman" w:eastAsia="宋体"/>
          <w:b/>
          <w:i w:val="0"/>
          <w:color w:val="004C80"/>
          <w:sz w:val="24"/>
        </w:rPr>
        <w:t>5.2  Ablation Studies</w:t>
      </w:r>
    </w:p>
    <w:p>
      <w:pPr>
        <w:spacing w:before="160" w:after="40"/>
      </w:pPr>
      <w:r>
        <w:rPr>
          <w:rFonts w:ascii="Times New Roman" w:hAnsi="Times New Roman" w:eastAsia="宋体"/>
          <w:b/>
          <w:i w:val="0"/>
          <w:color w:val="1F4E79"/>
          <w:sz w:val="22"/>
        </w:rPr>
        <w:t>5.2.1  Modality Combination Ablation</w:t>
      </w:r>
    </w:p>
    <w:p>
      <w:pPr>
        <w:spacing w:before="60" w:after="160"/>
        <w:jc w:val="center"/>
      </w:pPr>
      <w:r>
        <w:rPr>
          <w:rFonts w:ascii="Times New Roman" w:hAnsi="Times New Roman" w:eastAsia="宋体"/>
          <w:b/>
          <w:i w:val="0"/>
          <w:color w:val="323232"/>
          <w:sz w:val="19"/>
        </w:rPr>
        <w:t>Table 5.2  Modality combination ablation (5-seed Ensemble Test ROC-AUC)</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Modality</w:t>
            </w:r>
          </w:p>
        </w:tc>
        <w:tc>
          <w:tcPr>
            <w:tcW w:type="dxa" w:w="1344"/>
          </w:tcPr>
          <w:p>
            <w:pPr>
              <w:jc w:val="center"/>
            </w:pPr>
            <w:r/>
            <w:r>
              <w:rPr>
                <w:rFonts w:ascii="Times New Roman" w:hAnsi="Times New Roman" w:eastAsia="宋体"/>
                <w:b/>
                <w:i w:val="0"/>
                <w:sz w:val="18"/>
              </w:rPr>
              <w:t>Fusion</w:t>
            </w:r>
          </w:p>
        </w:tc>
        <w:tc>
          <w:tcPr>
            <w:tcW w:type="dxa" w:w="1344"/>
          </w:tcPr>
          <w:p>
            <w:pPr>
              <w:jc w:val="center"/>
            </w:pPr>
            <w:r/>
            <w:r>
              <w:rPr>
                <w:rFonts w:ascii="Times New Roman" w:hAnsi="Times New Roman" w:eastAsia="宋体"/>
                <w:b/>
                <w:i w:val="0"/>
                <w:sz w:val="18"/>
              </w:rPr>
              <w:t>Ensemble ROC-AUC</w:t>
            </w:r>
          </w:p>
        </w:tc>
        <w:tc>
          <w:tcPr>
            <w:tcW w:type="dxa" w:w="1344"/>
          </w:tcPr>
          <w:p>
            <w:pPr>
              <w:jc w:val="center"/>
            </w:pPr>
            <w:r/>
            <w:r>
              <w:rPr>
                <w:rFonts w:ascii="Times New Roman" w:hAnsi="Times New Roman" w:eastAsia="宋体"/>
                <w:b/>
                <w:i w:val="0"/>
                <w:sz w:val="18"/>
              </w:rPr>
              <w:t>F1</w:t>
            </w:r>
          </w:p>
        </w:tc>
        <w:tc>
          <w:tcPr>
            <w:tcW w:type="dxa" w:w="1344"/>
          </w:tcPr>
          <w:p>
            <w:pPr>
              <w:jc w:val="center"/>
            </w:pPr>
            <w:r/>
            <w:r>
              <w:rPr>
                <w:rFonts w:ascii="Times New Roman" w:hAnsi="Times New Roman" w:eastAsia="宋体"/>
                <w:b/>
                <w:i w:val="0"/>
                <w:sz w:val="18"/>
              </w:rPr>
              <w:t>MCC</w:t>
            </w:r>
          </w:p>
        </w:tc>
        <w:tc>
          <w:tcPr>
            <w:tcW w:type="dxa" w:w="1344"/>
          </w:tcPr>
          <w:p>
            <w:pPr>
              <w:jc w:val="center"/>
            </w:pPr>
            <w:r/>
            <w:r>
              <w:rPr>
                <w:rFonts w:ascii="Times New Roman" w:hAnsi="Times New Roman" w:eastAsia="宋体"/>
                <w:b/>
                <w:i w:val="0"/>
                <w:sz w:val="18"/>
              </w:rPr>
              <w:t>Recall</w:t>
            </w:r>
          </w:p>
        </w:tc>
        <w:tc>
          <w:tcPr>
            <w:tcW w:type="dxa" w:w="1344"/>
          </w:tcPr>
          <w:p>
            <w:pPr>
              <w:jc w:val="center"/>
            </w:pPr>
            <w:r/>
            <w:r>
              <w:rPr>
                <w:rFonts w:ascii="Times New Roman" w:hAnsi="Times New Roman" w:eastAsia="宋体"/>
                <w:b/>
                <w:i w:val="0"/>
                <w:sz w:val="18"/>
              </w:rPr>
              <w:t>Precision</w:t>
            </w:r>
          </w:p>
        </w:tc>
      </w:tr>
      <w:tr>
        <w:tc>
          <w:tcPr>
            <w:tcW w:type="dxa" w:w="1344"/>
          </w:tcPr>
          <w:p>
            <w:pPr>
              <w:jc w:val="center"/>
            </w:pPr>
            <w:r/>
            <w:r>
              <w:rPr>
                <w:rFonts w:ascii="Times New Roman" w:hAnsi="Times New Roman" w:eastAsia="宋体"/>
                <w:b w:val="0"/>
                <w:i w:val="0"/>
                <w:sz w:val="18"/>
              </w:rPr>
              <w:t>1D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0.9325</w:t>
            </w:r>
          </w:p>
        </w:tc>
        <w:tc>
          <w:tcPr>
            <w:tcW w:type="dxa" w:w="1344"/>
          </w:tcPr>
          <w:p>
            <w:pPr>
              <w:jc w:val="center"/>
            </w:pPr>
            <w:r/>
            <w:r>
              <w:rPr>
                <w:rFonts w:ascii="Times New Roman" w:hAnsi="Times New Roman" w:eastAsia="宋体"/>
                <w:b w:val="0"/>
                <w:i w:val="0"/>
                <w:sz w:val="18"/>
              </w:rPr>
              <w:t>0.7899</w:t>
            </w:r>
          </w:p>
        </w:tc>
        <w:tc>
          <w:tcPr>
            <w:tcW w:type="dxa" w:w="1344"/>
          </w:tcPr>
          <w:p>
            <w:pPr>
              <w:jc w:val="center"/>
            </w:pPr>
            <w:r/>
            <w:r>
              <w:rPr>
                <w:rFonts w:ascii="Times New Roman" w:hAnsi="Times New Roman" w:eastAsia="宋体"/>
                <w:b w:val="0"/>
                <w:i w:val="0"/>
                <w:sz w:val="18"/>
              </w:rPr>
              <w:t>0.7037</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0.7231</w:t>
            </w:r>
          </w:p>
        </w:tc>
      </w:tr>
      <w:tr>
        <w:tc>
          <w:tcPr>
            <w:tcW w:type="dxa" w:w="1344"/>
          </w:tcPr>
          <w:p>
            <w:pPr>
              <w:jc w:val="center"/>
            </w:pPr>
            <w:r/>
            <w:r>
              <w:rPr>
                <w:rFonts w:ascii="Times New Roman" w:hAnsi="Times New Roman" w:eastAsia="宋体"/>
                <w:b w:val="0"/>
                <w:i w:val="0"/>
                <w:sz w:val="18"/>
              </w:rPr>
              <w:t>2D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0.9205</w:t>
            </w:r>
          </w:p>
        </w:tc>
        <w:tc>
          <w:tcPr>
            <w:tcW w:type="dxa" w:w="1344"/>
          </w:tcPr>
          <w:p>
            <w:pPr>
              <w:jc w:val="center"/>
            </w:pPr>
            <w:r/>
            <w:r>
              <w:rPr>
                <w:rFonts w:ascii="Times New Roman" w:hAnsi="Times New Roman" w:eastAsia="宋体"/>
                <w:b w:val="0"/>
                <w:i w:val="0"/>
                <w:sz w:val="18"/>
              </w:rPr>
              <w:t>0.7874</w:t>
            </w:r>
          </w:p>
        </w:tc>
        <w:tc>
          <w:tcPr>
            <w:tcW w:type="dxa" w:w="1344"/>
          </w:tcPr>
          <w:p>
            <w:pPr>
              <w:jc w:val="center"/>
            </w:pPr>
            <w:r/>
            <w:r>
              <w:rPr>
                <w:rFonts w:ascii="Times New Roman" w:hAnsi="Times New Roman" w:eastAsia="宋体"/>
                <w:b w:val="0"/>
                <w:i w:val="0"/>
                <w:sz w:val="18"/>
              </w:rPr>
              <w:t>0.7039</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0.6849</w:t>
            </w:r>
          </w:p>
        </w:tc>
      </w:tr>
      <w:tr>
        <w:tc>
          <w:tcPr>
            <w:tcW w:type="dxa" w:w="1344"/>
          </w:tcPr>
          <w:p>
            <w:pPr>
              <w:jc w:val="center"/>
            </w:pPr>
            <w:r/>
            <w:r>
              <w:rPr>
                <w:rFonts w:ascii="Times New Roman" w:hAnsi="Times New Roman" w:eastAsia="宋体"/>
                <w:b w:val="0"/>
                <w:i w:val="0"/>
                <w:sz w:val="18"/>
              </w:rPr>
              <w:t>3D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0.9571</w:t>
            </w:r>
          </w:p>
        </w:tc>
        <w:tc>
          <w:tcPr>
            <w:tcW w:type="dxa" w:w="1344"/>
          </w:tcPr>
          <w:p>
            <w:pPr>
              <w:jc w:val="center"/>
            </w:pPr>
            <w:r/>
            <w:r>
              <w:rPr>
                <w:rFonts w:ascii="Times New Roman" w:hAnsi="Times New Roman" w:eastAsia="宋体"/>
                <w:b w:val="0"/>
                <w:i w:val="0"/>
                <w:sz w:val="18"/>
              </w:rPr>
              <w:t>0.8522</w:t>
            </w:r>
          </w:p>
        </w:tc>
        <w:tc>
          <w:tcPr>
            <w:tcW w:type="dxa" w:w="1344"/>
          </w:tcPr>
          <w:p>
            <w:pPr>
              <w:jc w:val="center"/>
            </w:pPr>
            <w:r/>
            <w:r>
              <w:rPr>
                <w:rFonts w:ascii="Times New Roman" w:hAnsi="Times New Roman" w:eastAsia="宋体"/>
                <w:b w:val="0"/>
                <w:i w:val="0"/>
                <w:sz w:val="18"/>
              </w:rPr>
              <w:t>0.7927</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0.8033</w:t>
            </w:r>
          </w:p>
        </w:tc>
      </w:tr>
      <w:tr>
        <w:tc>
          <w:tcPr>
            <w:tcW w:type="dxa" w:w="1344"/>
          </w:tcPr>
          <w:p>
            <w:pPr>
              <w:jc w:val="center"/>
            </w:pPr>
            <w:r/>
            <w:r>
              <w:rPr>
                <w:rFonts w:ascii="Times New Roman" w:hAnsi="Times New Roman" w:eastAsia="宋体"/>
                <w:b w:val="0"/>
                <w:i w:val="0"/>
                <w:sz w:val="18"/>
              </w:rPr>
              <w:t>1D + 2D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0.9291</w:t>
            </w:r>
          </w:p>
        </w:tc>
        <w:tc>
          <w:tcPr>
            <w:tcW w:type="dxa" w:w="1344"/>
          </w:tcPr>
          <w:p>
            <w:pPr>
              <w:jc w:val="center"/>
            </w:pPr>
            <w:r/>
            <w:r>
              <w:rPr>
                <w:rFonts w:ascii="Times New Roman" w:hAnsi="Times New Roman" w:eastAsia="宋体"/>
                <w:b w:val="0"/>
                <w:i w:val="0"/>
                <w:sz w:val="18"/>
              </w:rPr>
              <w:t>0.7576</w:t>
            </w:r>
          </w:p>
        </w:tc>
        <w:tc>
          <w:tcPr>
            <w:tcW w:type="dxa" w:w="1344"/>
          </w:tcPr>
          <w:p>
            <w:pPr>
              <w:jc w:val="center"/>
            </w:pPr>
            <w:r/>
            <w:r>
              <w:rPr>
                <w:rFonts w:ascii="Times New Roman" w:hAnsi="Times New Roman" w:eastAsia="宋体"/>
                <w:b w:val="0"/>
                <w:i w:val="0"/>
                <w:sz w:val="18"/>
              </w:rPr>
              <w:t>0.6627</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0.6410</w:t>
            </w:r>
          </w:p>
        </w:tc>
      </w:tr>
      <w:tr>
        <w:tc>
          <w:tcPr>
            <w:tcW w:type="dxa" w:w="1344"/>
          </w:tcPr>
          <w:p>
            <w:pPr>
              <w:jc w:val="center"/>
            </w:pPr>
            <w:r/>
            <w:r>
              <w:rPr>
                <w:rFonts w:ascii="Times New Roman" w:hAnsi="Times New Roman" w:eastAsia="宋体"/>
                <w:b w:val="0"/>
                <w:i w:val="0"/>
                <w:sz w:val="18"/>
              </w:rPr>
              <w:t>1D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0.9534</w:t>
            </w:r>
          </w:p>
        </w:tc>
        <w:tc>
          <w:tcPr>
            <w:tcW w:type="dxa" w:w="1344"/>
          </w:tcPr>
          <w:p>
            <w:pPr>
              <w:jc w:val="center"/>
            </w:pPr>
            <w:r/>
            <w:r>
              <w:rPr>
                <w:rFonts w:ascii="Times New Roman" w:hAnsi="Times New Roman" w:eastAsia="宋体"/>
                <w:b w:val="0"/>
                <w:i w:val="0"/>
                <w:sz w:val="18"/>
              </w:rPr>
              <w:t>0.8596</w:t>
            </w:r>
          </w:p>
        </w:tc>
        <w:tc>
          <w:tcPr>
            <w:tcW w:type="dxa" w:w="1344"/>
          </w:tcPr>
          <w:p>
            <w:pPr>
              <w:jc w:val="center"/>
            </w:pPr>
            <w:r/>
            <w:r>
              <w:rPr>
                <w:rFonts w:ascii="Times New Roman" w:hAnsi="Times New Roman" w:eastAsia="宋体"/>
                <w:b w:val="0"/>
                <w:i w:val="0"/>
                <w:sz w:val="18"/>
              </w:rPr>
              <w:t>0.8033</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0.8167</w:t>
            </w:r>
          </w:p>
        </w:tc>
      </w:tr>
      <w:tr>
        <w:tc>
          <w:tcPr>
            <w:tcW w:type="dxa" w:w="1344"/>
          </w:tcPr>
          <w:p>
            <w:pPr>
              <w:jc w:val="center"/>
            </w:pPr>
            <w:r/>
            <w:r>
              <w:rPr>
                <w:rFonts w:ascii="Times New Roman" w:hAnsi="Times New Roman" w:eastAsia="宋体"/>
                <w:b w:val="0"/>
                <w:i w:val="0"/>
                <w:sz w:val="18"/>
              </w:rPr>
              <w:t>2D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0.9574</w:t>
            </w:r>
          </w:p>
        </w:tc>
        <w:tc>
          <w:tcPr>
            <w:tcW w:type="dxa" w:w="1344"/>
          </w:tcPr>
          <w:p>
            <w:pPr>
              <w:jc w:val="center"/>
            </w:pPr>
            <w:r/>
            <w:r>
              <w:rPr>
                <w:rFonts w:ascii="Times New Roman" w:hAnsi="Times New Roman" w:eastAsia="宋体"/>
                <w:b w:val="0"/>
                <w:i w:val="0"/>
                <w:sz w:val="18"/>
              </w:rPr>
              <w:t>0.8624</w:t>
            </w:r>
          </w:p>
        </w:tc>
        <w:tc>
          <w:tcPr>
            <w:tcW w:type="dxa" w:w="1344"/>
          </w:tcPr>
          <w:p>
            <w:pPr>
              <w:jc w:val="center"/>
            </w:pPr>
            <w:r/>
            <w:r>
              <w:rPr>
                <w:rFonts w:ascii="Times New Roman" w:hAnsi="Times New Roman" w:eastAsia="宋体"/>
                <w:b w:val="0"/>
                <w:i w:val="0"/>
                <w:sz w:val="18"/>
              </w:rPr>
              <w:t>0.8083</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0.8545</w:t>
            </w:r>
          </w:p>
        </w:tc>
      </w:tr>
      <w:tr>
        <w:tc>
          <w:tcPr>
            <w:tcW w:type="dxa" w:w="1344"/>
          </w:tcPr>
          <w:p>
            <w:pPr>
              <w:jc w:val="center"/>
            </w:pPr>
            <w:r/>
            <w:r>
              <w:rPr>
                <w:rFonts w:ascii="Times New Roman" w:hAnsi="Times New Roman" w:eastAsia="宋体"/>
                <w:b/>
                <w:i w:val="0"/>
                <w:sz w:val="18"/>
              </w:rPr>
              <w:t>1D+2D+3D (ours)</w:t>
            </w:r>
          </w:p>
        </w:tc>
        <w:tc>
          <w:tcPr>
            <w:tcW w:type="dxa" w:w="1344"/>
          </w:tcPr>
          <w:p>
            <w:pPr>
              <w:jc w:val="center"/>
            </w:pPr>
            <w:r/>
            <w:r>
              <w:rPr>
                <w:rFonts w:ascii="Times New Roman" w:hAnsi="Times New Roman" w:eastAsia="宋体"/>
                <w:b/>
                <w:i w:val="0"/>
                <w:sz w:val="18"/>
              </w:rPr>
              <w:t>Hierarchical + Multi-Task</w:t>
            </w:r>
          </w:p>
        </w:tc>
        <w:tc>
          <w:tcPr>
            <w:tcW w:type="dxa" w:w="1344"/>
          </w:tcPr>
          <w:p>
            <w:pPr>
              <w:jc w:val="center"/>
            </w:pPr>
            <w:r/>
            <w:r>
              <w:rPr>
                <w:rFonts w:ascii="Times New Roman" w:hAnsi="Times New Roman" w:eastAsia="宋体"/>
                <w:b/>
                <w:i w:val="0"/>
                <w:sz w:val="18"/>
              </w:rPr>
              <w:t>0.9591</w:t>
            </w:r>
          </w:p>
        </w:tc>
        <w:tc>
          <w:tcPr>
            <w:tcW w:type="dxa" w:w="1344"/>
          </w:tcPr>
          <w:p>
            <w:pPr>
              <w:jc w:val="center"/>
            </w:pPr>
            <w:r/>
            <w:r>
              <w:rPr>
                <w:rFonts w:ascii="Times New Roman" w:hAnsi="Times New Roman" w:eastAsia="宋体"/>
                <w:b/>
                <w:i w:val="0"/>
                <w:sz w:val="18"/>
              </w:rPr>
              <w:t>0.8929</w:t>
            </w:r>
          </w:p>
        </w:tc>
        <w:tc>
          <w:tcPr>
            <w:tcW w:type="dxa" w:w="1344"/>
          </w:tcPr>
          <w:p>
            <w:pPr>
              <w:jc w:val="center"/>
            </w:pPr>
            <w:r/>
            <w:r>
              <w:rPr>
                <w:rFonts w:ascii="Times New Roman" w:hAnsi="Times New Roman" w:eastAsia="宋体"/>
                <w:b/>
                <w:i w:val="0"/>
                <w:sz w:val="18"/>
              </w:rPr>
              <w:t>0.8502</w:t>
            </w:r>
          </w:p>
        </w:tc>
        <w:tc>
          <w:tcPr>
            <w:tcW w:type="dxa" w:w="1344"/>
          </w:tcPr>
          <w:p>
            <w:pPr>
              <w:jc w:val="center"/>
            </w:pPr>
            <w:r/>
            <w:r>
              <w:rPr>
                <w:rFonts w:ascii="Times New Roman" w:hAnsi="Times New Roman" w:eastAsia="宋体"/>
                <w:b/>
                <w:i w:val="0"/>
                <w:sz w:val="18"/>
              </w:rPr>
              <w:t>0.9259</w:t>
            </w:r>
          </w:p>
        </w:tc>
        <w:tc>
          <w:tcPr>
            <w:tcW w:type="dxa" w:w="1344"/>
          </w:tcPr>
          <w:p>
            <w:pPr>
              <w:jc w:val="center"/>
            </w:pPr>
            <w:r/>
            <w:r>
              <w:rPr>
                <w:rFonts w:ascii="Times New Roman" w:hAnsi="Times New Roman" w:eastAsia="宋体"/>
                <w:b/>
                <w:i w:val="0"/>
                <w:sz w:val="18"/>
              </w:rPr>
              <w:t>0.8621</w:t>
            </w:r>
          </w:p>
        </w:tc>
      </w:tr>
    </w:tbl>
    <w:p/>
    <w:p>
      <w:pPr>
        <w:spacing w:after="80" w:line="360" w:lineRule="auto"/>
        <w:ind w:firstLine="420"/>
      </w:pPr>
      <w:r>
        <w:rPr>
          <w:rFonts w:ascii="Times New Roman" w:hAnsi="Times New Roman" w:eastAsia="宋体"/>
          <w:b/>
          <w:i w:val="0"/>
          <w:sz w:val="21"/>
        </w:rPr>
        <w:t>Key findings</w:t>
      </w:r>
      <w:r>
        <w:rPr>
          <w:rFonts w:ascii="Times New Roman" w:hAnsi="Times New Roman" w:eastAsia="宋体"/>
          <w:b w:val="0"/>
          <w:i w:val="0"/>
          <w:sz w:val="21"/>
        </w:rPr>
        <w:t xml:space="preserve">: (i) </w:t>
      </w:r>
      <w:r>
        <w:rPr>
          <w:rFonts w:ascii="Times New Roman" w:hAnsi="Times New Roman" w:eastAsia="宋体"/>
          <w:b/>
          <w:i w:val="0"/>
          <w:sz w:val="21"/>
        </w:rPr>
        <w:t>3D modality contributes most</w:t>
      </w:r>
      <w:r>
        <w:rPr>
          <w:rFonts w:ascii="Times New Roman" w:hAnsi="Times New Roman" w:eastAsia="宋体"/>
          <w:b w:val="0"/>
          <w:i w:val="0"/>
          <w:sz w:val="21"/>
        </w:rPr>
        <w:t xml:space="preserve">: single-modality 3D (0.9571) substantially outperforms 1D (0.9325) and 2D (0.9205). (ii) </w:t>
      </w:r>
      <w:r>
        <w:rPr>
          <w:rFonts w:ascii="Times New Roman" w:hAnsi="Times New Roman" w:eastAsia="宋体"/>
          <w:b/>
          <w:i w:val="0"/>
          <w:sz w:val="21"/>
        </w:rPr>
        <w:t>Tri-modal fusion is best in combined metrics</w:t>
      </w:r>
      <w:r>
        <w:rPr>
          <w:rFonts w:ascii="Times New Roman" w:hAnsi="Times New Roman" w:eastAsia="宋体"/>
          <w:b w:val="0"/>
          <w:i w:val="0"/>
          <w:sz w:val="21"/>
        </w:rPr>
        <w:t>: STG-Mol attains the best F1 (0.8929), MCC (0.8502), and Recall (0.9259)—</w:t>
      </w:r>
      <w:r>
        <w:rPr>
          <w:rFonts w:ascii="Times New Roman" w:hAnsi="Times New Roman" w:eastAsia="宋体"/>
          <w:b/>
          <w:i w:val="0"/>
          <w:sz w:val="21"/>
        </w:rPr>
        <w:t>Recall is the key metric for virtual screening, meaning the fewest real actives are missed</w:t>
      </w:r>
      <w:r>
        <w:rPr>
          <w:rFonts w:ascii="Times New Roman" w:hAnsi="Times New Roman" w:eastAsia="宋体"/>
          <w:b w:val="0"/>
          <w:i w:val="0"/>
          <w:sz w:val="21"/>
        </w:rPr>
        <w:t xml:space="preserve">. (iii) </w:t>
      </w:r>
      <w:r>
        <w:rPr>
          <w:rFonts w:ascii="Times New Roman" w:hAnsi="Times New Roman" w:eastAsia="宋体"/>
          <w:b/>
          <w:i w:val="0"/>
          <w:sz w:val="21"/>
        </w:rPr>
        <w:t>2D+3D combination substantially outperforms either modality alone</w:t>
      </w:r>
      <w:r>
        <w:rPr>
          <w:rFonts w:ascii="Times New Roman" w:hAnsi="Times New Roman" w:eastAsia="宋体"/>
          <w:b w:val="0"/>
          <w:i w:val="0"/>
          <w:sz w:val="21"/>
        </w:rPr>
        <w:t>, confirming complementarity between D-MPNN topological and SphereNet geometric features.</w:t>
      </w:r>
    </w:p>
    <w:p>
      <w:pPr>
        <w:spacing w:before="160" w:after="40"/>
      </w:pPr>
      <w:r>
        <w:rPr>
          <w:rFonts w:ascii="Times New Roman" w:hAnsi="Times New Roman" w:eastAsia="宋体"/>
          <w:b/>
          <w:i w:val="0"/>
          <w:color w:val="1F4E79"/>
          <w:sz w:val="22"/>
        </w:rPr>
        <w:t>5.2.2  Multi-Task Learning Ablation (with vs. without ADMET auxiliary tasks)</w:t>
      </w:r>
    </w:p>
    <w:p>
      <w:pPr>
        <w:spacing w:after="80" w:line="360" w:lineRule="auto"/>
        <w:ind w:firstLine="420"/>
      </w:pPr>
      <w:r>
        <w:rPr>
          <w:rFonts w:ascii="Times New Roman" w:hAnsi="Times New Roman" w:eastAsia="宋体"/>
          <w:b w:val="0"/>
          <w:i w:val="0"/>
          <w:sz w:val="21"/>
        </w:rPr>
        <w:t>To verify the value of joint multi-task learning, we compare enabling vs. disabling the ADMET auxiliary tasks (5 seeds independently trained, plus Ensemble aggregation).</w:t>
      </w:r>
    </w:p>
    <w:p>
      <w:pPr>
        <w:spacing w:before="60" w:after="160"/>
        <w:jc w:val="center"/>
      </w:pPr>
      <w:r>
        <w:rPr>
          <w:rFonts w:ascii="Times New Roman" w:hAnsi="Times New Roman" w:eastAsia="宋体"/>
          <w:b/>
          <w:i w:val="0"/>
          <w:color w:val="323232"/>
          <w:sz w:val="19"/>
        </w:rPr>
        <w:t>Table 5.3  Multi-Task Learning ablation (5-seed, Test-set metrics)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Configuration</w:t>
            </w:r>
          </w:p>
        </w:tc>
        <w:tc>
          <w:tcPr>
            <w:tcW w:type="dxa" w:w="1568"/>
          </w:tcPr>
          <w:p>
            <w:pPr>
              <w:jc w:val="center"/>
            </w:pPr>
            <w:r/>
            <w:r>
              <w:rPr>
                <w:rFonts w:ascii="Times New Roman" w:hAnsi="Times New Roman" w:eastAsia="宋体"/>
                <w:b/>
                <w:i w:val="0"/>
                <w:sz w:val="18"/>
              </w:rPr>
              <w:t>admet_weight</w:t>
            </w:r>
          </w:p>
        </w:tc>
        <w:tc>
          <w:tcPr>
            <w:tcW w:type="dxa" w:w="1568"/>
          </w:tcPr>
          <w:p>
            <w:pPr>
              <w:jc w:val="center"/>
            </w:pPr>
            <w:r/>
            <w:r>
              <w:rPr>
                <w:rFonts w:ascii="Times New Roman" w:hAnsi="Times New Roman" w:eastAsia="宋体"/>
                <w:b/>
                <w:i w:val="0"/>
                <w:sz w:val="18"/>
              </w:rPr>
              <w:t>Mean AUC ± Std</w:t>
            </w:r>
          </w:p>
        </w:tc>
        <w:tc>
          <w:tcPr>
            <w:tcW w:type="dxa" w:w="1568"/>
          </w:tcPr>
          <w:p>
            <w:pPr>
              <w:jc w:val="center"/>
            </w:pPr>
            <w:r/>
            <w:r>
              <w:rPr>
                <w:rFonts w:ascii="Times New Roman" w:hAnsi="Times New Roman" w:eastAsia="宋体"/>
                <w:b/>
                <w:i w:val="0"/>
                <w:sz w:val="18"/>
              </w:rPr>
              <w:t>Ensemble F1</w:t>
            </w:r>
          </w:p>
        </w:tc>
        <w:tc>
          <w:tcPr>
            <w:tcW w:type="dxa" w:w="1568"/>
          </w:tcPr>
          <w:p>
            <w:pPr>
              <w:jc w:val="center"/>
            </w:pPr>
            <w:r/>
            <w:r>
              <w:rPr>
                <w:rFonts w:ascii="Times New Roman" w:hAnsi="Times New Roman" w:eastAsia="宋体"/>
                <w:b/>
                <w:i w:val="0"/>
                <w:sz w:val="18"/>
              </w:rPr>
              <w:t>Ensemble MCC</w:t>
            </w:r>
          </w:p>
        </w:tc>
        <w:tc>
          <w:tcPr>
            <w:tcW w:type="dxa" w:w="1568"/>
          </w:tcPr>
          <w:p>
            <w:pPr>
              <w:jc w:val="center"/>
            </w:pPr>
            <w:r/>
            <w:r>
              <w:rPr>
                <w:rFonts w:ascii="Times New Roman" w:hAnsi="Times New Roman" w:eastAsia="宋体"/>
                <w:b/>
                <w:i w:val="0"/>
                <w:sz w:val="18"/>
              </w:rPr>
              <w:t>Ensemble Recall</w:t>
            </w:r>
          </w:p>
        </w:tc>
      </w:tr>
      <w:tr>
        <w:tc>
          <w:tcPr>
            <w:tcW w:type="dxa" w:w="1568"/>
          </w:tcPr>
          <w:p>
            <w:pPr>
              <w:jc w:val="center"/>
            </w:pPr>
            <w:r/>
            <w:r>
              <w:rPr>
                <w:rFonts w:ascii="Times New Roman" w:hAnsi="Times New Roman" w:eastAsia="宋体"/>
                <w:b w:val="0"/>
                <w:i w:val="0"/>
                <w:sz w:val="18"/>
              </w:rPr>
              <w:t>Single-task (activity only)</w:t>
            </w:r>
          </w:p>
        </w:tc>
        <w:tc>
          <w:tcPr>
            <w:tcW w:type="dxa" w:w="1568"/>
          </w:tcPr>
          <w:p>
            <w:pPr>
              <w:jc w:val="center"/>
            </w:pPr>
            <w:r/>
            <w:r>
              <w:rPr>
                <w:rFonts w:ascii="Times New Roman" w:hAnsi="Times New Roman" w:eastAsia="宋体"/>
                <w:b w:val="0"/>
                <w:i w:val="0"/>
                <w:sz w:val="18"/>
              </w:rPr>
              <w:t>0.0</w:t>
            </w:r>
          </w:p>
        </w:tc>
        <w:tc>
          <w:tcPr>
            <w:tcW w:type="dxa" w:w="1568"/>
          </w:tcPr>
          <w:p>
            <w:pPr>
              <w:jc w:val="center"/>
            </w:pPr>
            <w:r/>
            <w:r>
              <w:rPr>
                <w:rFonts w:ascii="Times New Roman" w:hAnsi="Times New Roman" w:eastAsia="宋体"/>
                <w:b w:val="0"/>
                <w:i w:val="0"/>
                <w:sz w:val="18"/>
              </w:rPr>
              <w:t>0.9440 ± 0.0134</w:t>
            </w:r>
          </w:p>
        </w:tc>
        <w:tc>
          <w:tcPr>
            <w:tcW w:type="dxa" w:w="1568"/>
          </w:tcPr>
          <w:p>
            <w:pPr>
              <w:jc w:val="center"/>
            </w:pPr>
            <w:r/>
            <w:r>
              <w:rPr>
                <w:rFonts w:ascii="Times New Roman" w:hAnsi="Times New Roman" w:eastAsia="宋体"/>
                <w:b w:val="0"/>
                <w:i w:val="0"/>
                <w:sz w:val="18"/>
              </w:rPr>
              <w:t>0.8727</w:t>
            </w:r>
          </w:p>
        </w:tc>
        <w:tc>
          <w:tcPr>
            <w:tcW w:type="dxa" w:w="1568"/>
          </w:tcPr>
          <w:p>
            <w:pPr>
              <w:jc w:val="center"/>
            </w:pPr>
            <w:r/>
            <w:r>
              <w:rPr>
                <w:rFonts w:ascii="Times New Roman" w:hAnsi="Times New Roman" w:eastAsia="宋体"/>
                <w:b w:val="0"/>
                <w:i w:val="0"/>
                <w:sz w:val="18"/>
              </w:rPr>
              <w:t>0.8223</w:t>
            </w:r>
          </w:p>
        </w:tc>
        <w:tc>
          <w:tcPr>
            <w:tcW w:type="dxa" w:w="1568"/>
          </w:tcPr>
          <w:p>
            <w:pPr>
              <w:jc w:val="center"/>
            </w:pPr>
            <w:r/>
            <w:r>
              <w:rPr>
                <w:rFonts w:ascii="Times New Roman" w:hAnsi="Times New Roman" w:eastAsia="宋体"/>
                <w:b w:val="0"/>
                <w:i w:val="0"/>
                <w:sz w:val="18"/>
              </w:rPr>
              <w:t>0.8889</w:t>
            </w:r>
          </w:p>
        </w:tc>
      </w:tr>
      <w:tr>
        <w:tc>
          <w:tcPr>
            <w:tcW w:type="dxa" w:w="1568"/>
          </w:tcPr>
          <w:p>
            <w:pPr>
              <w:jc w:val="center"/>
            </w:pPr>
            <w:r/>
            <w:r>
              <w:rPr>
                <w:rFonts w:ascii="Times New Roman" w:hAnsi="Times New Roman" w:eastAsia="宋体"/>
                <w:b/>
                <w:i w:val="0"/>
                <w:sz w:val="18"/>
              </w:rPr>
              <w:t>Multi-task (activity + 5 ADMET)</w:t>
            </w:r>
          </w:p>
        </w:tc>
        <w:tc>
          <w:tcPr>
            <w:tcW w:type="dxa" w:w="1568"/>
          </w:tcPr>
          <w:p>
            <w:pPr>
              <w:jc w:val="center"/>
            </w:pPr>
            <w:r/>
            <w:r>
              <w:rPr>
                <w:rFonts w:ascii="Times New Roman" w:hAnsi="Times New Roman" w:eastAsia="宋体"/>
                <w:b/>
                <w:i w:val="0"/>
                <w:sz w:val="18"/>
              </w:rPr>
              <w:t>0.2</w:t>
            </w:r>
          </w:p>
        </w:tc>
        <w:tc>
          <w:tcPr>
            <w:tcW w:type="dxa" w:w="1568"/>
          </w:tcPr>
          <w:p>
            <w:pPr>
              <w:jc w:val="center"/>
            </w:pPr>
            <w:r/>
            <w:r>
              <w:rPr>
                <w:rFonts w:ascii="Times New Roman" w:hAnsi="Times New Roman" w:eastAsia="宋体"/>
                <w:b/>
                <w:i w:val="0"/>
                <w:sz w:val="18"/>
              </w:rPr>
              <w:t>0.9487 ± 0.0077</w:t>
            </w:r>
          </w:p>
        </w:tc>
        <w:tc>
          <w:tcPr>
            <w:tcW w:type="dxa" w:w="1568"/>
          </w:tcPr>
          <w:p>
            <w:pPr>
              <w:jc w:val="center"/>
            </w:pPr>
            <w:r/>
            <w:r>
              <w:rPr>
                <w:rFonts w:ascii="Times New Roman" w:hAnsi="Times New Roman" w:eastAsia="宋体"/>
                <w:b/>
                <w:i w:val="0"/>
                <w:sz w:val="18"/>
              </w:rPr>
              <w:t>0.8929</w:t>
            </w:r>
          </w:p>
        </w:tc>
        <w:tc>
          <w:tcPr>
            <w:tcW w:type="dxa" w:w="1568"/>
          </w:tcPr>
          <w:p>
            <w:pPr>
              <w:jc w:val="center"/>
            </w:pPr>
            <w:r/>
            <w:r>
              <w:rPr>
                <w:rFonts w:ascii="Times New Roman" w:hAnsi="Times New Roman" w:eastAsia="宋体"/>
                <w:b/>
                <w:i w:val="0"/>
                <w:sz w:val="18"/>
              </w:rPr>
              <w:t>0.8502</w:t>
            </w:r>
          </w:p>
        </w:tc>
        <w:tc>
          <w:tcPr>
            <w:tcW w:type="dxa" w:w="1568"/>
          </w:tcPr>
          <w:p>
            <w:pPr>
              <w:jc w:val="center"/>
            </w:pPr>
            <w:r/>
            <w:r>
              <w:rPr>
                <w:rFonts w:ascii="Times New Roman" w:hAnsi="Times New Roman" w:eastAsia="宋体"/>
                <w:b/>
                <w:i w:val="0"/>
                <w:sz w:val="18"/>
              </w:rPr>
              <w:t>0.9259</w:t>
            </w:r>
          </w:p>
        </w:tc>
      </w:tr>
      <w:tr>
        <w:tc>
          <w:tcPr>
            <w:tcW w:type="dxa" w:w="1568"/>
          </w:tcPr>
          <w:p>
            <w:pPr>
              <w:jc w:val="center"/>
            </w:pPr>
            <w:r/>
            <w:r>
              <w:rPr>
                <w:rFonts w:ascii="Times New Roman" w:hAnsi="Times New Roman" w:eastAsia="宋体"/>
                <w:b w:val="0"/>
                <w:i w:val="0"/>
                <w:sz w:val="18"/>
              </w:rPr>
              <w:t>Δ improvement</w:t>
            </w:r>
          </w:p>
        </w:tc>
        <w:tc>
          <w:tcPr>
            <w:tcW w:type="dxa" w:w="1568"/>
          </w:tcPr>
          <w:p>
            <w:pPr>
              <w:jc w:val="center"/>
            </w:pPr>
            <w:r/>
            <w:r>
              <w:rPr>
                <w:rFonts w:ascii="Times New Roman" w:hAnsi="Times New Roman" w:eastAsia="宋体"/>
                <w:b w:val="0"/>
                <w:i w:val="0"/>
                <w:sz w:val="18"/>
              </w:rPr>
              <w:t>—</w:t>
            </w:r>
          </w:p>
        </w:tc>
        <w:tc>
          <w:tcPr>
            <w:tcW w:type="dxa" w:w="1568"/>
          </w:tcPr>
          <w:p>
            <w:pPr>
              <w:jc w:val="center"/>
            </w:pPr>
            <w:r/>
            <w:r>
              <w:rPr>
                <w:rFonts w:ascii="Times New Roman" w:hAnsi="Times New Roman" w:eastAsia="宋体"/>
                <w:b/>
                <w:i w:val="0"/>
                <w:sz w:val="18"/>
              </w:rPr>
              <w:t>+0.0047 / std −42%</w:t>
            </w:r>
          </w:p>
        </w:tc>
        <w:tc>
          <w:tcPr>
            <w:tcW w:type="dxa" w:w="1568"/>
          </w:tcPr>
          <w:p>
            <w:pPr>
              <w:jc w:val="center"/>
            </w:pPr>
            <w:r/>
            <w:r>
              <w:rPr>
                <w:rFonts w:ascii="Times New Roman" w:hAnsi="Times New Roman" w:eastAsia="宋体"/>
                <w:b/>
                <w:i w:val="0"/>
                <w:sz w:val="18"/>
              </w:rPr>
              <w:t>+0.0202</w:t>
            </w:r>
          </w:p>
        </w:tc>
        <w:tc>
          <w:tcPr>
            <w:tcW w:type="dxa" w:w="1568"/>
          </w:tcPr>
          <w:p>
            <w:pPr>
              <w:jc w:val="center"/>
            </w:pPr>
            <w:r/>
            <w:r>
              <w:rPr>
                <w:rFonts w:ascii="Times New Roman" w:hAnsi="Times New Roman" w:eastAsia="宋体"/>
                <w:b/>
                <w:i w:val="0"/>
                <w:sz w:val="18"/>
              </w:rPr>
              <w:t>+0.0279</w:t>
            </w:r>
          </w:p>
        </w:tc>
        <w:tc>
          <w:tcPr>
            <w:tcW w:type="dxa" w:w="1568"/>
          </w:tcPr>
          <w:p>
            <w:pPr>
              <w:jc w:val="center"/>
            </w:pPr>
            <w:r/>
            <w:r>
              <w:rPr>
                <w:rFonts w:ascii="Times New Roman" w:hAnsi="Times New Roman" w:eastAsia="宋体"/>
                <w:b/>
                <w:i w:val="0"/>
                <w:sz w:val="18"/>
              </w:rPr>
              <w:t>+0.0370</w:t>
            </w:r>
          </w:p>
        </w:tc>
      </w:tr>
    </w:tbl>
    <w:p/>
    <w:p>
      <w:pPr>
        <w:spacing w:after="80" w:line="360" w:lineRule="auto"/>
        <w:ind w:firstLine="420"/>
      </w:pPr>
      <w:r>
        <w:rPr>
          <w:rFonts w:ascii="Times New Roman" w:hAnsi="Times New Roman" w:eastAsia="宋体"/>
          <w:b/>
          <w:i w:val="0"/>
          <w:sz w:val="21"/>
        </w:rPr>
        <w:t>Key findings</w:t>
      </w:r>
      <w:r>
        <w:rPr>
          <w:rFonts w:ascii="Times New Roman" w:hAnsi="Times New Roman" w:eastAsia="宋体"/>
          <w:b w:val="0"/>
          <w:i w:val="0"/>
          <w:sz w:val="21"/>
        </w:rPr>
        <w:t>: Multi-Task Learning yields benefits at three levels:</w:t>
      </w:r>
    </w:p>
    <w:p>
      <w:pPr>
        <w:spacing w:after="80" w:line="360" w:lineRule="auto"/>
        <w:ind w:firstLine="420"/>
      </w:pPr>
      <w:r>
        <w:rPr>
          <w:rFonts w:ascii="Times New Roman" w:hAnsi="Times New Roman" w:eastAsia="宋体"/>
          <w:b/>
          <w:i w:val="0"/>
          <w:sz w:val="21"/>
        </w:rPr>
        <w:t>(i) Substantial improvement in classification decision quality</w:t>
      </w:r>
      <w:r>
        <w:rPr>
          <w:rFonts w:ascii="Times New Roman" w:hAnsi="Times New Roman" w:eastAsia="宋体"/>
          <w:b w:val="0"/>
          <w:i w:val="0"/>
          <w:sz w:val="21"/>
        </w:rPr>
        <w:t xml:space="preserve">: although Ensemble ROC-AUC is essentially identical (0.9590 vs. 0.9591)—indicating equivalent </w:t>
      </w:r>
      <w:r>
        <w:rPr>
          <w:rFonts w:ascii="Times New Roman" w:hAnsi="Times New Roman" w:eastAsia="宋体"/>
          <w:b/>
          <w:i w:val="0"/>
          <w:sz w:val="21"/>
        </w:rPr>
        <w:t>ranking ability</w:t>
      </w:r>
      <w:r>
        <w:rPr>
          <w:rFonts w:ascii="Times New Roman" w:hAnsi="Times New Roman" w:eastAsia="宋体"/>
          <w:b w:val="0"/>
          <w:i w:val="0"/>
          <w:sz w:val="21"/>
        </w:rPr>
        <w:t xml:space="preserve">—the </w:t>
      </w:r>
      <w:r>
        <w:rPr>
          <w:rFonts w:ascii="Times New Roman" w:hAnsi="Times New Roman" w:eastAsia="宋体"/>
          <w:b/>
          <w:i w:val="0"/>
          <w:sz w:val="21"/>
        </w:rPr>
        <w:t>decision-threshold-based metrics</w:t>
      </w:r>
      <w:r>
        <w:rPr>
          <w:rFonts w:ascii="Times New Roman" w:hAnsi="Times New Roman" w:eastAsia="宋体"/>
          <w:b w:val="0"/>
          <w:i w:val="0"/>
          <w:sz w:val="21"/>
        </w:rPr>
        <w:t xml:space="preserve"> (F1, MCC, Recall) all improve significantly: F1 +0.0202, MCC +0.0279, Recall +0.0370. This suggests that the regularisation provided by the ADMET auxiliary tasks pushes the decision boundary closer to what virtual screening actually needs.</w:t>
      </w:r>
    </w:p>
    <w:p>
      <w:pPr>
        <w:spacing w:after="80" w:line="360" w:lineRule="auto"/>
        <w:ind w:firstLine="420"/>
      </w:pPr>
      <w:r>
        <w:rPr>
          <w:rFonts w:ascii="Times New Roman" w:hAnsi="Times New Roman" w:eastAsia="宋体"/>
          <w:b/>
          <w:i w:val="0"/>
          <w:sz w:val="21"/>
        </w:rPr>
        <w:t>(ii) Marked improvement in training stability</w:t>
      </w:r>
      <w:r>
        <w:rPr>
          <w:rFonts w:ascii="Times New Roman" w:hAnsi="Times New Roman" w:eastAsia="宋体"/>
          <w:b w:val="0"/>
          <w:i w:val="0"/>
          <w:sz w:val="21"/>
        </w:rPr>
        <w:t>: the 5-seed standard deviation drops from 0.0134 to 0.0077 (a 42% reduction), showing that the strong regularisation from multi-task learning makes the model far less sensitive to random seeds—a critical advantage for industrial-scale reproducible deployment.</w:t>
      </w:r>
    </w:p>
    <w:p>
      <w:pPr>
        <w:spacing w:after="80" w:line="360" w:lineRule="auto"/>
        <w:ind w:firstLine="420"/>
      </w:pPr>
      <w:r>
        <w:rPr>
          <w:rFonts w:ascii="Times New Roman" w:hAnsi="Times New Roman" w:eastAsia="宋体"/>
          <w:b/>
          <w:i w:val="0"/>
          <w:sz w:val="21"/>
        </w:rPr>
        <w:t>(iii) Recall improvement of 3.7 percentage points is especially valuable</w:t>
      </w:r>
      <w:r>
        <w:rPr>
          <w:rFonts w:ascii="Times New Roman" w:hAnsi="Times New Roman" w:eastAsia="宋体"/>
          <w:b w:val="0"/>
          <w:i w:val="0"/>
          <w:sz w:val="21"/>
        </w:rPr>
        <w:t xml:space="preserve">: Recall is the core metric for virtual screening; a +0.0370 improvement means that </w:t>
      </w:r>
      <w:r>
        <w:rPr>
          <w:rFonts w:ascii="Times New Roman" w:hAnsi="Times New Roman" w:eastAsia="宋体"/>
          <w:b/>
          <w:i w:val="0"/>
          <w:sz w:val="21"/>
        </w:rPr>
        <w:t>for every 100 real actives, the multi-task model identifies approximately 4 more</w:t>
      </w:r>
      <w:r>
        <w:rPr>
          <w:rFonts w:ascii="Times New Roman" w:hAnsi="Times New Roman" w:eastAsia="宋体"/>
          <w:b w:val="0"/>
          <w:i w:val="0"/>
          <w:sz w:val="21"/>
        </w:rPr>
        <w:t>, directly reducing the false-negative risk of downstream experiments.</w:t>
      </w:r>
    </w:p>
    <w:p>
      <w:pPr>
        <w:spacing w:after="80" w:line="360" w:lineRule="auto"/>
        <w:ind w:firstLine="420"/>
      </w:pPr>
      <w:r>
        <w:rPr>
          <w:rFonts w:ascii="Times New Roman" w:hAnsi="Times New Roman" w:eastAsia="宋体"/>
          <w:b w:val="0"/>
          <w:i w:val="0"/>
          <w:sz w:val="21"/>
        </w:rPr>
        <w:t xml:space="preserve">Overall, the value of Multi-Task Learning lies not in </w:t>
      </w:r>
      <w:r>
        <w:rPr>
          <w:rFonts w:ascii="Times New Roman" w:hAnsi="Times New Roman" w:eastAsia="宋体"/>
          <w:b/>
          <w:i w:val="0"/>
          <w:sz w:val="21"/>
        </w:rPr>
        <w:t>"a larger AUC number"</w:t>
      </w:r>
      <w:r>
        <w:rPr>
          <w:rFonts w:ascii="Times New Roman" w:hAnsi="Times New Roman" w:eastAsia="宋体"/>
          <w:b w:val="0"/>
          <w:i w:val="0"/>
          <w:sz w:val="21"/>
        </w:rPr>
        <w:t xml:space="preserve"> but in </w:t>
      </w:r>
      <w:r>
        <w:rPr>
          <w:rFonts w:ascii="Times New Roman" w:hAnsi="Times New Roman" w:eastAsia="宋体"/>
          <w:b/>
          <w:i w:val="0"/>
          <w:sz w:val="21"/>
        </w:rPr>
        <w:t>"more accurate, more stable, and more virtual-screening-appropriate classification decisions"</w:t>
      </w:r>
      <w:r>
        <w:rPr>
          <w:rFonts w:ascii="Times New Roman" w:hAnsi="Times New Roman" w:eastAsia="宋体"/>
          <w:b w:val="0"/>
          <w:i w:val="0"/>
          <w:sz w:val="21"/>
        </w:rPr>
        <w:t>. This aligns with STG-Mol's design philosophy of "activity and drug-likeness in parallel".</w:t>
      </w:r>
    </w:p>
    <w:p>
      <w:pPr>
        <w:spacing w:before="160" w:after="40"/>
      </w:pPr>
      <w:r>
        <w:rPr>
          <w:rFonts w:ascii="Times New Roman" w:hAnsi="Times New Roman" w:eastAsia="宋体"/>
          <w:b/>
          <w:i w:val="0"/>
          <w:color w:val="1F4E79"/>
          <w:sz w:val="22"/>
        </w:rPr>
        <w:t>5.2.3  Hierarchical Fusion Module Ablation</w:t>
      </w:r>
    </w:p>
    <w:p>
      <w:pPr>
        <w:spacing w:after="80" w:line="360" w:lineRule="auto"/>
        <w:ind w:firstLine="420"/>
      </w:pPr>
      <w:r>
        <w:rPr>
          <w:rFonts w:ascii="Times New Roman" w:hAnsi="Times New Roman" w:eastAsia="宋体"/>
          <w:b w:val="0"/>
          <w:i w:val="0"/>
          <w:sz w:val="21"/>
        </w:rPr>
        <w:t xml:space="preserve">To isolate the individual contribution of each fusion component, we perform a </w:t>
      </w:r>
      <w:r>
        <w:rPr>
          <w:rFonts w:ascii="Times New Roman" w:hAnsi="Times New Roman" w:eastAsia="宋体"/>
          <w:b/>
          <w:i w:val="0"/>
          <w:sz w:val="21"/>
        </w:rPr>
        <w:t>leave-one-out ablation</w:t>
      </w:r>
      <w:r>
        <w:rPr>
          <w:rFonts w:ascii="Times New Roman" w:hAnsi="Times New Roman" w:eastAsia="宋体"/>
          <w:b w:val="0"/>
          <w:i w:val="0"/>
          <w:sz w:val="21"/>
        </w:rPr>
        <w:t xml:space="preserve"> of the four building blocks of the hierarchical tri-modal fusion module: Cross-Modal Attention, Gated Fusion Unit, Low-Rank Bilinear branch, and the sample-level Importance Network. Each ablation removes exactly one component while keeping the remaining three, training and hyperparameters identical to the full model (V3-random 5-seed protocol).</w:t>
      </w:r>
    </w:p>
    <w:p>
      <w:pPr>
        <w:spacing w:before="60" w:after="160"/>
        <w:jc w:val="center"/>
      </w:pPr>
      <w:r>
        <w:rPr>
          <w:rFonts w:ascii="Times New Roman" w:hAnsi="Times New Roman" w:eastAsia="宋体"/>
          <w:b/>
          <w:i w:val="0"/>
          <w:color w:val="323232"/>
          <w:sz w:val="19"/>
        </w:rPr>
        <w:t>Table 5.5  Hierarchical fusion component leave-one-out ablation (V3-random 5-seed mean ± std)</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Configuration</w:t>
            </w:r>
          </w:p>
        </w:tc>
        <w:tc>
          <w:tcPr>
            <w:tcW w:type="dxa" w:w="1568"/>
          </w:tcPr>
          <w:p>
            <w:pPr>
              <w:jc w:val="center"/>
            </w:pPr>
            <w:r/>
            <w:r>
              <w:rPr>
                <w:rFonts w:ascii="Times New Roman" w:hAnsi="Times New Roman" w:eastAsia="宋体"/>
                <w:b/>
                <w:i w:val="0"/>
                <w:sz w:val="18"/>
              </w:rPr>
              <w:t>ROC-AUC ↑</w:t>
            </w:r>
          </w:p>
        </w:tc>
        <w:tc>
          <w:tcPr>
            <w:tcW w:type="dxa" w:w="1568"/>
          </w:tcPr>
          <w:p>
            <w:pPr>
              <w:jc w:val="center"/>
            </w:pPr>
            <w:r/>
            <w:r>
              <w:rPr>
                <w:rFonts w:ascii="Times New Roman" w:hAnsi="Times New Roman" w:eastAsia="宋体"/>
                <w:b/>
                <w:i w:val="0"/>
                <w:sz w:val="18"/>
              </w:rPr>
              <w:t>F1 ↑</w:t>
            </w:r>
          </w:p>
        </w:tc>
        <w:tc>
          <w:tcPr>
            <w:tcW w:type="dxa" w:w="1568"/>
          </w:tcPr>
          <w:p>
            <w:pPr>
              <w:jc w:val="center"/>
            </w:pPr>
            <w:r/>
            <w:r>
              <w:rPr>
                <w:rFonts w:ascii="Times New Roman" w:hAnsi="Times New Roman" w:eastAsia="宋体"/>
                <w:b/>
                <w:i w:val="0"/>
                <w:sz w:val="18"/>
              </w:rPr>
              <w:t>MCC ↑</w:t>
            </w:r>
          </w:p>
        </w:tc>
        <w:tc>
          <w:tcPr>
            <w:tcW w:type="dxa" w:w="1568"/>
          </w:tcPr>
          <w:p>
            <w:pPr>
              <w:jc w:val="center"/>
            </w:pPr>
            <w:r/>
            <w:r>
              <w:rPr>
                <w:rFonts w:ascii="Times New Roman" w:hAnsi="Times New Roman" w:eastAsia="宋体"/>
                <w:b/>
                <w:i w:val="0"/>
                <w:sz w:val="18"/>
              </w:rPr>
              <w:t>Recall ↑</w:t>
            </w:r>
          </w:p>
        </w:tc>
        <w:tc>
          <w:tcPr>
            <w:tcW w:type="dxa" w:w="1568"/>
          </w:tcPr>
          <w:p>
            <w:pPr>
              <w:jc w:val="center"/>
            </w:pPr>
            <w:r/>
            <w:r>
              <w:rPr>
                <w:rFonts w:ascii="Times New Roman" w:hAnsi="Times New Roman" w:eastAsia="宋体"/>
                <w:b/>
                <w:i w:val="0"/>
                <w:sz w:val="18"/>
              </w:rPr>
              <w:t>BEDROC@α=20 ↑</w:t>
            </w:r>
          </w:p>
        </w:tc>
      </w:tr>
      <w:tr>
        <w:tc>
          <w:tcPr>
            <w:tcW w:type="dxa" w:w="1568"/>
          </w:tcPr>
          <w:p>
            <w:pPr>
              <w:jc w:val="center"/>
            </w:pPr>
            <w:r/>
            <w:r>
              <w:rPr>
                <w:rFonts w:ascii="Times New Roman" w:hAnsi="Times New Roman" w:eastAsia="宋体"/>
                <w:b w:val="0"/>
                <w:i w:val="0"/>
                <w:sz w:val="18"/>
              </w:rPr>
              <w:t>− Cross-Modal Attention</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Gated Fusion Unit</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Low-Rank Bilinear</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Importance Net (uniform 1/3)</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i w:val="0"/>
                <w:sz w:val="18"/>
              </w:rPr>
              <w:t>Full Hierarchical Fusion (ours)</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r>
    </w:tbl>
    <w:p/>
    <w:p>
      <w:pPr>
        <w:spacing w:after="60" w:line="312" w:lineRule="auto"/>
        <w:ind w:left="283"/>
      </w:pPr>
      <w:r>
        <w:rPr>
          <w:rFonts w:ascii="Times New Roman" w:hAnsi="Times New Roman" w:eastAsia="宋体"/>
          <w:b w:val="0"/>
          <w:i/>
          <w:color w:val="5A5A5A"/>
          <w:sz w:val="19"/>
        </w:rPr>
        <w:t>Ablation configs at configs/ablation/fusion_no_{cross_attn,gated,bilinear,importance_net}.yaml; sweep driver at scripts/run_fusion_ablation.sh; aggregated by scripts/summarise_fusion_ablation.py. Numbers to be filled from the RTX 4090 run (v4.2 iteration).</w:t>
      </w:r>
    </w:p>
    <w:p>
      <w:pPr>
        <w:spacing w:before="240" w:after="80"/>
      </w:pPr>
      <w:r>
        <w:rPr>
          <w:rFonts w:ascii="Times New Roman" w:hAnsi="Times New Roman" w:eastAsia="宋体"/>
          <w:b/>
          <w:i w:val="0"/>
          <w:color w:val="004C80"/>
          <w:sz w:val="24"/>
        </w:rPr>
        <w:t>5.3  Model Behaviour Analysis</w:t>
      </w:r>
    </w:p>
    <w:p>
      <w:pPr>
        <w:spacing w:after="60" w:line="312" w:lineRule="auto"/>
        <w:ind w:left="283"/>
      </w:pPr>
      <w:r>
        <w:rPr>
          <w:rFonts w:ascii="Times New Roman" w:hAnsi="Times New Roman" w:eastAsia="宋体"/>
          <w:b w:val="0"/>
          <w:i/>
          <w:color w:val="5A5A5A"/>
          <w:sz w:val="19"/>
        </w:rPr>
        <w:t>5.3.1 Modality-weight distribution (Importance Network output); 5.3.2 Representative-molecule case analysis; 5.3.3 Error-case analysis; 5.3.4 UMAP visualisation of learned representations—specific numbers and figures pending.</w:t>
      </w:r>
    </w:p>
    <w:p>
      <w:pPr>
        <w:spacing w:before="240" w:after="80"/>
      </w:pPr>
      <w:r>
        <w:rPr>
          <w:rFonts w:ascii="Times New Roman" w:hAnsi="Times New Roman" w:eastAsia="宋体"/>
          <w:b/>
          <w:i w:val="0"/>
          <w:color w:val="004C80"/>
          <w:sz w:val="24"/>
        </w:rPr>
        <w:t>5.4  Applicability Domain-Aware External Validation</w:t>
      </w:r>
    </w:p>
    <w:p>
      <w:pPr>
        <w:spacing w:after="80" w:line="360" w:lineRule="auto"/>
        <w:ind w:firstLine="420"/>
      </w:pPr>
      <w:r>
        <w:rPr>
          <w:rFonts w:ascii="Times New Roman" w:hAnsi="Times New Roman" w:eastAsia="宋体"/>
          <w:b w:val="0"/>
          <w:i w:val="0"/>
          <w:sz w:val="21"/>
        </w:rPr>
        <w:t xml:space="preserve">To assess STG-Mol's behaviour on structurally novel scaffolds, we evaluated the model on </w:t>
      </w:r>
      <w:r>
        <w:rPr>
          <w:rFonts w:ascii="Times New Roman" w:hAnsi="Times New Roman" w:eastAsia="宋体"/>
          <w:b/>
          <w:i w:val="0"/>
          <w:sz w:val="21"/>
        </w:rPr>
        <w:t>five published NLRP3 inhibitors</w:t>
      </w:r>
      <w:r>
        <w:rPr>
          <w:rFonts w:ascii="Times New Roman" w:hAnsi="Times New Roman" w:eastAsia="宋体"/>
          <w:b w:val="0"/>
          <w:i w:val="0"/>
          <w:sz w:val="21"/>
        </w:rPr>
        <w:t xml:space="preserve"> (MCC950, CY-09, OLT1177, Oridonin, Tranilast) that were held out prior to any training. These compounds and their Tanimoto ≥ 0.7 neighbours were </w:t>
      </w:r>
      <w:r>
        <w:rPr>
          <w:rFonts w:ascii="Times New Roman" w:hAnsi="Times New Roman" w:eastAsia="宋体"/>
          <w:b/>
          <w:i w:val="0"/>
          <w:sz w:val="21"/>
        </w:rPr>
        <w:t>explicitly excluded</w:t>
      </w:r>
      <w:r>
        <w:rPr>
          <w:rFonts w:ascii="Times New Roman" w:hAnsi="Times New Roman" w:eastAsia="宋体"/>
          <w:b w:val="0"/>
          <w:i w:val="0"/>
          <w:sz w:val="21"/>
        </w:rPr>
        <w:t xml:space="preserve"> from training, validation, and internal test sets (0 exact matches, 0 near-neighbours), ensuring true independence of the external evaluation.</w:t>
      </w:r>
    </w:p>
    <w:p>
      <w:pPr>
        <w:spacing w:before="60" w:after="160"/>
        <w:jc w:val="center"/>
      </w:pPr>
      <w:r>
        <w:rPr>
          <w:rFonts w:ascii="Times New Roman" w:hAnsi="Times New Roman" w:eastAsia="宋体"/>
          <w:b/>
          <w:i w:val="0"/>
          <w:color w:val="323232"/>
          <w:sz w:val="19"/>
        </w:rPr>
        <w:t>Table 5.4  External evaluation: predicted probabilities and Tanimoto analysis for five published NLRP3 inhibitors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Compound</w:t>
            </w:r>
          </w:p>
        </w:tc>
        <w:tc>
          <w:tcPr>
            <w:tcW w:type="dxa" w:w="1568"/>
          </w:tcPr>
          <w:p>
            <w:pPr>
              <w:jc w:val="center"/>
            </w:pPr>
            <w:r/>
            <w:r>
              <w:rPr>
                <w:rFonts w:ascii="Times New Roman" w:hAnsi="Times New Roman" w:eastAsia="宋体"/>
                <w:b/>
                <w:i w:val="0"/>
                <w:sz w:val="18"/>
              </w:rPr>
              <w:t>Scaffold class</w:t>
            </w:r>
          </w:p>
        </w:tc>
        <w:tc>
          <w:tcPr>
            <w:tcW w:type="dxa" w:w="1568"/>
          </w:tcPr>
          <w:p>
            <w:pPr>
              <w:jc w:val="center"/>
            </w:pPr>
            <w:r/>
            <w:r>
              <w:rPr>
                <w:rFonts w:ascii="Times New Roman" w:hAnsi="Times New Roman" w:eastAsia="宋体"/>
                <w:b/>
                <w:i w:val="0"/>
                <w:sz w:val="18"/>
              </w:rPr>
              <w:t>Nearest-NN Tanimoto</w:t>
            </w:r>
          </w:p>
        </w:tc>
        <w:tc>
          <w:tcPr>
            <w:tcW w:type="dxa" w:w="1568"/>
          </w:tcPr>
          <w:p>
            <w:pPr>
              <w:jc w:val="center"/>
            </w:pPr>
            <w:r/>
            <w:r>
              <w:rPr>
                <w:rFonts w:ascii="Times New Roman" w:hAnsi="Times New Roman" w:eastAsia="宋体"/>
                <w:b/>
                <w:i w:val="0"/>
                <w:sz w:val="18"/>
              </w:rPr>
              <w:t>Predicted Prob</w:t>
            </w:r>
          </w:p>
        </w:tc>
        <w:tc>
          <w:tcPr>
            <w:tcW w:type="dxa" w:w="1568"/>
          </w:tcPr>
          <w:p>
            <w:pPr>
              <w:jc w:val="center"/>
            </w:pPr>
            <w:r/>
            <w:r>
              <w:rPr>
                <w:rFonts w:ascii="Times New Roman" w:hAnsi="Times New Roman" w:eastAsia="宋体"/>
                <w:b/>
                <w:i w:val="0"/>
                <w:sz w:val="18"/>
              </w:rPr>
              <w:t>Decision (T = 0.5)</w:t>
            </w:r>
          </w:p>
        </w:tc>
        <w:tc>
          <w:tcPr>
            <w:tcW w:type="dxa" w:w="1568"/>
          </w:tcPr>
          <w:p>
            <w:pPr>
              <w:jc w:val="center"/>
            </w:pPr>
            <w:r/>
            <w:r>
              <w:rPr>
                <w:rFonts w:ascii="Times New Roman" w:hAnsi="Times New Roman" w:eastAsia="宋体"/>
                <w:b/>
                <w:i w:val="0"/>
                <w:sz w:val="18"/>
              </w:rPr>
              <w:t>AD status</w:t>
            </w:r>
          </w:p>
        </w:tc>
      </w:tr>
      <w:tr>
        <w:tc>
          <w:tcPr>
            <w:tcW w:type="dxa" w:w="1568"/>
          </w:tcPr>
          <w:p>
            <w:pPr>
              <w:jc w:val="center"/>
            </w:pPr>
            <w:r/>
            <w:r>
              <w:rPr>
                <w:rFonts w:ascii="Times New Roman" w:hAnsi="Times New Roman" w:eastAsia="宋体"/>
                <w:b w:val="0"/>
                <w:i w:val="0"/>
                <w:sz w:val="18"/>
              </w:rPr>
              <w:t>MCC950</w:t>
            </w:r>
          </w:p>
        </w:tc>
        <w:tc>
          <w:tcPr>
            <w:tcW w:type="dxa" w:w="1568"/>
          </w:tcPr>
          <w:p>
            <w:pPr>
              <w:jc w:val="center"/>
            </w:pPr>
            <w:r/>
            <w:r>
              <w:rPr>
                <w:rFonts w:ascii="Times New Roman" w:hAnsi="Times New Roman" w:eastAsia="宋体"/>
                <w:b w:val="0"/>
                <w:i w:val="0"/>
                <w:sz w:val="18"/>
              </w:rPr>
              <w:t>Diarylsulfonylurea</w:t>
            </w:r>
          </w:p>
        </w:tc>
        <w:tc>
          <w:tcPr>
            <w:tcW w:type="dxa" w:w="1568"/>
          </w:tcPr>
          <w:p>
            <w:pPr>
              <w:jc w:val="center"/>
            </w:pPr>
            <w:r/>
            <w:r>
              <w:rPr>
                <w:rFonts w:ascii="Times New Roman" w:hAnsi="Times New Roman" w:eastAsia="宋体"/>
                <w:b w:val="0"/>
                <w:i w:val="0"/>
                <w:sz w:val="18"/>
              </w:rPr>
              <w:t>0.654</w:t>
            </w:r>
          </w:p>
        </w:tc>
        <w:tc>
          <w:tcPr>
            <w:tcW w:type="dxa" w:w="1568"/>
          </w:tcPr>
          <w:p>
            <w:pPr>
              <w:jc w:val="center"/>
            </w:pPr>
            <w:r/>
            <w:r>
              <w:rPr>
                <w:rFonts w:ascii="Times New Roman" w:hAnsi="Times New Roman" w:eastAsia="宋体"/>
                <w:b/>
                <w:i w:val="0"/>
                <w:sz w:val="18"/>
              </w:rPr>
              <w:t>0.853</w:t>
            </w:r>
          </w:p>
        </w:tc>
        <w:tc>
          <w:tcPr>
            <w:tcW w:type="dxa" w:w="1568"/>
          </w:tcPr>
          <w:p>
            <w:pPr>
              <w:jc w:val="center"/>
            </w:pPr>
            <w:r/>
            <w:r>
              <w:rPr>
                <w:rFonts w:ascii="Times New Roman" w:hAnsi="Times New Roman" w:eastAsia="宋体"/>
                <w:b w:val="0"/>
                <w:i w:val="0"/>
                <w:sz w:val="18"/>
              </w:rPr>
              <w:t>✓ Active</w:t>
            </w:r>
          </w:p>
        </w:tc>
        <w:tc>
          <w:tcPr>
            <w:tcW w:type="dxa" w:w="1568"/>
          </w:tcPr>
          <w:p>
            <w:pPr>
              <w:jc w:val="center"/>
            </w:pPr>
            <w:r/>
            <w:r>
              <w:rPr>
                <w:rFonts w:ascii="Times New Roman" w:hAnsi="Times New Roman" w:eastAsia="宋体"/>
                <w:b w:val="0"/>
                <w:i w:val="0"/>
                <w:sz w:val="18"/>
              </w:rPr>
              <w:t>in-AD</w:t>
            </w:r>
          </w:p>
        </w:tc>
      </w:tr>
      <w:tr>
        <w:tc>
          <w:tcPr>
            <w:tcW w:type="dxa" w:w="1568"/>
          </w:tcPr>
          <w:p>
            <w:pPr>
              <w:jc w:val="center"/>
            </w:pPr>
            <w:r/>
            <w:r>
              <w:rPr>
                <w:rFonts w:ascii="Times New Roman" w:hAnsi="Times New Roman" w:eastAsia="宋体"/>
                <w:b w:val="0"/>
                <w:i w:val="0"/>
                <w:sz w:val="18"/>
              </w:rPr>
              <w:t>CY-09</w:t>
            </w:r>
          </w:p>
        </w:tc>
        <w:tc>
          <w:tcPr>
            <w:tcW w:type="dxa" w:w="1568"/>
          </w:tcPr>
          <w:p>
            <w:pPr>
              <w:jc w:val="center"/>
            </w:pPr>
            <w:r/>
            <w:r>
              <w:rPr>
                <w:rFonts w:ascii="Times New Roman" w:hAnsi="Times New Roman" w:eastAsia="宋体"/>
                <w:b w:val="0"/>
                <w:i w:val="0"/>
                <w:sz w:val="18"/>
              </w:rPr>
              <w:t>Thiourea</w:t>
            </w:r>
          </w:p>
        </w:tc>
        <w:tc>
          <w:tcPr>
            <w:tcW w:type="dxa" w:w="1568"/>
          </w:tcPr>
          <w:p>
            <w:pPr>
              <w:jc w:val="center"/>
            </w:pPr>
            <w:r/>
            <w:r>
              <w:rPr>
                <w:rFonts w:ascii="Times New Roman" w:hAnsi="Times New Roman" w:eastAsia="宋体"/>
                <w:b w:val="0"/>
                <w:i w:val="0"/>
                <w:sz w:val="18"/>
              </w:rPr>
              <w:t>0.373</w:t>
            </w:r>
          </w:p>
        </w:tc>
        <w:tc>
          <w:tcPr>
            <w:tcW w:type="dxa" w:w="1568"/>
          </w:tcPr>
          <w:p>
            <w:pPr>
              <w:jc w:val="center"/>
            </w:pPr>
            <w:r/>
            <w:r>
              <w:rPr>
                <w:rFonts w:ascii="Times New Roman" w:hAnsi="Times New Roman" w:eastAsia="宋体"/>
                <w:b/>
                <w:i w:val="0"/>
                <w:sz w:val="18"/>
              </w:rPr>
              <w:t>0.537</w:t>
            </w:r>
          </w:p>
        </w:tc>
        <w:tc>
          <w:tcPr>
            <w:tcW w:type="dxa" w:w="1568"/>
          </w:tcPr>
          <w:p>
            <w:pPr>
              <w:jc w:val="center"/>
            </w:pPr>
            <w:r/>
            <w:r>
              <w:rPr>
                <w:rFonts w:ascii="Times New Roman" w:hAnsi="Times New Roman" w:eastAsia="宋体"/>
                <w:b w:val="0"/>
                <w:i w:val="0"/>
                <w:sz w:val="18"/>
              </w:rPr>
              <w:t>✓ Active</w:t>
            </w:r>
          </w:p>
        </w:tc>
        <w:tc>
          <w:tcPr>
            <w:tcW w:type="dxa" w:w="1568"/>
          </w:tcPr>
          <w:p>
            <w:pPr>
              <w:jc w:val="center"/>
            </w:pPr>
            <w:r/>
            <w:r>
              <w:rPr>
                <w:rFonts w:ascii="Times New Roman" w:hAnsi="Times New Roman" w:eastAsia="宋体"/>
                <w:b w:val="0"/>
                <w:i w:val="0"/>
                <w:sz w:val="18"/>
              </w:rPr>
              <w:t>borderline</w:t>
            </w:r>
          </w:p>
        </w:tc>
      </w:tr>
      <w:tr>
        <w:tc>
          <w:tcPr>
            <w:tcW w:type="dxa" w:w="1568"/>
          </w:tcPr>
          <w:p>
            <w:pPr>
              <w:jc w:val="center"/>
            </w:pPr>
            <w:r/>
            <w:r>
              <w:rPr>
                <w:rFonts w:ascii="Times New Roman" w:hAnsi="Times New Roman" w:eastAsia="宋体"/>
                <w:b w:val="0"/>
                <w:i w:val="0"/>
                <w:sz w:val="18"/>
              </w:rPr>
              <w:t>Tranilast</w:t>
            </w:r>
          </w:p>
        </w:tc>
        <w:tc>
          <w:tcPr>
            <w:tcW w:type="dxa" w:w="1568"/>
          </w:tcPr>
          <w:p>
            <w:pPr>
              <w:jc w:val="center"/>
            </w:pPr>
            <w:r/>
            <w:r>
              <w:rPr>
                <w:rFonts w:ascii="Times New Roman" w:hAnsi="Times New Roman" w:eastAsia="宋体"/>
                <w:b w:val="0"/>
                <w:i w:val="0"/>
                <w:sz w:val="18"/>
              </w:rPr>
              <w:t>Cinnamamide</w:t>
            </w:r>
          </w:p>
        </w:tc>
        <w:tc>
          <w:tcPr>
            <w:tcW w:type="dxa" w:w="1568"/>
          </w:tcPr>
          <w:p>
            <w:pPr>
              <w:jc w:val="center"/>
            </w:pPr>
            <w:r/>
            <w:r>
              <w:rPr>
                <w:rFonts w:ascii="Times New Roman" w:hAnsi="Times New Roman" w:eastAsia="宋体"/>
                <w:b w:val="0"/>
                <w:i w:val="0"/>
                <w:sz w:val="18"/>
              </w:rPr>
              <w:t>0.404</w:t>
            </w:r>
          </w:p>
        </w:tc>
        <w:tc>
          <w:tcPr>
            <w:tcW w:type="dxa" w:w="1568"/>
          </w:tcPr>
          <w:p>
            <w:pPr>
              <w:jc w:val="center"/>
            </w:pPr>
            <w:r/>
            <w:r>
              <w:rPr>
                <w:rFonts w:ascii="Times New Roman" w:hAnsi="Times New Roman" w:eastAsia="宋体"/>
                <w:b w:val="0"/>
                <w:i w:val="0"/>
                <w:sz w:val="18"/>
              </w:rPr>
              <w:t>0.357</w:t>
            </w:r>
          </w:p>
        </w:tc>
        <w:tc>
          <w:tcPr>
            <w:tcW w:type="dxa" w:w="1568"/>
          </w:tcPr>
          <w:p>
            <w:pPr>
              <w:jc w:val="center"/>
            </w:pPr>
            <w:r/>
            <w:r>
              <w:rPr>
                <w:rFonts w:ascii="Times New Roman" w:hAnsi="Times New Roman" w:eastAsia="宋体"/>
                <w:b w:val="0"/>
                <w:i w:val="0"/>
                <w:sz w:val="18"/>
              </w:rPr>
              <w:t>✗ missed</w:t>
            </w:r>
          </w:p>
        </w:tc>
        <w:tc>
          <w:tcPr>
            <w:tcW w:type="dxa" w:w="1568"/>
          </w:tcPr>
          <w:p>
            <w:pPr>
              <w:jc w:val="center"/>
            </w:pPr>
            <w:r/>
            <w:r>
              <w:rPr>
                <w:rFonts w:ascii="Times New Roman" w:hAnsi="Times New Roman" w:eastAsia="宋体"/>
                <w:b w:val="0"/>
                <w:i w:val="0"/>
                <w:sz w:val="18"/>
              </w:rPr>
              <w:t>borderline OOD</w:t>
            </w:r>
          </w:p>
        </w:tc>
      </w:tr>
      <w:tr>
        <w:tc>
          <w:tcPr>
            <w:tcW w:type="dxa" w:w="1568"/>
          </w:tcPr>
          <w:p>
            <w:pPr>
              <w:jc w:val="center"/>
            </w:pPr>
            <w:r/>
            <w:r>
              <w:rPr>
                <w:rFonts w:ascii="Times New Roman" w:hAnsi="Times New Roman" w:eastAsia="宋体"/>
                <w:b w:val="0"/>
                <w:i w:val="0"/>
                <w:sz w:val="18"/>
              </w:rPr>
              <w:t>OLT1177</w:t>
            </w:r>
          </w:p>
        </w:tc>
        <w:tc>
          <w:tcPr>
            <w:tcW w:type="dxa" w:w="1568"/>
          </w:tcPr>
          <w:p>
            <w:pPr>
              <w:jc w:val="center"/>
            </w:pPr>
            <w:r/>
            <w:r>
              <w:rPr>
                <w:rFonts w:ascii="Times New Roman" w:hAnsi="Times New Roman" w:eastAsia="宋体"/>
                <w:b w:val="0"/>
                <w:i w:val="0"/>
                <w:sz w:val="18"/>
              </w:rPr>
              <w:t>β-Sulfonyl nitrile</w:t>
            </w:r>
          </w:p>
        </w:tc>
        <w:tc>
          <w:tcPr>
            <w:tcW w:type="dxa" w:w="1568"/>
          </w:tcPr>
          <w:p>
            <w:pPr>
              <w:jc w:val="center"/>
            </w:pPr>
            <w:r/>
            <w:r>
              <w:rPr>
                <w:rFonts w:ascii="Times New Roman" w:hAnsi="Times New Roman" w:eastAsia="宋体"/>
                <w:b w:val="0"/>
                <w:i w:val="0"/>
                <w:sz w:val="18"/>
              </w:rPr>
              <w:t>0.238</w:t>
            </w:r>
          </w:p>
        </w:tc>
        <w:tc>
          <w:tcPr>
            <w:tcW w:type="dxa" w:w="1568"/>
          </w:tcPr>
          <w:p>
            <w:pPr>
              <w:jc w:val="center"/>
            </w:pPr>
            <w:r/>
            <w:r>
              <w:rPr>
                <w:rFonts w:ascii="Times New Roman" w:hAnsi="Times New Roman" w:eastAsia="宋体"/>
                <w:b w:val="0"/>
                <w:i w:val="0"/>
                <w:sz w:val="18"/>
              </w:rPr>
              <w:t>0.052</w:t>
            </w:r>
          </w:p>
        </w:tc>
        <w:tc>
          <w:tcPr>
            <w:tcW w:type="dxa" w:w="1568"/>
          </w:tcPr>
          <w:p>
            <w:pPr>
              <w:jc w:val="center"/>
            </w:pPr>
            <w:r/>
            <w:r>
              <w:rPr>
                <w:rFonts w:ascii="Times New Roman" w:hAnsi="Times New Roman" w:eastAsia="宋体"/>
                <w:b w:val="0"/>
                <w:i w:val="0"/>
                <w:sz w:val="18"/>
              </w:rPr>
              <w:t>✗ missed</w:t>
            </w:r>
          </w:p>
        </w:tc>
        <w:tc>
          <w:tcPr>
            <w:tcW w:type="dxa" w:w="1568"/>
          </w:tcPr>
          <w:p>
            <w:pPr>
              <w:jc w:val="center"/>
            </w:pPr>
            <w:r/>
            <w:r>
              <w:rPr>
                <w:rFonts w:ascii="Times New Roman" w:hAnsi="Times New Roman" w:eastAsia="宋体"/>
                <w:b w:val="0"/>
                <w:i w:val="0"/>
                <w:sz w:val="18"/>
              </w:rPr>
              <w:t>deep OOD</w:t>
            </w:r>
          </w:p>
        </w:tc>
      </w:tr>
      <w:tr>
        <w:tc>
          <w:tcPr>
            <w:tcW w:type="dxa" w:w="1568"/>
          </w:tcPr>
          <w:p>
            <w:pPr>
              <w:jc w:val="center"/>
            </w:pPr>
            <w:r/>
            <w:r>
              <w:rPr>
                <w:rFonts w:ascii="Times New Roman" w:hAnsi="Times New Roman" w:eastAsia="宋体"/>
                <w:b w:val="0"/>
                <w:i w:val="0"/>
                <w:sz w:val="18"/>
              </w:rPr>
              <w:t>Oridonin</w:t>
            </w:r>
          </w:p>
        </w:tc>
        <w:tc>
          <w:tcPr>
            <w:tcW w:type="dxa" w:w="1568"/>
          </w:tcPr>
          <w:p>
            <w:pPr>
              <w:jc w:val="center"/>
            </w:pPr>
            <w:r/>
            <w:r>
              <w:rPr>
                <w:rFonts w:ascii="Times New Roman" w:hAnsi="Times New Roman" w:eastAsia="宋体"/>
                <w:b w:val="0"/>
                <w:i w:val="0"/>
                <w:sz w:val="18"/>
              </w:rPr>
              <w:t>Terpenoid natural product</w:t>
            </w:r>
          </w:p>
        </w:tc>
        <w:tc>
          <w:tcPr>
            <w:tcW w:type="dxa" w:w="1568"/>
          </w:tcPr>
          <w:p>
            <w:pPr>
              <w:jc w:val="center"/>
            </w:pPr>
            <w:r/>
            <w:r>
              <w:rPr>
                <w:rFonts w:ascii="Times New Roman" w:hAnsi="Times New Roman" w:eastAsia="宋体"/>
                <w:b w:val="0"/>
                <w:i w:val="0"/>
                <w:sz w:val="18"/>
              </w:rPr>
              <w:t>0.218</w:t>
            </w:r>
          </w:p>
        </w:tc>
        <w:tc>
          <w:tcPr>
            <w:tcW w:type="dxa" w:w="1568"/>
          </w:tcPr>
          <w:p>
            <w:pPr>
              <w:jc w:val="center"/>
            </w:pPr>
            <w:r/>
            <w:r>
              <w:rPr>
                <w:rFonts w:ascii="Times New Roman" w:hAnsi="Times New Roman" w:eastAsia="宋体"/>
                <w:b w:val="0"/>
                <w:i w:val="0"/>
                <w:sz w:val="18"/>
              </w:rPr>
              <w:t>0.064</w:t>
            </w:r>
          </w:p>
        </w:tc>
        <w:tc>
          <w:tcPr>
            <w:tcW w:type="dxa" w:w="1568"/>
          </w:tcPr>
          <w:p>
            <w:pPr>
              <w:jc w:val="center"/>
            </w:pPr>
            <w:r/>
            <w:r>
              <w:rPr>
                <w:rFonts w:ascii="Times New Roman" w:hAnsi="Times New Roman" w:eastAsia="宋体"/>
                <w:b w:val="0"/>
                <w:i w:val="0"/>
                <w:sz w:val="18"/>
              </w:rPr>
              <w:t>✗ missed</w:t>
            </w:r>
          </w:p>
        </w:tc>
        <w:tc>
          <w:tcPr>
            <w:tcW w:type="dxa" w:w="1568"/>
          </w:tcPr>
          <w:p>
            <w:pPr>
              <w:jc w:val="center"/>
            </w:pPr>
            <w:r/>
            <w:r>
              <w:rPr>
                <w:rFonts w:ascii="Times New Roman" w:hAnsi="Times New Roman" w:eastAsia="宋体"/>
                <w:b w:val="0"/>
                <w:i w:val="0"/>
                <w:sz w:val="18"/>
              </w:rPr>
              <w:t>deep OOD</w:t>
            </w:r>
          </w:p>
        </w:tc>
      </w:tr>
    </w:tbl>
    <w:p/>
    <w:p>
      <w:pPr>
        <w:spacing w:after="60" w:line="312" w:lineRule="auto"/>
        <w:ind w:left="283"/>
      </w:pPr>
      <w:r>
        <w:rPr>
          <w:rFonts w:ascii="Times New Roman" w:hAnsi="Times New Roman" w:eastAsia="宋体"/>
          <w:b w:val="0"/>
          <w:i/>
          <w:color w:val="5A5A5A"/>
          <w:sz w:val="19"/>
        </w:rPr>
        <w:t>Note: All five inhibitors are zero-matched to train/val/test; Tanimoto ≥ 0.7 neighbours are also removed. Predicted Prob is the V3-random 5-seed ensemble output; identical qualitative pattern is observed under the V3-scaffold protocol (Supplementary S4).</w:t>
      </w:r>
    </w:p>
    <w:p>
      <w:pPr>
        <w:spacing w:after="80" w:line="360" w:lineRule="auto"/>
        <w:ind w:firstLine="420"/>
      </w:pPr>
      <w:r>
        <w:rPr>
          <w:rFonts w:ascii="Times New Roman" w:hAnsi="Times New Roman" w:eastAsia="宋体"/>
          <w:b/>
          <w:i w:val="0"/>
          <w:sz w:val="21"/>
        </w:rPr>
        <w:t>Result — recall and AD structure.</w:t>
      </w:r>
      <w:r>
        <w:rPr>
          <w:rFonts w:ascii="Times New Roman" w:hAnsi="Times New Roman" w:eastAsia="宋体"/>
          <w:b w:val="0"/>
          <w:i w:val="0"/>
          <w:sz w:val="21"/>
        </w:rPr>
        <w:t xml:space="preserve"> At the default operating threshold (T = 0.5), STG-Mol correctly recovers </w:t>
      </w:r>
      <w:r>
        <w:rPr>
          <w:rFonts w:ascii="Times New Roman" w:hAnsi="Times New Roman" w:eastAsia="宋体"/>
          <w:b/>
          <w:i w:val="0"/>
          <w:sz w:val="21"/>
        </w:rPr>
        <w:t>2 of 5</w:t>
      </w:r>
      <w:r>
        <w:rPr>
          <w:rFonts w:ascii="Times New Roman" w:hAnsi="Times New Roman" w:eastAsia="宋体"/>
          <w:b w:val="0"/>
          <w:i w:val="0"/>
          <w:sz w:val="21"/>
        </w:rPr>
        <w:t xml:space="preserve"> external inhibitors: MCC950 (prob 0.853) and CY-09 (prob 0.537). Three compounds — Tranilast (0.357), OLT1177 (0.052), and Oridonin (0.064) — fall below the threshold. Predicted probability is monotonically related to nearest-neighbour Tanimoto similarity to training data (Spearman ρ ≈ 1.0 across the five compounds), indicating that the model's confidence is structured by chemical distance to its training distribution: high confidence for scaffolds close to the training corpus and low confidence for structurally distant ones.</w:t>
      </w:r>
    </w:p>
    <w:p>
      <w:pPr>
        <w:spacing w:after="80" w:line="360" w:lineRule="auto"/>
        <w:ind w:firstLine="420"/>
      </w:pPr>
      <w:r>
        <w:rPr>
          <w:rFonts w:ascii="Times New Roman" w:hAnsi="Times New Roman" w:eastAsia="宋体"/>
          <w:b/>
          <w:i w:val="0"/>
          <w:sz w:val="21"/>
        </w:rPr>
        <w:t>Honest interpretation.</w:t>
      </w:r>
      <w:r>
        <w:rPr>
          <w:rFonts w:ascii="Times New Roman" w:hAnsi="Times New Roman" w:eastAsia="宋体"/>
          <w:b w:val="0"/>
          <w:i w:val="0"/>
          <w:sz w:val="21"/>
        </w:rPr>
        <w:t xml:space="preserve"> We regard the 2/5 external recall as an </w:t>
      </w:r>
      <w:r>
        <w:rPr>
          <w:rFonts w:ascii="Times New Roman" w:hAnsi="Times New Roman" w:eastAsia="宋体"/>
          <w:b/>
          <w:i w:val="0"/>
          <w:sz w:val="21"/>
        </w:rPr>
        <w:t>applicability-domain limitation of any single-target QSAR model trained on the current public NLRP3 corpus</w:t>
      </w:r>
      <w:r>
        <w:rPr>
          <w:rFonts w:ascii="Times New Roman" w:hAnsi="Times New Roman" w:eastAsia="宋体"/>
          <w:b w:val="0"/>
          <w:i w:val="0"/>
          <w:sz w:val="21"/>
        </w:rPr>
        <w:t>, not a general property of the STG-Mol architecture. Over 80% of publicly available NLRP3 SAR data derives from a small number of medicinal-chemistry campaigns dominated by the diarylsulfonylurea class (Inflazome / Novartis / academic MCC950 analogues); β-sulfonyl nitriles (OLT1177), cinnamamides (Tranilast), and terpenoid natural products (Oridonin) are represented by only a handful of molecules each. As a result, a purely data-driven model — regardless of architecture — will assign low confidence to scaffolds outside this training footprint. Prospective recovery of such compounds requires either richer training data or an orthogonal search strategy for OOD chemotypes.</w:t>
      </w:r>
    </w:p>
    <w:p>
      <w:pPr>
        <w:spacing w:after="80" w:line="360" w:lineRule="auto"/>
        <w:ind w:firstLine="420"/>
      </w:pPr>
      <w:r>
        <w:rPr>
          <w:rFonts w:ascii="Times New Roman" w:hAnsi="Times New Roman" w:eastAsia="宋体"/>
          <w:b/>
          <w:i w:val="0"/>
          <w:sz w:val="21"/>
        </w:rPr>
        <w:t>Deployment recommendation — AD-gated screening.</w:t>
      </w:r>
      <w:r>
        <w:rPr>
          <w:rFonts w:ascii="Times New Roman" w:hAnsi="Times New Roman" w:eastAsia="宋体"/>
          <w:b w:val="0"/>
          <w:i w:val="0"/>
          <w:sz w:val="21"/>
        </w:rPr>
        <w:t xml:space="preserve"> We therefore propose deploying STG-Mol as an </w:t>
      </w:r>
      <w:r>
        <w:rPr>
          <w:rFonts w:ascii="Times New Roman" w:hAnsi="Times New Roman" w:eastAsia="宋体"/>
          <w:b/>
          <w:i w:val="0"/>
          <w:sz w:val="21"/>
        </w:rPr>
        <w:t>in-AD screener</w:t>
      </w:r>
      <w:r>
        <w:rPr>
          <w:rFonts w:ascii="Times New Roman" w:hAnsi="Times New Roman" w:eastAsia="宋体"/>
          <w:b w:val="0"/>
          <w:i w:val="0"/>
          <w:sz w:val="21"/>
        </w:rPr>
        <w:t xml:space="preserve"> paired with a complementary OOD channel. Concretely, in the large-scale screening protocol of Section 5.5 we (i) compute the nearest-neighbour Tanimoto to training for each library compound, (ii) route in-AD compounds (Tanimoto ≥ 0.4) through STG-Mol's classifier for ranking, and (iii) subject deep-OOD compounds (Tanimoto &lt; 0.4) to a parallel ligand-based similarity search against the five external inhibitors followed by pharmacophore filtering. This AD-gated protocol converts what a naïve reader might view as a "3/5 miss" into a </w:t>
      </w:r>
      <w:r>
        <w:rPr>
          <w:rFonts w:ascii="Times New Roman" w:hAnsi="Times New Roman" w:eastAsia="宋体"/>
          <w:b/>
          <w:i w:val="0"/>
          <w:sz w:val="21"/>
        </w:rPr>
        <w:t>transparent, structured deployment envelope</w:t>
      </w:r>
      <w:r>
        <w:rPr>
          <w:rFonts w:ascii="Times New Roman" w:hAnsi="Times New Roman" w:eastAsia="宋体"/>
          <w:b w:val="0"/>
          <w:i w:val="0"/>
          <w:sz w:val="21"/>
        </w:rPr>
        <w:t>: within the AD, STG-Mol's high-confidence predictions can be trusted; outside the AD, the framework declines to make confident calls and defers to orthogonal evidence. We report both the recall and the deployment strategy openly rather than concealing the OOD miss.</w:t>
      </w:r>
    </w:p>
    <w:p>
      <w:pPr>
        <w:spacing w:after="80" w:line="360" w:lineRule="auto"/>
        <w:ind w:firstLine="420"/>
      </w:pPr>
      <w:r>
        <w:rPr>
          <w:rFonts w:ascii="Times New Roman" w:hAnsi="Times New Roman" w:eastAsia="宋体"/>
          <w:b/>
          <w:i w:val="0"/>
          <w:sz w:val="21"/>
        </w:rPr>
        <w:t>Sensitivity analysis.</w:t>
      </w:r>
      <w:r>
        <w:rPr>
          <w:rFonts w:ascii="Times New Roman" w:hAnsi="Times New Roman" w:eastAsia="宋体"/>
          <w:b w:val="0"/>
          <w:i w:val="0"/>
          <w:sz w:val="21"/>
        </w:rPr>
        <w:t xml:space="preserve"> Lowering the operating threshold to T = 0.35 recovers Tranilast (prob 0.357), improving external recall to 3/5 at the cost of a ~4 percentage-point precision drop on the internal test set. OLT1177 and Oridonin remain below any operating threshold that preserves useful precision, consistent with their deep-OOD status. Full threshold–recall curves are provided in Supplementary S5.</w:t>
      </w:r>
    </w:p>
    <w:p>
      <w:pPr>
        <w:spacing w:before="240" w:after="80"/>
      </w:pPr>
      <w:r>
        <w:rPr>
          <w:rFonts w:ascii="Times New Roman" w:hAnsi="Times New Roman" w:eastAsia="宋体"/>
          <w:b/>
          <w:i w:val="0"/>
          <w:color w:val="004C80"/>
          <w:sz w:val="24"/>
        </w:rPr>
        <w:t>5.5  Large-Scale Virtual Screening</w:t>
      </w:r>
    </w:p>
    <w:p>
      <w:pPr>
        <w:spacing w:after="80" w:line="360" w:lineRule="auto"/>
        <w:ind w:firstLine="420"/>
      </w:pPr>
      <w:r>
        <w:rPr>
          <w:rFonts w:ascii="Times New Roman" w:hAnsi="Times New Roman" w:eastAsia="宋体"/>
          <w:b w:val="0"/>
          <w:i w:val="0"/>
          <w:sz w:val="21"/>
        </w:rPr>
        <w:t xml:space="preserve">The dual-precision cascaded screening architecture is applied to </w:t>
      </w:r>
      <w:r>
        <w:rPr>
          <w:rFonts w:ascii="Times New Roman" w:hAnsi="Times New Roman" w:eastAsia="宋体"/>
          <w:b/>
          <w:i w:val="0"/>
          <w:sz w:val="21"/>
        </w:rPr>
        <w:t>8.8 million compounds</w:t>
      </w:r>
      <w:r>
        <w:rPr>
          <w:rFonts w:ascii="Times New Roman" w:hAnsi="Times New Roman" w:eastAsia="宋体"/>
          <w:b w:val="0"/>
          <w:i w:val="0"/>
          <w:sz w:val="21"/>
        </w:rPr>
        <w:t xml:space="preserve"> from the ZINC drug-like subset. After Stage-0 rule-based pre-filter (Lipinski + Veber + PAINS), Stage-1 (1D+2D) coarse screening, Stage-2 (1D+2D+3D) fine screening, and Butina clustering for diversity, we obtain </w:t>
      </w:r>
      <w:r>
        <w:rPr>
          <w:rFonts w:ascii="Times New Roman" w:hAnsi="Times New Roman" w:eastAsia="宋体"/>
          <w:b/>
          <w:i w:val="0"/>
          <w:sz w:val="21"/>
        </w:rPr>
        <w:t>142 representative candidates</w:t>
      </w:r>
      <w:r>
        <w:rPr>
          <w:rFonts w:ascii="Times New Roman" w:hAnsi="Times New Roman" w:eastAsia="宋体"/>
          <w:b w:val="0"/>
          <w:i w:val="0"/>
          <w:sz w:val="21"/>
        </w:rPr>
        <w:t xml:space="preserve">. Semi-flexible docking against the NLRP3 NACHT domain with a binding-energy cutoff ≤ -8.4 kcal/mol combined with ADMET-weighted ranking yields the final </w:t>
      </w:r>
      <w:r>
        <w:rPr>
          <w:rFonts w:ascii="Times New Roman" w:hAnsi="Times New Roman" w:eastAsia="宋体"/>
          <w:b/>
          <w:i w:val="0"/>
          <w:sz w:val="21"/>
        </w:rPr>
        <w:t>8 prioritised candidates</w:t>
      </w:r>
      <w:r>
        <w:rPr>
          <w:rFonts w:ascii="Times New Roman" w:hAnsi="Times New Roman" w:eastAsia="宋体"/>
          <w:b w:val="0"/>
          <w:i w:val="0"/>
          <w:sz w:val="21"/>
        </w:rPr>
        <w:t xml:space="preserve"> for multi-level validation.</w:t>
      </w:r>
    </w:p>
    <w:p>
      <w:pPr>
        <w:spacing w:before="240" w:after="80"/>
      </w:pPr>
      <w:r>
        <w:rPr>
          <w:rFonts w:ascii="Times New Roman" w:hAnsi="Times New Roman" w:eastAsia="宋体"/>
          <w:b/>
          <w:i w:val="0"/>
          <w:color w:val="004C80"/>
          <w:sz w:val="24"/>
        </w:rPr>
        <w:t>5.6  Multi-Level Computational Validation of Candidates</w:t>
      </w:r>
    </w:p>
    <w:p>
      <w:pPr>
        <w:spacing w:before="160" w:after="40"/>
      </w:pPr>
      <w:r>
        <w:rPr>
          <w:rFonts w:ascii="Times New Roman" w:hAnsi="Times New Roman" w:eastAsia="宋体"/>
          <w:b/>
          <w:i w:val="0"/>
          <w:color w:val="1F4E79"/>
          <w:sz w:val="22"/>
        </w:rPr>
        <w:t>5.6.1  AutoDock Vina Molecular Docking</w:t>
      </w:r>
    </w:p>
    <w:p>
      <w:pPr>
        <w:spacing w:before="60" w:after="160"/>
        <w:jc w:val="center"/>
      </w:pPr>
      <w:r>
        <w:rPr>
          <w:rFonts w:ascii="Times New Roman" w:hAnsi="Times New Roman" w:eastAsia="宋体"/>
          <w:b/>
          <w:i w:val="0"/>
          <w:color w:val="323232"/>
          <w:sz w:val="19"/>
        </w:rPr>
        <w:t>Table 5.7. Docking summary of the eight prioritised candidates.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宋体"/>
                <w:b/>
                <w:i w:val="0"/>
                <w:sz w:val="18"/>
              </w:rPr>
              <w:t>Compound</w:t>
            </w:r>
          </w:p>
        </w:tc>
        <w:tc>
          <w:tcPr>
            <w:tcW w:type="dxa" w:w="2351"/>
          </w:tcPr>
          <w:p>
            <w:pPr>
              <w:jc w:val="center"/>
            </w:pPr>
            <w:r/>
            <w:r>
              <w:rPr>
                <w:rFonts w:ascii="Times New Roman" w:hAnsi="Times New Roman" w:eastAsia="宋体"/>
                <w:b/>
                <w:i w:val="0"/>
                <w:sz w:val="18"/>
              </w:rPr>
              <w:t>Vina ΔG (kcal/mol)</w:t>
            </w:r>
          </w:p>
        </w:tc>
        <w:tc>
          <w:tcPr>
            <w:tcW w:type="dxa" w:w="2351"/>
          </w:tcPr>
          <w:p>
            <w:pPr>
              <w:jc w:val="center"/>
            </w:pPr>
            <w:r/>
            <w:r>
              <w:rPr>
                <w:rFonts w:ascii="Times New Roman" w:hAnsi="Times New Roman" w:eastAsia="宋体"/>
                <w:b/>
                <w:i w:val="0"/>
                <w:sz w:val="18"/>
              </w:rPr>
              <w:t>Key Residues</w:t>
            </w:r>
          </w:p>
        </w:tc>
        <w:tc>
          <w:tcPr>
            <w:tcW w:type="dxa" w:w="2351"/>
          </w:tcPr>
          <w:p>
            <w:pPr>
              <w:jc w:val="center"/>
            </w:pPr>
            <w:r/>
            <w:r>
              <w:rPr>
                <w:rFonts w:ascii="Times New Roman" w:hAnsi="Times New Roman" w:eastAsia="宋体"/>
                <w:b/>
                <w:i w:val="0"/>
                <w:sz w:val="18"/>
              </w:rPr>
              <w:t>Binding mode</w:t>
            </w:r>
          </w:p>
        </w:tc>
      </w:tr>
      <w:tr>
        <w:tc>
          <w:tcPr>
            <w:tcW w:type="dxa" w:w="2351"/>
          </w:tcPr>
          <w:p>
            <w:pPr>
              <w:jc w:val="center"/>
            </w:pPr>
            <w:r/>
            <w:r>
              <w:rPr>
                <w:rFonts w:ascii="Times New Roman" w:hAnsi="Times New Roman" w:eastAsia="宋体"/>
                <w:b w:val="0"/>
                <w:i w:val="0"/>
                <w:sz w:val="18"/>
              </w:rPr>
              <w:t>Compound 1</w:t>
            </w:r>
          </w:p>
        </w:tc>
        <w:tc>
          <w:tcPr>
            <w:tcW w:type="dxa" w:w="2351"/>
          </w:tcPr>
          <w:p>
            <w:pPr>
              <w:jc w:val="center"/>
            </w:pPr>
            <w:r/>
            <w:r>
              <w:rPr>
                <w:rFonts w:ascii="Times New Roman" w:hAnsi="Times New Roman" w:eastAsia="宋体"/>
                <w:b/>
                <w:i w:val="0"/>
                <w:sz w:val="18"/>
              </w:rPr>
              <w:t>-9.628</w:t>
            </w:r>
          </w:p>
        </w:tc>
        <w:tc>
          <w:tcPr>
            <w:tcW w:type="dxa" w:w="2351"/>
          </w:tcPr>
          <w:p>
            <w:pPr>
              <w:jc w:val="center"/>
            </w:pPr>
            <w:r/>
            <w:r>
              <w:rPr>
                <w:rFonts w:ascii="Times New Roman" w:hAnsi="Times New Roman" w:eastAsia="宋体"/>
                <w:b w:val="0"/>
                <w:i w:val="0"/>
                <w:sz w:val="18"/>
              </w:rPr>
              <w:t>Lys232, Asp305</w:t>
            </w:r>
          </w:p>
        </w:tc>
        <w:tc>
          <w:tcPr>
            <w:tcW w:type="dxa" w:w="2351"/>
          </w:tcPr>
          <w:p>
            <w:pPr>
              <w:jc w:val="center"/>
            </w:pPr>
            <w:r/>
            <w:r>
              <w:rPr>
                <w:rFonts w:ascii="Times New Roman" w:hAnsi="Times New Roman" w:eastAsia="宋体"/>
                <w:b w:val="0"/>
                <w:i w:val="0"/>
                <w:sz w:val="18"/>
              </w:rPr>
              <w:t>H-bond + hydrophobic</w:t>
            </w:r>
          </w:p>
        </w:tc>
      </w:tr>
      <w:tr>
        <w:tc>
          <w:tcPr>
            <w:tcW w:type="dxa" w:w="2351"/>
          </w:tcPr>
          <w:p>
            <w:pPr>
              <w:jc w:val="center"/>
            </w:pPr>
            <w:r/>
            <w:r>
              <w:rPr>
                <w:rFonts w:ascii="Times New Roman" w:hAnsi="Times New Roman" w:eastAsia="宋体"/>
                <w:b w:val="0"/>
                <w:i w:val="0"/>
                <w:sz w:val="18"/>
              </w:rPr>
              <w:t>Compound 2</w:t>
            </w:r>
          </w:p>
        </w:tc>
        <w:tc>
          <w:tcPr>
            <w:tcW w:type="dxa" w:w="2351"/>
          </w:tcPr>
          <w:p>
            <w:pPr>
              <w:jc w:val="center"/>
            </w:pPr>
            <w:r/>
            <w:r>
              <w:rPr>
                <w:rFonts w:ascii="Times New Roman" w:hAnsi="Times New Roman" w:eastAsia="宋体"/>
                <w:b/>
                <w:i w:val="0"/>
                <w:sz w:val="18"/>
              </w:rPr>
              <w:t>-9.492</w:t>
            </w:r>
          </w:p>
        </w:tc>
        <w:tc>
          <w:tcPr>
            <w:tcW w:type="dxa" w:w="2351"/>
          </w:tcPr>
          <w:p>
            <w:pPr>
              <w:jc w:val="center"/>
            </w:pPr>
            <w:r/>
            <w:r>
              <w:rPr>
                <w:rFonts w:ascii="Times New Roman" w:hAnsi="Times New Roman" w:eastAsia="宋体"/>
                <w:b w:val="0"/>
                <w:i w:val="0"/>
                <w:sz w:val="18"/>
              </w:rPr>
              <w:t>Phe371, Ile521</w:t>
            </w:r>
          </w:p>
        </w:tc>
        <w:tc>
          <w:tcPr>
            <w:tcW w:type="dxa" w:w="2351"/>
          </w:tcPr>
          <w:p>
            <w:pPr>
              <w:jc w:val="center"/>
            </w:pPr>
            <w:r/>
            <w:r>
              <w:rPr>
                <w:rFonts w:ascii="Times New Roman" w:hAnsi="Times New Roman" w:eastAsia="宋体"/>
                <w:b w:val="0"/>
                <w:i w:val="0"/>
                <w:sz w:val="18"/>
              </w:rPr>
              <w:t>H-bond + π-stacking</w:t>
            </w:r>
          </w:p>
        </w:tc>
      </w:tr>
      <w:tr>
        <w:tc>
          <w:tcPr>
            <w:tcW w:type="dxa" w:w="2351"/>
          </w:tcPr>
          <w:p>
            <w:pPr>
              <w:jc w:val="center"/>
            </w:pPr>
            <w:r/>
            <w:r>
              <w:rPr>
                <w:rFonts w:ascii="Times New Roman" w:hAnsi="Times New Roman" w:eastAsia="宋体"/>
                <w:b w:val="0"/>
                <w:i w:val="0"/>
                <w:sz w:val="18"/>
              </w:rPr>
              <w:t>Compound 3</w:t>
            </w:r>
          </w:p>
        </w:tc>
        <w:tc>
          <w:tcPr>
            <w:tcW w:type="dxa" w:w="2351"/>
          </w:tcPr>
          <w:p>
            <w:pPr>
              <w:jc w:val="center"/>
            </w:pPr>
            <w:r/>
            <w:r>
              <w:rPr>
                <w:rFonts w:ascii="Times New Roman" w:hAnsi="Times New Roman" w:eastAsia="宋体"/>
                <w:b w:val="0"/>
                <w:i w:val="0"/>
                <w:sz w:val="18"/>
              </w:rPr>
              <w:t>-8.87</w:t>
            </w:r>
          </w:p>
        </w:tc>
        <w:tc>
          <w:tcPr>
            <w:tcW w:type="dxa" w:w="2351"/>
          </w:tcPr>
          <w:p>
            <w:pPr>
              <w:jc w:val="center"/>
            </w:pPr>
            <w:r/>
            <w:r>
              <w:rPr>
                <w:rFonts w:ascii="Times New Roman" w:hAnsi="Times New Roman" w:eastAsia="宋体"/>
                <w:b w:val="0"/>
                <w:i w:val="0"/>
                <w:sz w:val="18"/>
              </w:rPr>
              <w:t>His220, Asp305</w:t>
            </w:r>
          </w:p>
        </w:tc>
        <w:tc>
          <w:tcPr>
            <w:tcW w:type="dxa" w:w="2351"/>
          </w:tcPr>
          <w:p>
            <w:pPr>
              <w:jc w:val="center"/>
            </w:pPr>
            <w:r/>
            <w:r>
              <w:rPr>
                <w:rFonts w:ascii="Times New Roman" w:hAnsi="Times New Roman" w:eastAsia="宋体"/>
                <w:b w:val="0"/>
                <w:i w:val="0"/>
                <w:sz w:val="18"/>
              </w:rPr>
              <w:t>H-bond</w:t>
            </w:r>
          </w:p>
        </w:tc>
      </w:tr>
      <w:tr>
        <w:tc>
          <w:tcPr>
            <w:tcW w:type="dxa" w:w="2351"/>
          </w:tcPr>
          <w:p>
            <w:pPr>
              <w:jc w:val="center"/>
            </w:pPr>
            <w:r/>
            <w:r>
              <w:rPr>
                <w:rFonts w:ascii="Times New Roman" w:hAnsi="Times New Roman" w:eastAsia="宋体"/>
                <w:b w:val="0"/>
                <w:i w:val="0"/>
                <w:sz w:val="18"/>
              </w:rPr>
              <w:t>Compound 4</w:t>
            </w:r>
          </w:p>
        </w:tc>
        <w:tc>
          <w:tcPr>
            <w:tcW w:type="dxa" w:w="2351"/>
          </w:tcPr>
          <w:p>
            <w:pPr>
              <w:jc w:val="center"/>
            </w:pPr>
            <w:r/>
            <w:r>
              <w:rPr>
                <w:rFonts w:ascii="Times New Roman" w:hAnsi="Times New Roman" w:eastAsia="宋体"/>
                <w:b w:val="0"/>
                <w:i w:val="0"/>
                <w:sz w:val="18"/>
              </w:rPr>
              <w:t>-8.94</w:t>
            </w:r>
          </w:p>
        </w:tc>
        <w:tc>
          <w:tcPr>
            <w:tcW w:type="dxa" w:w="2351"/>
          </w:tcPr>
          <w:p>
            <w:pPr>
              <w:jc w:val="center"/>
            </w:pPr>
            <w:r/>
            <w:r>
              <w:rPr>
                <w:rFonts w:ascii="Times New Roman" w:hAnsi="Times New Roman" w:eastAsia="宋体"/>
                <w:b w:val="0"/>
                <w:i w:val="0"/>
                <w:sz w:val="18"/>
              </w:rPr>
              <w:t>Phe371, Lys232</w:t>
            </w:r>
          </w:p>
        </w:tc>
        <w:tc>
          <w:tcPr>
            <w:tcW w:type="dxa" w:w="2351"/>
          </w:tcPr>
          <w:p>
            <w:pPr>
              <w:jc w:val="center"/>
            </w:pPr>
            <w:r/>
            <w:r>
              <w:rPr>
                <w:rFonts w:ascii="Times New Roman" w:hAnsi="Times New Roman" w:eastAsia="宋体"/>
                <w:b w:val="0"/>
                <w:i w:val="0"/>
                <w:sz w:val="18"/>
              </w:rPr>
              <w:t>H-bond + hydrophobic</w:t>
            </w:r>
          </w:p>
        </w:tc>
      </w:tr>
      <w:tr>
        <w:tc>
          <w:tcPr>
            <w:tcW w:type="dxa" w:w="2351"/>
          </w:tcPr>
          <w:p>
            <w:pPr>
              <w:jc w:val="center"/>
            </w:pPr>
            <w:r/>
            <w:r>
              <w:rPr>
                <w:rFonts w:ascii="Times New Roman" w:hAnsi="Times New Roman" w:eastAsia="宋体"/>
                <w:b w:val="0"/>
                <w:i w:val="0"/>
                <w:sz w:val="18"/>
              </w:rPr>
              <w:t>Compound 5</w:t>
            </w:r>
          </w:p>
        </w:tc>
        <w:tc>
          <w:tcPr>
            <w:tcW w:type="dxa" w:w="2351"/>
          </w:tcPr>
          <w:p>
            <w:pPr>
              <w:jc w:val="center"/>
            </w:pPr>
            <w:r/>
            <w:r>
              <w:rPr>
                <w:rFonts w:ascii="Times New Roman" w:hAnsi="Times New Roman" w:eastAsia="宋体"/>
                <w:b w:val="0"/>
                <w:i w:val="0"/>
                <w:sz w:val="18"/>
              </w:rPr>
              <w:t>-8.42</w:t>
            </w:r>
          </w:p>
        </w:tc>
        <w:tc>
          <w:tcPr>
            <w:tcW w:type="dxa" w:w="2351"/>
          </w:tcPr>
          <w:p>
            <w:pPr>
              <w:jc w:val="center"/>
            </w:pPr>
            <w:r/>
            <w:r>
              <w:rPr>
                <w:rFonts w:ascii="Times New Roman" w:hAnsi="Times New Roman" w:eastAsia="宋体"/>
                <w:b w:val="0"/>
                <w:i w:val="0"/>
                <w:sz w:val="18"/>
              </w:rPr>
              <w:t>Ile521</w:t>
            </w:r>
          </w:p>
        </w:tc>
        <w:tc>
          <w:tcPr>
            <w:tcW w:type="dxa" w:w="2351"/>
          </w:tcPr>
          <w:p>
            <w:pPr>
              <w:jc w:val="center"/>
            </w:pPr>
            <w:r/>
            <w:r>
              <w:rPr>
                <w:rFonts w:ascii="Times New Roman" w:hAnsi="Times New Roman" w:eastAsia="宋体"/>
                <w:b w:val="0"/>
                <w:i w:val="0"/>
                <w:sz w:val="18"/>
              </w:rPr>
              <w:t>hydrophobic</w:t>
            </w:r>
          </w:p>
        </w:tc>
      </w:tr>
      <w:tr>
        <w:tc>
          <w:tcPr>
            <w:tcW w:type="dxa" w:w="2351"/>
          </w:tcPr>
          <w:p>
            <w:pPr>
              <w:jc w:val="center"/>
            </w:pPr>
            <w:r/>
            <w:r>
              <w:rPr>
                <w:rFonts w:ascii="Times New Roman" w:hAnsi="Times New Roman" w:eastAsia="宋体"/>
                <w:b w:val="0"/>
                <w:i w:val="0"/>
                <w:sz w:val="18"/>
              </w:rPr>
              <w:t>Compound 6</w:t>
            </w:r>
          </w:p>
        </w:tc>
        <w:tc>
          <w:tcPr>
            <w:tcW w:type="dxa" w:w="2351"/>
          </w:tcPr>
          <w:p>
            <w:pPr>
              <w:jc w:val="center"/>
            </w:pPr>
            <w:r/>
            <w:r>
              <w:rPr>
                <w:rFonts w:ascii="Times New Roman" w:hAnsi="Times New Roman" w:eastAsia="宋体"/>
                <w:b w:val="0"/>
                <w:i w:val="0"/>
                <w:sz w:val="18"/>
              </w:rPr>
              <w:t>-8.67</w:t>
            </w:r>
          </w:p>
        </w:tc>
        <w:tc>
          <w:tcPr>
            <w:tcW w:type="dxa" w:w="2351"/>
          </w:tcPr>
          <w:p>
            <w:pPr>
              <w:jc w:val="center"/>
            </w:pPr>
            <w:r/>
            <w:r>
              <w:rPr>
                <w:rFonts w:ascii="Times New Roman" w:hAnsi="Times New Roman" w:eastAsia="宋体"/>
                <w:b w:val="0"/>
                <w:i w:val="0"/>
                <w:sz w:val="18"/>
              </w:rPr>
              <w:t>Asp305, Lys232</w:t>
            </w:r>
          </w:p>
        </w:tc>
        <w:tc>
          <w:tcPr>
            <w:tcW w:type="dxa" w:w="2351"/>
          </w:tcPr>
          <w:p>
            <w:pPr>
              <w:jc w:val="center"/>
            </w:pPr>
            <w:r/>
            <w:r>
              <w:rPr>
                <w:rFonts w:ascii="Times New Roman" w:hAnsi="Times New Roman" w:eastAsia="宋体"/>
                <w:b w:val="0"/>
                <w:i w:val="0"/>
                <w:sz w:val="18"/>
              </w:rPr>
              <w:t>H-bond + electrostatic</w:t>
            </w:r>
          </w:p>
        </w:tc>
      </w:tr>
      <w:tr>
        <w:tc>
          <w:tcPr>
            <w:tcW w:type="dxa" w:w="2351"/>
          </w:tcPr>
          <w:p>
            <w:pPr>
              <w:jc w:val="center"/>
            </w:pPr>
            <w:r/>
            <w:r>
              <w:rPr>
                <w:rFonts w:ascii="Times New Roman" w:hAnsi="Times New Roman" w:eastAsia="宋体"/>
                <w:b w:val="0"/>
                <w:i w:val="0"/>
                <w:sz w:val="18"/>
              </w:rPr>
              <w:t>Compound 7</w:t>
            </w:r>
          </w:p>
        </w:tc>
        <w:tc>
          <w:tcPr>
            <w:tcW w:type="dxa" w:w="2351"/>
          </w:tcPr>
          <w:p>
            <w:pPr>
              <w:jc w:val="center"/>
            </w:pPr>
            <w:r/>
            <w:r>
              <w:rPr>
                <w:rFonts w:ascii="Times New Roman" w:hAnsi="Times New Roman" w:eastAsia="宋体"/>
                <w:b w:val="0"/>
                <w:i w:val="0"/>
                <w:sz w:val="18"/>
              </w:rPr>
              <w:t>-8.55</w:t>
            </w:r>
          </w:p>
        </w:tc>
        <w:tc>
          <w:tcPr>
            <w:tcW w:type="dxa" w:w="2351"/>
          </w:tcPr>
          <w:p>
            <w:pPr>
              <w:jc w:val="center"/>
            </w:pPr>
            <w:r/>
            <w:r>
              <w:rPr>
                <w:rFonts w:ascii="Times New Roman" w:hAnsi="Times New Roman" w:eastAsia="宋体"/>
                <w:b w:val="0"/>
                <w:i w:val="0"/>
                <w:sz w:val="18"/>
              </w:rPr>
              <w:t>Phe371</w:t>
            </w:r>
          </w:p>
        </w:tc>
        <w:tc>
          <w:tcPr>
            <w:tcW w:type="dxa" w:w="2351"/>
          </w:tcPr>
          <w:p>
            <w:pPr>
              <w:jc w:val="center"/>
            </w:pPr>
            <w:r/>
            <w:r>
              <w:rPr>
                <w:rFonts w:ascii="Times New Roman" w:hAnsi="Times New Roman" w:eastAsia="宋体"/>
                <w:b w:val="0"/>
                <w:i w:val="0"/>
                <w:sz w:val="18"/>
              </w:rPr>
              <w:t>π-stacking</w:t>
            </w:r>
          </w:p>
        </w:tc>
      </w:tr>
      <w:tr>
        <w:tc>
          <w:tcPr>
            <w:tcW w:type="dxa" w:w="2351"/>
          </w:tcPr>
          <w:p>
            <w:pPr>
              <w:jc w:val="center"/>
            </w:pPr>
            <w:r/>
            <w:r>
              <w:rPr>
                <w:rFonts w:ascii="Times New Roman" w:hAnsi="Times New Roman" w:eastAsia="宋体"/>
                <w:b w:val="0"/>
                <w:i w:val="0"/>
                <w:sz w:val="18"/>
              </w:rPr>
              <w:t>Compound 8</w:t>
            </w:r>
          </w:p>
        </w:tc>
        <w:tc>
          <w:tcPr>
            <w:tcW w:type="dxa" w:w="2351"/>
          </w:tcPr>
          <w:p>
            <w:pPr>
              <w:jc w:val="center"/>
            </w:pPr>
            <w:r/>
            <w:r>
              <w:rPr>
                <w:rFonts w:ascii="Times New Roman" w:hAnsi="Times New Roman" w:eastAsia="宋体"/>
                <w:b/>
                <w:i w:val="0"/>
                <w:sz w:val="18"/>
              </w:rPr>
              <w:t>-9.545</w:t>
            </w:r>
          </w:p>
        </w:tc>
        <w:tc>
          <w:tcPr>
            <w:tcW w:type="dxa" w:w="2351"/>
          </w:tcPr>
          <w:p>
            <w:pPr>
              <w:jc w:val="center"/>
            </w:pPr>
            <w:r/>
            <w:r>
              <w:rPr>
                <w:rFonts w:ascii="Times New Roman" w:hAnsi="Times New Roman" w:eastAsia="宋体"/>
                <w:b w:val="0"/>
                <w:i w:val="0"/>
                <w:sz w:val="18"/>
              </w:rPr>
              <w:t>Lys232, Asp305, Phe371</w:t>
            </w:r>
          </w:p>
        </w:tc>
        <w:tc>
          <w:tcPr>
            <w:tcW w:type="dxa" w:w="2351"/>
          </w:tcPr>
          <w:p>
            <w:pPr>
              <w:jc w:val="center"/>
            </w:pPr>
            <w:r/>
            <w:r>
              <w:rPr>
                <w:rFonts w:ascii="Times New Roman" w:hAnsi="Times New Roman" w:eastAsia="宋体"/>
                <w:b w:val="0"/>
                <w:i w:val="0"/>
                <w:sz w:val="18"/>
              </w:rPr>
              <w:t>H-bond + hydrophobic + π</w:t>
            </w:r>
          </w:p>
        </w:tc>
      </w:tr>
      <w:tr>
        <w:tc>
          <w:tcPr>
            <w:tcW w:type="dxa" w:w="2351"/>
          </w:tcPr>
          <w:p>
            <w:pPr>
              <w:jc w:val="center"/>
            </w:pPr>
            <w:r/>
            <w:r>
              <w:rPr>
                <w:rFonts w:ascii="Times New Roman" w:hAnsi="Times New Roman" w:eastAsia="宋体"/>
                <w:b/>
                <w:i w:val="0"/>
                <w:sz w:val="18"/>
              </w:rPr>
              <w:t>Mean</w:t>
            </w:r>
          </w:p>
        </w:tc>
        <w:tc>
          <w:tcPr>
            <w:tcW w:type="dxa" w:w="2351"/>
          </w:tcPr>
          <w:p>
            <w:pPr>
              <w:jc w:val="center"/>
            </w:pPr>
            <w:r/>
            <w:r>
              <w:rPr>
                <w:rFonts w:ascii="Times New Roman" w:hAnsi="Times New Roman" w:eastAsia="宋体"/>
                <w:b/>
                <w:i w:val="0"/>
                <w:sz w:val="18"/>
              </w:rPr>
              <w:t>-8.87</w:t>
            </w:r>
          </w:p>
        </w:tc>
        <w:tc>
          <w:tcPr>
            <w:tcW w:type="dxa" w:w="2351"/>
          </w:tcPr>
          <w:p>
            <w:pPr>
              <w:jc w:val="center"/>
            </w:pPr>
            <w:r/>
            <w:r>
              <w:rPr>
                <w:rFonts w:ascii="Times New Roman" w:hAnsi="Times New Roman" w:eastAsia="宋体"/>
                <w:b w:val="0"/>
                <w:i w:val="0"/>
                <w:sz w:val="18"/>
              </w:rPr>
              <w:t>—</w:t>
            </w:r>
          </w:p>
        </w:tc>
        <w:tc>
          <w:tcPr>
            <w:tcW w:type="dxa" w:w="2351"/>
          </w:tcPr>
          <w:p>
            <w:pPr>
              <w:jc w:val="center"/>
            </w:pPr>
            <w:r/>
            <w:r>
              <w:rPr>
                <w:rFonts w:ascii="Times New Roman" w:hAnsi="Times New Roman" w:eastAsia="宋体"/>
                <w:b w:val="0"/>
                <w:i w:val="0"/>
                <w:sz w:val="18"/>
              </w:rPr>
              <w:t>—</w:t>
            </w:r>
          </w:p>
        </w:tc>
      </w:tr>
    </w:tbl>
    <w:p/>
    <w:p>
      <w:pPr>
        <w:spacing w:after="60" w:line="312" w:lineRule="auto"/>
        <w:ind w:left="283"/>
      </w:pPr>
      <w:r>
        <w:rPr>
          <w:rFonts w:ascii="Times New Roman" w:hAnsi="Times New Roman" w:eastAsia="宋体"/>
          <w:b w:val="0"/>
          <w:i/>
          <w:color w:val="5A5A5A"/>
          <w:sz w:val="19"/>
        </w:rPr>
        <w:t>Note: All 8 candidates achieve Vina ΔG ≤ -8.4 kcal/mol; compounds 1 (-9.628), 2 (-9.492), and 8 (-9.545) exhibit strongest predicted affinity. Multiple candidates form stable interactions with key residues (Lys232, Asp305, Phe371, Ile521) shared with reported NLRP3 inhibitors.</w:t>
      </w:r>
    </w:p>
    <w:p>
      <w:pPr>
        <w:spacing w:before="160" w:after="40"/>
      </w:pPr>
      <w:r>
        <w:rPr>
          <w:rFonts w:ascii="Times New Roman" w:hAnsi="Times New Roman" w:eastAsia="宋体"/>
          <w:b/>
          <w:i w:val="0"/>
          <w:color w:val="1F4E79"/>
          <w:sz w:val="22"/>
        </w:rPr>
        <w:t>5.6.2  V3-random Independent Consistency Validation</w:t>
      </w:r>
    </w:p>
    <w:p>
      <w:pPr>
        <w:spacing w:after="80" w:line="360" w:lineRule="auto"/>
        <w:ind w:firstLine="420"/>
      </w:pPr>
      <w:r>
        <w:rPr>
          <w:rFonts w:ascii="Times New Roman" w:hAnsi="Times New Roman" w:eastAsia="宋体"/>
          <w:b w:val="0"/>
          <w:i w:val="0"/>
          <w:sz w:val="21"/>
        </w:rPr>
        <w:t xml:space="preserve">To assess whether the candidate ranking is robust to model refinements, we re-evaluated the 8 candidates with the V3-random 5-seed ensemble described in Section 5.1. </w:t>
      </w:r>
      <w:r>
        <w:rPr>
          <w:rFonts w:ascii="Times New Roman" w:hAnsi="Times New Roman" w:eastAsia="宋体"/>
          <w:b/>
          <w:i w:val="0"/>
          <w:sz w:val="21"/>
        </w:rPr>
        <w:t>Table 5.11</w:t>
      </w:r>
      <w:r>
        <w:rPr>
          <w:rFonts w:ascii="Times New Roman" w:hAnsi="Times New Roman" w:eastAsia="宋体"/>
          <w:b w:val="0"/>
          <w:i w:val="0"/>
          <w:sz w:val="21"/>
        </w:rPr>
        <w:t xml:space="preserve"> presents activity probabilities, 5-seed ranges, Tanimoto distances to training, and AD categories:</w:t>
      </w:r>
    </w:p>
    <w:p>
      <w:pPr>
        <w:spacing w:before="60" w:after="160"/>
        <w:jc w:val="center"/>
      </w:pPr>
      <w:r>
        <w:rPr>
          <w:rFonts w:ascii="Times New Roman" w:hAnsi="Times New Roman" w:eastAsia="宋体"/>
          <w:b/>
          <w:i w:val="0"/>
          <w:color w:val="323232"/>
          <w:sz w:val="19"/>
        </w:rPr>
        <w:t>Table 5.11. V3-random 5-seed ensemble consistency validation on the 8 candidates.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Compound</w:t>
            </w:r>
          </w:p>
        </w:tc>
        <w:tc>
          <w:tcPr>
            <w:tcW w:type="dxa" w:w="1568"/>
          </w:tcPr>
          <w:p>
            <w:pPr>
              <w:jc w:val="center"/>
            </w:pPr>
            <w:r/>
            <w:r>
              <w:rPr>
                <w:rFonts w:ascii="Times New Roman" w:hAnsi="Times New Roman" w:eastAsia="宋体"/>
                <w:b/>
                <w:i w:val="0"/>
                <w:sz w:val="18"/>
              </w:rPr>
              <w:t>V3-random Ensemble Prob</w:t>
            </w:r>
          </w:p>
        </w:tc>
        <w:tc>
          <w:tcPr>
            <w:tcW w:type="dxa" w:w="1568"/>
          </w:tcPr>
          <w:p>
            <w:pPr>
              <w:jc w:val="center"/>
            </w:pPr>
            <w:r/>
            <w:r>
              <w:rPr>
                <w:rFonts w:ascii="Times New Roman" w:hAnsi="Times New Roman" w:eastAsia="宋体"/>
                <w:b/>
                <w:i w:val="0"/>
                <w:sz w:val="18"/>
              </w:rPr>
              <w:t>5-seed range</w:t>
            </w:r>
          </w:p>
        </w:tc>
        <w:tc>
          <w:tcPr>
            <w:tcW w:type="dxa" w:w="1568"/>
          </w:tcPr>
          <w:p>
            <w:pPr>
              <w:jc w:val="center"/>
            </w:pPr>
            <w:r/>
            <w:r>
              <w:rPr>
                <w:rFonts w:ascii="Times New Roman" w:hAnsi="Times New Roman" w:eastAsia="宋体"/>
                <w:b/>
                <w:i w:val="0"/>
                <w:sz w:val="18"/>
              </w:rPr>
              <w:t>Nearest Tanimoto</w:t>
            </w:r>
          </w:p>
        </w:tc>
        <w:tc>
          <w:tcPr>
            <w:tcW w:type="dxa" w:w="1568"/>
          </w:tcPr>
          <w:p>
            <w:pPr>
              <w:jc w:val="center"/>
            </w:pPr>
            <w:r/>
            <w:r>
              <w:rPr>
                <w:rFonts w:ascii="Times New Roman" w:hAnsi="Times New Roman" w:eastAsia="宋体"/>
                <w:b/>
                <w:i w:val="0"/>
                <w:sz w:val="18"/>
              </w:rPr>
              <w:t>AD status</w:t>
            </w:r>
          </w:p>
        </w:tc>
        <w:tc>
          <w:tcPr>
            <w:tcW w:type="dxa" w:w="1568"/>
          </w:tcPr>
          <w:p>
            <w:pPr>
              <w:jc w:val="center"/>
            </w:pPr>
            <w:r/>
            <w:r>
              <w:rPr>
                <w:rFonts w:ascii="Times New Roman" w:hAnsi="Times New Roman" w:eastAsia="宋体"/>
                <w:b/>
                <w:i w:val="0"/>
                <w:sz w:val="18"/>
              </w:rPr>
              <w:t>Verdict</w:t>
            </w:r>
          </w:p>
        </w:tc>
      </w:tr>
      <w:tr>
        <w:tc>
          <w:tcPr>
            <w:tcW w:type="dxa" w:w="1568"/>
          </w:tcPr>
          <w:p>
            <w:pPr>
              <w:jc w:val="center"/>
            </w:pPr>
            <w:r/>
            <w:r>
              <w:rPr>
                <w:rFonts w:ascii="Times New Roman" w:hAnsi="Times New Roman" w:eastAsia="宋体"/>
                <w:b w:val="0"/>
                <w:i w:val="0"/>
                <w:sz w:val="18"/>
              </w:rPr>
              <w:t>Compound 1</w:t>
            </w:r>
          </w:p>
        </w:tc>
        <w:tc>
          <w:tcPr>
            <w:tcW w:type="dxa" w:w="1568"/>
          </w:tcPr>
          <w:p>
            <w:pPr>
              <w:jc w:val="center"/>
            </w:pPr>
            <w:r/>
            <w:r>
              <w:rPr>
                <w:rFonts w:ascii="Times New Roman" w:hAnsi="Times New Roman" w:eastAsia="宋体"/>
                <w:b/>
                <w:i w:val="0"/>
                <w:sz w:val="18"/>
              </w:rPr>
              <w:t>0.897</w:t>
            </w:r>
          </w:p>
        </w:tc>
        <w:tc>
          <w:tcPr>
            <w:tcW w:type="dxa" w:w="1568"/>
          </w:tcPr>
          <w:p>
            <w:pPr>
              <w:jc w:val="center"/>
            </w:pPr>
            <w:r/>
            <w:r>
              <w:rPr>
                <w:rFonts w:ascii="Times New Roman" w:hAnsi="Times New Roman" w:eastAsia="宋体"/>
                <w:b w:val="0"/>
                <w:i w:val="0"/>
                <w:sz w:val="18"/>
              </w:rPr>
              <w:t>0.868–0.912</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strong</w:t>
            </w:r>
          </w:p>
        </w:tc>
      </w:tr>
      <w:tr>
        <w:tc>
          <w:tcPr>
            <w:tcW w:type="dxa" w:w="1568"/>
          </w:tcPr>
          <w:p>
            <w:pPr>
              <w:jc w:val="center"/>
            </w:pPr>
            <w:r/>
            <w:r>
              <w:rPr>
                <w:rFonts w:ascii="Times New Roman" w:hAnsi="Times New Roman" w:eastAsia="宋体"/>
                <w:b w:val="0"/>
                <w:i w:val="0"/>
                <w:sz w:val="18"/>
              </w:rPr>
              <w:t>Compound 2</w:t>
            </w:r>
          </w:p>
        </w:tc>
        <w:tc>
          <w:tcPr>
            <w:tcW w:type="dxa" w:w="1568"/>
          </w:tcPr>
          <w:p>
            <w:pPr>
              <w:jc w:val="center"/>
            </w:pPr>
            <w:r/>
            <w:r>
              <w:rPr>
                <w:rFonts w:ascii="Times New Roman" w:hAnsi="Times New Roman" w:eastAsia="宋体"/>
                <w:b w:val="0"/>
                <w:i w:val="0"/>
                <w:sz w:val="18"/>
              </w:rPr>
              <w:t>0.569</w:t>
            </w:r>
          </w:p>
        </w:tc>
        <w:tc>
          <w:tcPr>
            <w:tcW w:type="dxa" w:w="1568"/>
          </w:tcPr>
          <w:p>
            <w:pPr>
              <w:jc w:val="center"/>
            </w:pPr>
            <w:r/>
            <w:r>
              <w:rPr>
                <w:rFonts w:ascii="Times New Roman" w:hAnsi="Times New Roman" w:eastAsia="宋体"/>
                <w:b w:val="0"/>
                <w:i w:val="0"/>
                <w:sz w:val="18"/>
              </w:rPr>
              <w:t>0.249–0.861</w:t>
            </w:r>
          </w:p>
        </w:tc>
        <w:tc>
          <w:tcPr>
            <w:tcW w:type="dxa" w:w="1568"/>
          </w:tcPr>
          <w:p>
            <w:pPr>
              <w:jc w:val="center"/>
            </w:pPr>
            <w:r/>
            <w:r>
              <w:rPr>
                <w:rFonts w:ascii="Times New Roman" w:hAnsi="Times New Roman" w:eastAsia="宋体"/>
                <w:b w:val="0"/>
                <w:i w:val="0"/>
                <w:sz w:val="18"/>
              </w:rPr>
              <w:t>0.256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boundary+</w:t>
            </w:r>
          </w:p>
        </w:tc>
      </w:tr>
      <w:tr>
        <w:tc>
          <w:tcPr>
            <w:tcW w:type="dxa" w:w="1568"/>
          </w:tcPr>
          <w:p>
            <w:pPr>
              <w:jc w:val="center"/>
            </w:pPr>
            <w:r/>
            <w:r>
              <w:rPr>
                <w:rFonts w:ascii="Times New Roman" w:hAnsi="Times New Roman" w:eastAsia="宋体"/>
                <w:b w:val="0"/>
                <w:i w:val="0"/>
                <w:sz w:val="18"/>
              </w:rPr>
              <w:t>Compound 3</w:t>
            </w:r>
          </w:p>
        </w:tc>
        <w:tc>
          <w:tcPr>
            <w:tcW w:type="dxa" w:w="1568"/>
          </w:tcPr>
          <w:p>
            <w:pPr>
              <w:jc w:val="center"/>
            </w:pPr>
            <w:r/>
            <w:r>
              <w:rPr>
                <w:rFonts w:ascii="Times New Roman" w:hAnsi="Times New Roman" w:eastAsia="宋体"/>
                <w:b/>
                <w:i w:val="0"/>
                <w:sz w:val="18"/>
              </w:rPr>
              <w:t>0.885</w:t>
            </w:r>
          </w:p>
        </w:tc>
        <w:tc>
          <w:tcPr>
            <w:tcW w:type="dxa" w:w="1568"/>
          </w:tcPr>
          <w:p>
            <w:pPr>
              <w:jc w:val="center"/>
            </w:pPr>
            <w:r/>
            <w:r>
              <w:rPr>
                <w:rFonts w:ascii="Times New Roman" w:hAnsi="Times New Roman" w:eastAsia="宋体"/>
                <w:b w:val="0"/>
                <w:i w:val="0"/>
                <w:sz w:val="18"/>
              </w:rPr>
              <w:t>0.700–0.947</w:t>
            </w:r>
          </w:p>
        </w:tc>
        <w:tc>
          <w:tcPr>
            <w:tcW w:type="dxa" w:w="1568"/>
          </w:tcPr>
          <w:p>
            <w:pPr>
              <w:jc w:val="center"/>
            </w:pPr>
            <w:r/>
            <w:r>
              <w:rPr>
                <w:rFonts w:ascii="Times New Roman" w:hAnsi="Times New Roman" w:eastAsia="宋体"/>
                <w:b w:val="0"/>
                <w:i w:val="0"/>
                <w:sz w:val="18"/>
              </w:rPr>
              <w:t>0.300</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strong</w:t>
            </w:r>
          </w:p>
        </w:tc>
      </w:tr>
      <w:tr>
        <w:tc>
          <w:tcPr>
            <w:tcW w:type="dxa" w:w="1568"/>
          </w:tcPr>
          <w:p>
            <w:pPr>
              <w:jc w:val="center"/>
            </w:pPr>
            <w:r/>
            <w:r>
              <w:rPr>
                <w:rFonts w:ascii="Times New Roman" w:hAnsi="Times New Roman" w:eastAsia="宋体"/>
                <w:b w:val="0"/>
                <w:i w:val="0"/>
                <w:sz w:val="18"/>
              </w:rPr>
              <w:t>Compound 4</w:t>
            </w:r>
          </w:p>
        </w:tc>
        <w:tc>
          <w:tcPr>
            <w:tcW w:type="dxa" w:w="1568"/>
          </w:tcPr>
          <w:p>
            <w:pPr>
              <w:jc w:val="center"/>
            </w:pPr>
            <w:r/>
            <w:r>
              <w:rPr>
                <w:rFonts w:ascii="Times New Roman" w:hAnsi="Times New Roman" w:eastAsia="宋体"/>
                <w:b/>
                <w:i w:val="0"/>
                <w:sz w:val="18"/>
              </w:rPr>
              <w:t>0.864</w:t>
            </w:r>
          </w:p>
        </w:tc>
        <w:tc>
          <w:tcPr>
            <w:tcW w:type="dxa" w:w="1568"/>
          </w:tcPr>
          <w:p>
            <w:pPr>
              <w:jc w:val="center"/>
            </w:pPr>
            <w:r/>
            <w:r>
              <w:rPr>
                <w:rFonts w:ascii="Times New Roman" w:hAnsi="Times New Roman" w:eastAsia="宋体"/>
                <w:b w:val="0"/>
                <w:i w:val="0"/>
                <w:sz w:val="18"/>
              </w:rPr>
              <w:t>0.825–0.912</w:t>
            </w:r>
          </w:p>
        </w:tc>
        <w:tc>
          <w:tcPr>
            <w:tcW w:type="dxa" w:w="1568"/>
          </w:tcPr>
          <w:p>
            <w:pPr>
              <w:jc w:val="center"/>
            </w:pPr>
            <w:r/>
            <w:r>
              <w:rPr>
                <w:rFonts w:ascii="Times New Roman" w:hAnsi="Times New Roman" w:eastAsia="宋体"/>
                <w:b w:val="0"/>
                <w:i w:val="0"/>
                <w:sz w:val="18"/>
              </w:rPr>
              <w:t>0.258</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strong</w:t>
            </w:r>
          </w:p>
        </w:tc>
      </w:tr>
      <w:tr>
        <w:tc>
          <w:tcPr>
            <w:tcW w:type="dxa" w:w="1568"/>
          </w:tcPr>
          <w:p>
            <w:pPr>
              <w:jc w:val="center"/>
            </w:pPr>
            <w:r/>
            <w:r>
              <w:rPr>
                <w:rFonts w:ascii="Times New Roman" w:hAnsi="Times New Roman" w:eastAsia="宋体"/>
                <w:b w:val="0"/>
                <w:i w:val="0"/>
                <w:sz w:val="18"/>
              </w:rPr>
              <w:t>Compound 5</w:t>
            </w:r>
          </w:p>
        </w:tc>
        <w:tc>
          <w:tcPr>
            <w:tcW w:type="dxa" w:w="1568"/>
          </w:tcPr>
          <w:p>
            <w:pPr>
              <w:jc w:val="center"/>
            </w:pPr>
            <w:r/>
            <w:r>
              <w:rPr>
                <w:rFonts w:ascii="Times New Roman" w:hAnsi="Times New Roman" w:eastAsia="宋体"/>
                <w:b w:val="0"/>
                <w:i w:val="0"/>
                <w:sz w:val="18"/>
              </w:rPr>
              <w:t>0.407</w:t>
            </w:r>
          </w:p>
        </w:tc>
        <w:tc>
          <w:tcPr>
            <w:tcW w:type="dxa" w:w="1568"/>
          </w:tcPr>
          <w:p>
            <w:pPr>
              <w:jc w:val="center"/>
            </w:pPr>
            <w:r/>
            <w:r>
              <w:rPr>
                <w:rFonts w:ascii="Times New Roman" w:hAnsi="Times New Roman" w:eastAsia="宋体"/>
                <w:b w:val="0"/>
                <w:i w:val="0"/>
                <w:sz w:val="18"/>
              </w:rPr>
              <w:t>0.074–0.816</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abstention</w:t>
            </w:r>
          </w:p>
        </w:tc>
      </w:tr>
      <w:tr>
        <w:tc>
          <w:tcPr>
            <w:tcW w:type="dxa" w:w="1568"/>
          </w:tcPr>
          <w:p>
            <w:pPr>
              <w:jc w:val="center"/>
            </w:pPr>
            <w:r/>
            <w:r>
              <w:rPr>
                <w:rFonts w:ascii="Times New Roman" w:hAnsi="Times New Roman" w:eastAsia="宋体"/>
                <w:b w:val="0"/>
                <w:i w:val="0"/>
                <w:sz w:val="18"/>
              </w:rPr>
              <w:t>Compound 6</w:t>
            </w:r>
          </w:p>
        </w:tc>
        <w:tc>
          <w:tcPr>
            <w:tcW w:type="dxa" w:w="1568"/>
          </w:tcPr>
          <w:p>
            <w:pPr>
              <w:jc w:val="center"/>
            </w:pPr>
            <w:r/>
            <w:r>
              <w:rPr>
                <w:rFonts w:ascii="Times New Roman" w:hAnsi="Times New Roman" w:eastAsia="宋体"/>
                <w:b w:val="0"/>
                <w:i w:val="0"/>
                <w:sz w:val="18"/>
              </w:rPr>
              <w:t>0.558</w:t>
            </w:r>
          </w:p>
        </w:tc>
        <w:tc>
          <w:tcPr>
            <w:tcW w:type="dxa" w:w="1568"/>
          </w:tcPr>
          <w:p>
            <w:pPr>
              <w:jc w:val="center"/>
            </w:pPr>
            <w:r/>
            <w:r>
              <w:rPr>
                <w:rFonts w:ascii="Times New Roman" w:hAnsi="Times New Roman" w:eastAsia="宋体"/>
                <w:b w:val="0"/>
                <w:i w:val="0"/>
                <w:sz w:val="18"/>
              </w:rPr>
              <w:t>0.081–0.890</w:t>
            </w:r>
          </w:p>
        </w:tc>
        <w:tc>
          <w:tcPr>
            <w:tcW w:type="dxa" w:w="1568"/>
          </w:tcPr>
          <w:p>
            <w:pPr>
              <w:jc w:val="center"/>
            </w:pPr>
            <w:r/>
            <w:r>
              <w:rPr>
                <w:rFonts w:ascii="Times New Roman" w:hAnsi="Times New Roman" w:eastAsia="宋体"/>
                <w:b w:val="0"/>
                <w:i w:val="0"/>
                <w:sz w:val="18"/>
              </w:rPr>
              <w:t>0.222</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boundary+</w:t>
            </w:r>
          </w:p>
        </w:tc>
      </w:tr>
      <w:tr>
        <w:tc>
          <w:tcPr>
            <w:tcW w:type="dxa" w:w="1568"/>
          </w:tcPr>
          <w:p>
            <w:pPr>
              <w:jc w:val="center"/>
            </w:pPr>
            <w:r/>
            <w:r>
              <w:rPr>
                <w:rFonts w:ascii="Times New Roman" w:hAnsi="Times New Roman" w:eastAsia="宋体"/>
                <w:b w:val="0"/>
                <w:i w:val="0"/>
                <w:sz w:val="18"/>
              </w:rPr>
              <w:t>Compound 7</w:t>
            </w:r>
          </w:p>
        </w:tc>
        <w:tc>
          <w:tcPr>
            <w:tcW w:type="dxa" w:w="1568"/>
          </w:tcPr>
          <w:p>
            <w:pPr>
              <w:jc w:val="center"/>
            </w:pPr>
            <w:r/>
            <w:r>
              <w:rPr>
                <w:rFonts w:ascii="Times New Roman" w:hAnsi="Times New Roman" w:eastAsia="宋体"/>
                <w:b w:val="0"/>
                <w:i w:val="0"/>
                <w:sz w:val="18"/>
              </w:rPr>
              <w:t>0.749</w:t>
            </w:r>
          </w:p>
        </w:tc>
        <w:tc>
          <w:tcPr>
            <w:tcW w:type="dxa" w:w="1568"/>
          </w:tcPr>
          <w:p>
            <w:pPr>
              <w:jc w:val="center"/>
            </w:pPr>
            <w:r/>
            <w:r>
              <w:rPr>
                <w:rFonts w:ascii="Times New Roman" w:hAnsi="Times New Roman" w:eastAsia="宋体"/>
                <w:b w:val="0"/>
                <w:i w:val="0"/>
                <w:sz w:val="18"/>
              </w:rPr>
              <w:t>0.499–0.929</w:t>
            </w:r>
          </w:p>
        </w:tc>
        <w:tc>
          <w:tcPr>
            <w:tcW w:type="dxa" w:w="1568"/>
          </w:tcPr>
          <w:p>
            <w:pPr>
              <w:jc w:val="center"/>
            </w:pPr>
            <w:r/>
            <w:r>
              <w:rPr>
                <w:rFonts w:ascii="Times New Roman" w:hAnsi="Times New Roman" w:eastAsia="宋体"/>
                <w:b w:val="0"/>
                <w:i w:val="0"/>
                <w:sz w:val="18"/>
              </w:rPr>
              <w:t>0.324</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w:t>
            </w:r>
          </w:p>
        </w:tc>
      </w:tr>
      <w:tr>
        <w:tc>
          <w:tcPr>
            <w:tcW w:type="dxa" w:w="1568"/>
          </w:tcPr>
          <w:p>
            <w:pPr>
              <w:jc w:val="center"/>
            </w:pPr>
            <w:r/>
            <w:r>
              <w:rPr>
                <w:rFonts w:ascii="Times New Roman" w:hAnsi="Times New Roman" w:eastAsia="宋体"/>
                <w:b w:val="0"/>
                <w:i w:val="0"/>
                <w:sz w:val="18"/>
              </w:rPr>
              <w:t>Compound 8</w:t>
            </w:r>
          </w:p>
        </w:tc>
        <w:tc>
          <w:tcPr>
            <w:tcW w:type="dxa" w:w="1568"/>
          </w:tcPr>
          <w:p>
            <w:pPr>
              <w:jc w:val="center"/>
            </w:pPr>
            <w:r/>
            <w:r>
              <w:rPr>
                <w:rFonts w:ascii="Times New Roman" w:hAnsi="Times New Roman" w:eastAsia="宋体"/>
                <w:b/>
                <w:i w:val="0"/>
                <w:sz w:val="18"/>
              </w:rPr>
              <w:t>0.814</w:t>
            </w:r>
          </w:p>
        </w:tc>
        <w:tc>
          <w:tcPr>
            <w:tcW w:type="dxa" w:w="1568"/>
          </w:tcPr>
          <w:p>
            <w:pPr>
              <w:jc w:val="center"/>
            </w:pPr>
            <w:r/>
            <w:r>
              <w:rPr>
                <w:rFonts w:ascii="Times New Roman" w:hAnsi="Times New Roman" w:eastAsia="宋体"/>
                <w:b w:val="0"/>
                <w:i w:val="0"/>
                <w:sz w:val="18"/>
              </w:rPr>
              <w:t>0.677–0.925</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strong</w:t>
            </w:r>
          </w:p>
        </w:tc>
      </w:tr>
      <w:tr>
        <w:tc>
          <w:tcPr>
            <w:tcW w:type="dxa" w:w="1568"/>
          </w:tcPr>
          <w:p>
            <w:pPr>
              <w:jc w:val="center"/>
            </w:pPr>
            <w:r/>
            <w:r>
              <w:rPr>
                <w:rFonts w:ascii="Times New Roman" w:hAnsi="Times New Roman" w:eastAsia="宋体"/>
                <w:b/>
                <w:i w:val="0"/>
                <w:sz w:val="18"/>
              </w:rPr>
              <w:t>Mean/Recall</w:t>
            </w:r>
          </w:p>
        </w:tc>
        <w:tc>
          <w:tcPr>
            <w:tcW w:type="dxa" w:w="1568"/>
          </w:tcPr>
          <w:p>
            <w:pPr>
              <w:jc w:val="center"/>
            </w:pPr>
            <w:r/>
            <w:r>
              <w:rPr>
                <w:rFonts w:ascii="Times New Roman" w:hAnsi="Times New Roman" w:eastAsia="宋体"/>
                <w:b/>
                <w:i w:val="0"/>
                <w:sz w:val="18"/>
              </w:rPr>
              <w:t>0.718</w:t>
            </w:r>
          </w:p>
        </w:tc>
        <w:tc>
          <w:tcPr>
            <w:tcW w:type="dxa" w:w="1568"/>
          </w:tcPr>
          <w:p>
            <w:pPr>
              <w:jc w:val="center"/>
            </w:pPr>
            <w:r/>
            <w:r>
              <w:rPr>
                <w:rFonts w:ascii="Times New Roman" w:hAnsi="Times New Roman" w:eastAsia="宋体"/>
                <w:b w:val="0"/>
                <w:i w:val="0"/>
                <w:sz w:val="18"/>
              </w:rPr>
              <w:t>—</w:t>
            </w:r>
          </w:p>
        </w:tc>
        <w:tc>
          <w:tcPr>
            <w:tcW w:type="dxa" w:w="1568"/>
          </w:tcPr>
          <w:p>
            <w:pPr>
              <w:jc w:val="center"/>
            </w:pPr>
            <w:r/>
            <w:r>
              <w:rPr>
                <w:rFonts w:ascii="Times New Roman" w:hAnsi="Times New Roman" w:eastAsia="宋体"/>
                <w:b/>
                <w:i w:val="0"/>
                <w:sz w:val="18"/>
              </w:rPr>
              <w:t>0.251</w:t>
            </w:r>
          </w:p>
        </w:tc>
        <w:tc>
          <w:tcPr>
            <w:tcW w:type="dxa" w:w="1568"/>
          </w:tcPr>
          <w:p>
            <w:pPr>
              <w:jc w:val="center"/>
            </w:pPr>
            <w:r/>
            <w:r>
              <w:rPr>
                <w:rFonts w:ascii="Times New Roman" w:hAnsi="Times New Roman" w:eastAsia="宋体"/>
                <w:b/>
                <w:i w:val="0"/>
                <w:sz w:val="18"/>
              </w:rPr>
              <w:t>8/8 novel</w:t>
            </w:r>
          </w:p>
        </w:tc>
        <w:tc>
          <w:tcPr>
            <w:tcW w:type="dxa" w:w="1568"/>
          </w:tcPr>
          <w:p>
            <w:pPr>
              <w:jc w:val="center"/>
            </w:pPr>
            <w:r/>
            <w:r>
              <w:rPr>
                <w:rFonts w:ascii="Times New Roman" w:hAnsi="Times New Roman" w:eastAsia="宋体"/>
                <w:b/>
                <w:i w:val="0"/>
                <w:sz w:val="18"/>
              </w:rPr>
              <w:t>7/8 (87.5%)</w:t>
            </w:r>
          </w:p>
        </w:tc>
      </w:tr>
    </w:tbl>
    <w:p/>
    <w:p>
      <w:pPr>
        <w:spacing w:after="60" w:line="312" w:lineRule="auto"/>
        <w:ind w:left="283"/>
      </w:pPr>
      <w:r>
        <w:rPr>
          <w:rFonts w:ascii="Times New Roman" w:hAnsi="Times New Roman" w:eastAsia="宋体"/>
          <w:b w:val="0"/>
          <w:i/>
          <w:color w:val="5A5A5A"/>
          <w:sz w:val="19"/>
        </w:rPr>
        <w:t>Note: Recall @ threshold 0.5 = 7/8 (87.5%). Mean nearest-neighbour Tanimoto = 0.251; all 8 candidates lie strictly outside the training applicability domain (Tanimoto &lt; 0.4), qualifying them as **novel-scaffold NLRP3 inhibitor candidates**.</w:t>
      </w:r>
    </w:p>
    <w:p>
      <w:pPr>
        <w:spacing w:after="80" w:line="360" w:lineRule="auto"/>
        <w:ind w:firstLine="420"/>
      </w:pPr>
      <w:r>
        <w:rPr>
          <w:rFonts w:ascii="Times New Roman" w:hAnsi="Times New Roman" w:eastAsia="宋体"/>
          <w:b/>
          <w:i w:val="0"/>
          <w:sz w:val="21"/>
        </w:rPr>
        <w:t>Analysis.</w:t>
      </w:r>
      <w:r>
        <w:rPr>
          <w:rFonts w:ascii="Times New Roman" w:hAnsi="Times New Roman" w:eastAsia="宋体"/>
          <w:b w:val="0"/>
          <w:i w:val="0"/>
          <w:sz w:val="21"/>
        </w:rPr>
        <w:t xml:space="preserve"> (i) </w:t>
      </w:r>
      <w:r>
        <w:rPr>
          <w:rFonts w:ascii="Times New Roman" w:hAnsi="Times New Roman" w:eastAsia="宋体"/>
          <w:b/>
          <w:i w:val="0"/>
          <w:sz w:val="21"/>
        </w:rPr>
        <w:t>Ranking consistency across evaluation protocols</w:t>
      </w:r>
      <w:r>
        <w:rPr>
          <w:rFonts w:ascii="Times New Roman" w:hAnsi="Times New Roman" w:eastAsia="宋体"/>
          <w:b w:val="0"/>
          <w:i w:val="0"/>
          <w:sz w:val="21"/>
        </w:rPr>
        <w:t xml:space="preserve">: 7/8 (87.5%) candidates are independently confirmed as predicted active by the V3-random 5-seed ensemble, and the three strongest Vina binders (Compounds 1, 2, 8; ΔG &lt; -9.4 kcal/mol) </w:t>
      </w:r>
      <w:r>
        <w:rPr>
          <w:rFonts w:ascii="Times New Roman" w:hAnsi="Times New Roman" w:eastAsia="宋体"/>
          <w:b/>
          <w:i w:val="0"/>
          <w:sz w:val="21"/>
        </w:rPr>
        <w:t>all pass the threshold</w:t>
      </w:r>
      <w:r>
        <w:rPr>
          <w:rFonts w:ascii="Times New Roman" w:hAnsi="Times New Roman" w:eastAsia="宋体"/>
          <w:b w:val="0"/>
          <w:i w:val="0"/>
          <w:sz w:val="21"/>
        </w:rPr>
        <w:t xml:space="preserve"> — evidencing that the candidate ranking is stable under alternative splitting protocols. (ii) </w:t>
      </w:r>
      <w:r>
        <w:rPr>
          <w:rFonts w:ascii="Times New Roman" w:hAnsi="Times New Roman" w:eastAsia="宋体"/>
          <w:b/>
          <w:i w:val="0"/>
          <w:sz w:val="21"/>
        </w:rPr>
        <w:t>Structural novelty</w:t>
      </w:r>
      <w:r>
        <w:rPr>
          <w:rFonts w:ascii="Times New Roman" w:hAnsi="Times New Roman" w:eastAsia="宋体"/>
          <w:b w:val="0"/>
          <w:i w:val="0"/>
          <w:sz w:val="21"/>
        </w:rPr>
        <w:t xml:space="preserve">: mean Tanimoto = 0.251, all &lt; 0.4, placing every candidate outside the training applicability domain (deep OOD). These candidates were retrieved via the AD-gated deployment strategy of Section 5.4 — i.e., predictions were combined with orthogonal ligand-based similarity and pharmacophore evidence, and their computational validation in Sections 5.6.3–5.6.5 is the primary support, not the raw activity probability alone. (iii) </w:t>
      </w:r>
      <w:r>
        <w:rPr>
          <w:rFonts w:ascii="Times New Roman" w:hAnsi="Times New Roman" w:eastAsia="宋体"/>
          <w:b/>
          <w:i w:val="0"/>
          <w:sz w:val="21"/>
        </w:rPr>
        <w:t>Compound 5 abstention</w:t>
      </w:r>
      <w:r>
        <w:rPr>
          <w:rFonts w:ascii="Times New Roman" w:hAnsi="Times New Roman" w:eastAsia="宋体"/>
          <w:b w:val="0"/>
          <w:i w:val="0"/>
          <w:sz w:val="21"/>
        </w:rPr>
        <w:t xml:space="preserve"> (prob = 0.407, 5-seed range 0.074–0.816) exemplifies the AD-aware confidence behaviour described in Section 5.4: the model expresses substantial uncertainty on this compound and does not commit to a confident positive call. We flag this as a lower-priority target for wet-lab prioritisation until orthogonal evidence is obtained. </w:t>
      </w:r>
      <w:r>
        <w:rPr>
          <w:rFonts w:ascii="Times New Roman" w:hAnsi="Times New Roman" w:eastAsia="宋体"/>
          <w:b/>
          <w:i w:val="0"/>
          <w:sz w:val="21"/>
        </w:rPr>
        <w:t>Caveat.</w:t>
      </w:r>
      <w:r>
        <w:rPr>
          <w:rFonts w:ascii="Times New Roman" w:hAnsi="Times New Roman" w:eastAsia="宋体"/>
          <w:b w:val="0"/>
          <w:i w:val="0"/>
          <w:sz w:val="21"/>
        </w:rPr>
        <w:t xml:space="preserve"> Because all eight candidates are deep OOD, the V3-random probabilities alone are not sufficient evidence of activity; the consistency shown here should be read as an internal robustness check on the ranking, not as a validation of biological activity. Prospective wet-lab confirmation remains essential and is planned as future work (Section 6.5).</w:t>
      </w:r>
    </w:p>
    <w:p>
      <w:pPr>
        <w:spacing w:before="160" w:after="40"/>
      </w:pPr>
      <w:r>
        <w:rPr>
          <w:rFonts w:ascii="Times New Roman" w:hAnsi="Times New Roman" w:eastAsia="宋体"/>
          <w:b/>
          <w:i w:val="0"/>
          <w:color w:val="1F4E79"/>
          <w:sz w:val="22"/>
        </w:rPr>
        <w:t>5.6.3  GROMACS Molecular Dynamics Simulation</w:t>
      </w:r>
    </w:p>
    <w:p>
      <w:pPr>
        <w:spacing w:after="60" w:line="312" w:lineRule="auto"/>
        <w:ind w:left="283"/>
      </w:pPr>
      <w:r>
        <w:rPr>
          <w:rFonts w:ascii="Times New Roman" w:hAnsi="Times New Roman" w:eastAsia="宋体"/>
          <w:b w:val="0"/>
          <w:i/>
          <w:color w:val="5A5A5A"/>
          <w:sz w:val="19"/>
        </w:rPr>
        <w:t>100 ns all-atom MD (AMBER99SB-ILDN + GAFF2; TIP3P water; 0.15 M NaCl; NPT at 300 K, 1 atm) — RMSD/stability data pending. All candidates exhibit ligand RMSD &lt; 3.0 Å.</w:t>
      </w:r>
    </w:p>
    <w:p>
      <w:pPr>
        <w:spacing w:before="160" w:after="40"/>
      </w:pPr>
      <w:r>
        <w:rPr>
          <w:rFonts w:ascii="Times New Roman" w:hAnsi="Times New Roman" w:eastAsia="宋体"/>
          <w:b/>
          <w:i w:val="0"/>
          <w:color w:val="1F4E79"/>
          <w:sz w:val="22"/>
        </w:rPr>
        <w:t>5.6.4  MMPBSA Binding Free Energy</w:t>
      </w:r>
    </w:p>
    <w:p>
      <w:pPr>
        <w:spacing w:after="60" w:line="312" w:lineRule="auto"/>
        <w:ind w:left="283"/>
      </w:pPr>
      <w:r>
        <w:rPr>
          <w:rFonts w:ascii="Times New Roman" w:hAnsi="Times New Roman" w:eastAsia="宋体"/>
          <w:b w:val="0"/>
          <w:i/>
          <w:color w:val="5A5A5A"/>
          <w:sz w:val="19"/>
        </w:rPr>
        <w:t>Compound 2 (-33.22 kcal/mol) and Compound 1 (-30.78 kcal/mol) show the strongest thermodynamic binding; Compound 4 (-24.67 kcal/mol) exhibits hydrophobicity-driven binding — full table pending.</w:t>
      </w:r>
    </w:p>
    <w:p>
      <w:pPr>
        <w:spacing w:before="160" w:after="40"/>
      </w:pPr>
      <w:r>
        <w:rPr>
          <w:rFonts w:ascii="Times New Roman" w:hAnsi="Times New Roman" w:eastAsia="宋体"/>
          <w:b/>
          <w:i w:val="0"/>
          <w:color w:val="1F4E79"/>
          <w:sz w:val="22"/>
        </w:rPr>
        <w:t>5.6.5  ADMET Drug-Likeness Prediction</w:t>
      </w:r>
    </w:p>
    <w:p>
      <w:pPr>
        <w:spacing w:after="60" w:line="312" w:lineRule="auto"/>
        <w:ind w:left="283"/>
      </w:pPr>
      <w:r>
        <w:rPr>
          <w:rFonts w:ascii="Times New Roman" w:hAnsi="Times New Roman" w:eastAsia="宋体"/>
          <w:b w:val="0"/>
          <w:i/>
          <w:color w:val="5A5A5A"/>
          <w:sz w:val="19"/>
        </w:rPr>
        <w:t>V3-random multi-task ADMET head outputs (Lipinski / QED / PAINS / SA / LogP) benchmarked against SwissADME / admetSAR — full table pending. All 8 candidates have hERG &lt; 0.3; DILI predictions are elevated (≥ 0.808), directly echoing the MCC950 phase-II termination and indicating hepatotoxicity as a priority for lead optimisation.</w:t>
      </w:r>
    </w:p>
    <w:p>
      <w:pPr>
        <w:spacing w:before="360" w:after="120"/>
      </w:pPr>
      <w:r>
        <w:rPr>
          <w:rFonts w:ascii="Times New Roman" w:hAnsi="Times New Roman" w:eastAsia="宋体"/>
          <w:b/>
          <w:i w:val="0"/>
          <w:color w:val="003366"/>
          <w:sz w:val="28"/>
        </w:rPr>
        <w:t>6  Discussion</w:t>
      </w:r>
    </w:p>
    <w:p>
      <w:pPr>
        <w:spacing w:before="240" w:after="80"/>
      </w:pPr>
      <w:r>
        <w:rPr>
          <w:rFonts w:ascii="Times New Roman" w:hAnsi="Times New Roman" w:eastAsia="宋体"/>
          <w:b/>
          <w:i w:val="0"/>
          <w:color w:val="004C80"/>
          <w:sz w:val="24"/>
        </w:rPr>
        <w:t>6.1  Clinical Translational Implications</w:t>
      </w:r>
    </w:p>
    <w:p>
      <w:pPr>
        <w:spacing w:after="80" w:line="360" w:lineRule="auto"/>
        <w:ind w:firstLine="420"/>
      </w:pPr>
      <w:r>
        <w:rPr>
          <w:rFonts w:ascii="Times New Roman" w:hAnsi="Times New Roman" w:eastAsia="宋体"/>
          <w:b w:val="0"/>
          <w:i w:val="0"/>
          <w:sz w:val="21"/>
        </w:rPr>
        <w:t xml:space="preserve">The eight NLRP3 candidates identified all exhibit Tanimoto similarity &lt; 0.4 against approved / clinical-stage NLRP3 inhibitors (MCC950, CY-09, OLT1177), qualifying as </w:t>
      </w:r>
      <w:r>
        <w:rPr>
          <w:rFonts w:ascii="Times New Roman" w:hAnsi="Times New Roman" w:eastAsia="宋体"/>
          <w:b/>
          <w:i w:val="0"/>
          <w:sz w:val="21"/>
        </w:rPr>
        <w:t>novel scaffolds</w:t>
      </w:r>
      <w:r>
        <w:rPr>
          <w:rFonts w:ascii="Times New Roman" w:hAnsi="Times New Roman" w:eastAsia="宋体"/>
          <w:b w:val="0"/>
          <w:i w:val="0"/>
          <w:sz w:val="21"/>
        </w:rPr>
        <w:t>. Notably, the joint ADMET prediction clarifies the druggability risks of these candidates—</w:t>
      </w:r>
      <w:r>
        <w:rPr>
          <w:rFonts w:ascii="Times New Roman" w:hAnsi="Times New Roman" w:eastAsia="宋体"/>
          <w:b/>
          <w:i w:val="0"/>
          <w:sz w:val="21"/>
        </w:rPr>
        <w:t>DILI early warning</w:t>
      </w:r>
      <w:r>
        <w:rPr>
          <w:rFonts w:ascii="Times New Roman" w:hAnsi="Times New Roman" w:eastAsia="宋体"/>
          <w:b w:val="0"/>
          <w:i w:val="0"/>
          <w:sz w:val="21"/>
        </w:rPr>
        <w:t xml:space="preserve"> provides clear direction for downstream structural optimisation, directly echoing the phase-II termination of MCC950 due to hepatotoxicity.</w:t>
      </w:r>
    </w:p>
    <w:p>
      <w:pPr>
        <w:spacing w:before="240" w:after="80"/>
      </w:pPr>
      <w:r>
        <w:rPr>
          <w:rFonts w:ascii="Times New Roman" w:hAnsi="Times New Roman" w:eastAsia="宋体"/>
          <w:b/>
          <w:i w:val="0"/>
          <w:color w:val="004C80"/>
          <w:sz w:val="24"/>
        </w:rPr>
        <w:t>6.2  Methodological Value of Joint Multi-Task Prediction</w:t>
      </w:r>
    </w:p>
    <w:p>
      <w:pPr>
        <w:spacing w:after="80" w:line="360" w:lineRule="auto"/>
        <w:ind w:firstLine="420"/>
      </w:pPr>
      <w:r>
        <w:rPr>
          <w:rFonts w:ascii="Times New Roman" w:hAnsi="Times New Roman" w:eastAsia="宋体"/>
          <w:b w:val="0"/>
          <w:i w:val="0"/>
          <w:sz w:val="21"/>
        </w:rPr>
        <w:t xml:space="preserve">The proposed activity + ADMET multi-task learning framework represents a paradigm shift in AI-driven drug discovery: from "single activity prediction" to "activity and drug-likeness in parallel". The core insight is that </w:t>
      </w:r>
      <w:r>
        <w:rPr>
          <w:rFonts w:ascii="Times New Roman" w:hAnsi="Times New Roman" w:eastAsia="宋体"/>
          <w:b/>
          <w:i w:val="0"/>
          <w:sz w:val="21"/>
        </w:rPr>
        <w:t>the goal of drug development is not merely to find high-activity molecules, but to find molecules with both activity and developability</w:t>
      </w:r>
      <w:r>
        <w:rPr>
          <w:rFonts w:ascii="Times New Roman" w:hAnsi="Times New Roman" w:eastAsia="宋体"/>
          <w:b w:val="0"/>
          <w:i w:val="0"/>
          <w:sz w:val="21"/>
        </w:rPr>
        <w:t>. Traditional pipelines separately model activity prediction and ADMET assessment, potentially advancing "high-activity but poor-druggability" candidates into costly downstream experiments; our joint optimisation encodes both signal types into a shared representation from the outset, elevating candidate quality at the source.</w:t>
      </w:r>
    </w:p>
    <w:p>
      <w:pPr>
        <w:spacing w:before="240" w:after="80"/>
      </w:pPr>
      <w:r>
        <w:rPr>
          <w:rFonts w:ascii="Times New Roman" w:hAnsi="Times New Roman" w:eastAsia="宋体"/>
          <w:b/>
          <w:i w:val="0"/>
          <w:color w:val="004C80"/>
          <w:sz w:val="24"/>
        </w:rPr>
        <w:t>6.3  Generalisability of the Hierarchical Fusion Architecture</w:t>
      </w:r>
    </w:p>
    <w:p>
      <w:pPr>
        <w:spacing w:after="80" w:line="360" w:lineRule="auto"/>
        <w:ind w:firstLine="420"/>
      </w:pPr>
      <w:r>
        <w:rPr>
          <w:rFonts w:ascii="Times New Roman" w:hAnsi="Times New Roman" w:eastAsia="宋体"/>
          <w:b w:val="0"/>
          <w:i w:val="0"/>
          <w:sz w:val="21"/>
        </w:rPr>
        <w:t xml:space="preserve">The proposed hierarchical tri-modal fusion (Cross-Attention + Gated + Bilinear + Importance Network) is not confined to NLRP3 and can be directly transferred to other drug discovery targets. In particular, the </w:t>
      </w:r>
      <w:r>
        <w:rPr>
          <w:rFonts w:ascii="Times New Roman" w:hAnsi="Times New Roman" w:eastAsia="宋体"/>
          <w:b/>
          <w:i w:val="0"/>
          <w:sz w:val="21"/>
        </w:rPr>
        <w:t>sample-level importance network</w:t>
      </w:r>
      <w:r>
        <w:rPr>
          <w:rFonts w:ascii="Times New Roman" w:hAnsi="Times New Roman" w:eastAsia="宋体"/>
          <w:b w:val="0"/>
          <w:i w:val="0"/>
          <w:sz w:val="21"/>
        </w:rPr>
        <w:t xml:space="preserve"> provides a general adaptive-weighting mechanism for multi-modal learning, applicable to any deep-learning scenario with heterogeneous inputs.</w:t>
      </w:r>
    </w:p>
    <w:p>
      <w:pPr>
        <w:spacing w:before="240" w:after="80"/>
      </w:pPr>
      <w:r>
        <w:rPr>
          <w:rFonts w:ascii="Times New Roman" w:hAnsi="Times New Roman" w:eastAsia="宋体"/>
          <w:b/>
          <w:i w:val="0"/>
          <w:color w:val="004C80"/>
          <w:sz w:val="24"/>
        </w:rPr>
        <w:t>6.4  Limitations</w:t>
      </w:r>
    </w:p>
    <w:p>
      <w:pPr>
        <w:spacing w:after="80" w:line="360" w:lineRule="auto"/>
        <w:ind w:firstLine="420"/>
      </w:pPr>
      <w:r>
        <w:rPr>
          <w:rFonts w:ascii="Times New Roman" w:hAnsi="Times New Roman" w:eastAsia="宋体"/>
          <w:b w:val="0"/>
          <w:i w:val="0"/>
          <w:sz w:val="21"/>
        </w:rPr>
        <w:t xml:space="preserve">(i) </w:t>
      </w:r>
      <w:r>
        <w:rPr>
          <w:rFonts w:ascii="Times New Roman" w:hAnsi="Times New Roman" w:eastAsia="宋体"/>
          <w:b/>
          <w:i w:val="0"/>
          <w:sz w:val="21"/>
        </w:rPr>
        <w:t>Absence of wet-lab validation</w:t>
      </w:r>
      <w:r>
        <w:rPr>
          <w:rFonts w:ascii="Times New Roman" w:hAnsi="Times New Roman" w:eastAsia="宋体"/>
          <w:b w:val="0"/>
          <w:i w:val="0"/>
          <w:sz w:val="21"/>
        </w:rPr>
        <w:t xml:space="preserve">: the eight candidates are supported only by computational evidence at present; future work will conduct IL-1β release inhibition, Caspase-1 activity, and HepG2 cytotoxicity assays. (ii) </w:t>
      </w:r>
      <w:r>
        <w:rPr>
          <w:rFonts w:ascii="Times New Roman" w:hAnsi="Times New Roman" w:eastAsia="宋体"/>
          <w:b/>
          <w:i w:val="0"/>
          <w:sz w:val="21"/>
        </w:rPr>
        <w:t>Applicability-domain restriction of external recall</w:t>
      </w:r>
      <w:r>
        <w:rPr>
          <w:rFonts w:ascii="Times New Roman" w:hAnsi="Times New Roman" w:eastAsia="宋体"/>
          <w:b w:val="0"/>
          <w:i w:val="0"/>
          <w:sz w:val="21"/>
        </w:rPr>
        <w:t xml:space="preserve">: the 2/5 recall on the five published NLRP3 inhibitors reflects the composition of the current public NLRP3 SAR corpus (dominated by MCC950-class diarylsulfonylureas), and no purely data-driven single-target model can be expected to prospectively recover deep-OOD scaffolds such as OLT1177 (β-sulfonyl nitrile) and Oridonin (terpenoid natural product) without training-data expansion. Our AD-gated deployment strategy (Section 5.4) mitigates but does not eliminate this limitation. (iii) </w:t>
      </w:r>
      <w:r>
        <w:rPr>
          <w:rFonts w:ascii="Times New Roman" w:hAnsi="Times New Roman" w:eastAsia="宋体"/>
          <w:b/>
          <w:i w:val="0"/>
          <w:sz w:val="21"/>
        </w:rPr>
        <w:t>Limited dataset size</w:t>
      </w:r>
      <w:r>
        <w:rPr>
          <w:rFonts w:ascii="Times New Roman" w:hAnsi="Times New Roman" w:eastAsia="宋体"/>
          <w:b w:val="0"/>
          <w:i w:val="0"/>
          <w:sz w:val="21"/>
        </w:rPr>
        <w:t xml:space="preserve">: 2,521 molecules is far smaller than general MoleculeNet benchmarks, so generalisation to unseen chemical space remains bounded by data scale; the ~0.010 ROC-AUC gap between scaffold-split (0.9167) and random-split (0.9267) protocols quantifies the residual scaffold-memorisation effect on internal test metrics. (iv) </w:t>
      </w:r>
      <w:r>
        <w:rPr>
          <w:rFonts w:ascii="Times New Roman" w:hAnsi="Times New Roman" w:eastAsia="宋体"/>
          <w:b/>
          <w:i w:val="0"/>
          <w:sz w:val="21"/>
        </w:rPr>
        <w:t>Atomic-level 3D encoding</w:t>
      </w:r>
      <w:r>
        <w:rPr>
          <w:rFonts w:ascii="Times New Roman" w:hAnsi="Times New Roman" w:eastAsia="宋体"/>
          <w:b w:val="0"/>
          <w:i w:val="0"/>
          <w:sz w:val="21"/>
        </w:rPr>
        <w:t xml:space="preserve">: current SphereNet operates only at atomic geometry level, without pharmacophore-level 3D features. (v) </w:t>
      </w:r>
      <w:r>
        <w:rPr>
          <w:rFonts w:ascii="Times New Roman" w:hAnsi="Times New Roman" w:eastAsia="宋体"/>
          <w:b/>
          <w:i w:val="0"/>
          <w:sz w:val="21"/>
        </w:rPr>
        <w:t>DL vs. classical baselines on small data</w:t>
      </w:r>
      <w:r>
        <w:rPr>
          <w:rFonts w:ascii="Times New Roman" w:hAnsi="Times New Roman" w:eastAsia="宋体"/>
          <w:b w:val="0"/>
          <w:i w:val="0"/>
          <w:sz w:val="21"/>
        </w:rPr>
        <w:t>: on very small, high-quality subsets, well-tuned Random Forest / XGBoost baselines can rival STG-Mol on ROC-AUC; STG-Mol's advantage manifests primarily in early-recognition metrics (BEDROC), multi-task ADMET output, and the ability to scale to million-compound libraries through the cascaded architecture.</w:t>
      </w:r>
    </w:p>
    <w:p>
      <w:pPr>
        <w:spacing w:before="240" w:after="80"/>
      </w:pPr>
      <w:r>
        <w:rPr>
          <w:rFonts w:ascii="Times New Roman" w:hAnsi="Times New Roman" w:eastAsia="宋体"/>
          <w:b/>
          <w:i w:val="0"/>
          <w:color w:val="004C80"/>
          <w:sz w:val="24"/>
        </w:rPr>
        <w:t>6.5  Future Directions</w:t>
      </w:r>
    </w:p>
    <w:p>
      <w:pPr>
        <w:spacing w:after="80" w:line="360" w:lineRule="auto"/>
        <w:ind w:firstLine="420"/>
      </w:pPr>
      <w:r>
        <w:rPr>
          <w:rFonts w:ascii="Times New Roman" w:hAnsi="Times New Roman" w:eastAsia="宋体"/>
          <w:b w:val="0"/>
          <w:i w:val="0"/>
          <w:sz w:val="21"/>
        </w:rPr>
        <w:t xml:space="preserve">(1) </w:t>
      </w:r>
      <w:r>
        <w:rPr>
          <w:rFonts w:ascii="Times New Roman" w:hAnsi="Times New Roman" w:eastAsia="宋体"/>
          <w:b/>
          <w:i w:val="0"/>
          <w:sz w:val="21"/>
        </w:rPr>
        <w:t>Wet-lab validation and structural optimisation closed loop</w:t>
      </w:r>
      <w:r>
        <w:rPr>
          <w:rFonts w:ascii="Times New Roman" w:hAnsi="Times New Roman" w:eastAsia="宋体"/>
          <w:b w:val="0"/>
          <w:i w:val="0"/>
          <w:sz w:val="21"/>
        </w:rPr>
        <w:t xml:space="preserve">—immediate in vitro assays for the eight candidates coupled with HepG2 cytotoxicity screening in light of the flagged DILI risk. (2) </w:t>
      </w:r>
      <w:r>
        <w:rPr>
          <w:rFonts w:ascii="Times New Roman" w:hAnsi="Times New Roman" w:eastAsia="宋体"/>
          <w:b/>
          <w:i w:val="0"/>
          <w:sz w:val="21"/>
        </w:rPr>
        <w:t>Pharmacophore-guided 3D encoding</w:t>
      </w:r>
      <w:r>
        <w:rPr>
          <w:rFonts w:ascii="Times New Roman" w:hAnsi="Times New Roman" w:eastAsia="宋体"/>
          <w:b w:val="0"/>
          <w:i w:val="0"/>
          <w:sz w:val="21"/>
        </w:rPr>
        <w:t xml:space="preserve">—augment atomic-level 3D encoding with pharmacophore-level geometric graphs via cross-attention, further enhancing 3D representation. (3) </w:t>
      </w:r>
      <w:r>
        <w:rPr>
          <w:rFonts w:ascii="Times New Roman" w:hAnsi="Times New Roman" w:eastAsia="宋体"/>
          <w:b/>
          <w:i w:val="0"/>
          <w:sz w:val="21"/>
        </w:rPr>
        <w:t>STG-Mol transfer to other inflammatory targets</w:t>
      </w:r>
      <w:r>
        <w:rPr>
          <w:rFonts w:ascii="Times New Roman" w:hAnsi="Times New Roman" w:eastAsia="宋体"/>
          <w:b w:val="0"/>
          <w:i w:val="0"/>
          <w:sz w:val="21"/>
        </w:rPr>
        <w:t xml:space="preserve"> (NLRP1, AIM2, NLRC4, etc.). (4) </w:t>
      </w:r>
      <w:r>
        <w:rPr>
          <w:rFonts w:ascii="Times New Roman" w:hAnsi="Times New Roman" w:eastAsia="宋体"/>
          <w:b/>
          <w:i w:val="0"/>
          <w:sz w:val="21"/>
        </w:rPr>
        <w:t>Target-aware fusion via protein language models</w:t>
      </w:r>
      <w:r>
        <w:rPr>
          <w:rFonts w:ascii="Times New Roman" w:hAnsi="Times New Roman" w:eastAsia="宋体"/>
          <w:b w:val="0"/>
          <w:i w:val="0"/>
          <w:sz w:val="21"/>
        </w:rPr>
        <w:t xml:space="preserve"> (e.g., ESM-2) for target-conditioned adaptive fusion.</w:t>
      </w:r>
    </w:p>
    <w:p>
      <w:pPr>
        <w:spacing w:before="360" w:after="120"/>
      </w:pPr>
      <w:r>
        <w:rPr>
          <w:rFonts w:ascii="Times New Roman" w:hAnsi="Times New Roman" w:eastAsia="宋体"/>
          <w:b/>
          <w:i w:val="0"/>
          <w:color w:val="003366"/>
          <w:sz w:val="28"/>
        </w:rPr>
        <w:t>7  Conclusions</w:t>
      </w:r>
    </w:p>
    <w:p>
      <w:pPr>
        <w:spacing w:after="80" w:line="360" w:lineRule="auto"/>
        <w:ind w:firstLine="420"/>
      </w:pPr>
      <w:r>
        <w:rPr>
          <w:rFonts w:ascii="Times New Roman" w:hAnsi="Times New Roman" w:eastAsia="宋体"/>
          <w:b w:val="0"/>
          <w:i w:val="0"/>
          <w:sz w:val="21"/>
        </w:rPr>
        <w:t xml:space="preserve">This study addresses the unmet clinical need for novel NLRP3 inhibitors by proposing STG-Mol—an in-silico drug-discovery framework integrating hierarchical multi-modal representation learning, joint activity-ADMET multi-task learning, and dual-precision cascaded virtual screening. On our leakage-free NLRP3 dataset (2,520 molecules; five published inhibitors and their Tanimoto ≥ 0.7 neighbours moved to an external hold-out) we report two evaluation protocols side-by-side: under the </w:t>
      </w:r>
      <w:r>
        <w:rPr>
          <w:rFonts w:ascii="Times New Roman" w:hAnsi="Times New Roman" w:eastAsia="宋体"/>
          <w:b/>
          <w:i w:val="0"/>
          <w:sz w:val="21"/>
        </w:rPr>
        <w:t>primary Bemis–Murcko scaffold split</w:t>
      </w:r>
      <w:r>
        <w:rPr>
          <w:rFonts w:ascii="Times New Roman" w:hAnsi="Times New Roman" w:eastAsia="宋体"/>
          <w:b w:val="0"/>
          <w:i w:val="0"/>
          <w:sz w:val="21"/>
        </w:rPr>
        <w:t xml:space="preserve">, STG-Mol's 5-seed mean Test ROC-AUC is </w:t>
      </w:r>
      <w:r>
        <w:rPr>
          <w:rFonts w:ascii="Times New Roman" w:hAnsi="Times New Roman" w:eastAsia="宋体"/>
          <w:b/>
          <w:i w:val="0"/>
          <w:sz w:val="21"/>
        </w:rPr>
        <w:t>0.9167</w:t>
      </w:r>
      <w:r>
        <w:rPr>
          <w:rFonts w:ascii="Times New Roman" w:hAnsi="Times New Roman" w:eastAsia="宋体"/>
          <w:b w:val="0"/>
          <w:i w:val="0"/>
          <w:sz w:val="21"/>
        </w:rPr>
        <w:t xml:space="preserve"> — an honest lower-bound estimate of generalisation to novel scaffolds; under a </w:t>
      </w:r>
      <w:r>
        <w:rPr>
          <w:rFonts w:ascii="Times New Roman" w:hAnsi="Times New Roman" w:eastAsia="宋体"/>
          <w:b/>
          <w:i w:val="0"/>
          <w:sz w:val="21"/>
        </w:rPr>
        <w:t>reference random split</w:t>
      </w:r>
      <w:r>
        <w:rPr>
          <w:rFonts w:ascii="Times New Roman" w:hAnsi="Times New Roman" w:eastAsia="宋体"/>
          <w:b w:val="0"/>
          <w:i w:val="0"/>
          <w:sz w:val="21"/>
        </w:rPr>
        <w:t xml:space="preserve"> on the same curated data, the 5-seed mean is </w:t>
      </w:r>
      <w:r>
        <w:rPr>
          <w:rFonts w:ascii="Times New Roman" w:hAnsi="Times New Roman" w:eastAsia="宋体"/>
          <w:b/>
          <w:i w:val="0"/>
          <w:sz w:val="21"/>
        </w:rPr>
        <w:t>0.9267 ± 0.0107</w:t>
      </w:r>
      <w:r>
        <w:rPr>
          <w:rFonts w:ascii="Times New Roman" w:hAnsi="Times New Roman" w:eastAsia="宋体"/>
          <w:b w:val="0"/>
          <w:i w:val="0"/>
          <w:sz w:val="21"/>
        </w:rPr>
        <w:t xml:space="preserve"> (deployment-time 5-seed ensemble 0.9408). Early-recognition performance is strong (BEDROC@α = 20 = </w:t>
      </w:r>
      <w:r>
        <w:rPr>
          <w:rFonts w:ascii="Times New Roman" w:hAnsi="Times New Roman" w:eastAsia="宋体"/>
          <w:b/>
          <w:i w:val="0"/>
          <w:sz w:val="21"/>
        </w:rPr>
        <w:t>0.9028</w:t>
      </w:r>
      <w:r>
        <w:rPr>
          <w:rFonts w:ascii="Times New Roman" w:hAnsi="Times New Roman" w:eastAsia="宋体"/>
          <w:b w:val="0"/>
          <w:i w:val="0"/>
          <w:sz w:val="21"/>
        </w:rPr>
        <w:t xml:space="preserve">, BEDROC@α = 80 = </w:t>
      </w:r>
      <w:r>
        <w:rPr>
          <w:rFonts w:ascii="Times New Roman" w:hAnsi="Times New Roman" w:eastAsia="宋体"/>
          <w:b/>
          <w:i w:val="0"/>
          <w:sz w:val="21"/>
        </w:rPr>
        <w:t>0.9829</w:t>
      </w:r>
      <w:r>
        <w:rPr>
          <w:rFonts w:ascii="Times New Roman" w:hAnsi="Times New Roman" w:eastAsia="宋体"/>
          <w:b w:val="0"/>
          <w:i w:val="0"/>
          <w:sz w:val="21"/>
        </w:rPr>
        <w:t xml:space="preserve">), and enrichment factors approach the split-dependent theoretical upper bound (EF@5% = </w:t>
      </w:r>
      <w:r>
        <w:rPr>
          <w:rFonts w:ascii="Times New Roman" w:hAnsi="Times New Roman" w:eastAsia="宋体"/>
          <w:b/>
          <w:i w:val="0"/>
          <w:sz w:val="21"/>
        </w:rPr>
        <w:t>3.47</w:t>
      </w:r>
      <w:r>
        <w:rPr>
          <w:rFonts w:ascii="Times New Roman" w:hAnsi="Times New Roman" w:eastAsia="宋体"/>
          <w:b w:val="0"/>
          <w:i w:val="0"/>
          <w:sz w:val="21"/>
        </w:rPr>
        <w:t xml:space="preserve">, EF@10% = </w:t>
      </w:r>
      <w:r>
        <w:rPr>
          <w:rFonts w:ascii="Times New Roman" w:hAnsi="Times New Roman" w:eastAsia="宋体"/>
          <w:b/>
          <w:i w:val="0"/>
          <w:sz w:val="21"/>
        </w:rPr>
        <w:t>3.18</w:t>
      </w:r>
      <w:r>
        <w:rPr>
          <w:rFonts w:ascii="Times New Roman" w:hAnsi="Times New Roman" w:eastAsia="宋体"/>
          <w:b w:val="0"/>
          <w:i w:val="0"/>
          <w:sz w:val="21"/>
        </w:rPr>
        <w:t xml:space="preserve">, EF@20% = </w:t>
      </w:r>
      <w:r>
        <w:rPr>
          <w:rFonts w:ascii="Times New Roman" w:hAnsi="Times New Roman" w:eastAsia="宋体"/>
          <w:b/>
          <w:i w:val="0"/>
          <w:sz w:val="21"/>
        </w:rPr>
        <w:t>3.17</w:t>
      </w:r>
      <w:r>
        <w:rPr>
          <w:rFonts w:ascii="Times New Roman" w:hAnsi="Times New Roman" w:eastAsia="宋体"/>
          <w:b w:val="0"/>
          <w:i w:val="0"/>
          <w:sz w:val="21"/>
        </w:rPr>
        <w:t xml:space="preserve"> on V3-random; EF_max = N/P = 252/67 ≈ 3.76). Rigorous external evaluation on five published NLRP3 inhibitors yields </w:t>
      </w:r>
      <w:r>
        <w:rPr>
          <w:rFonts w:ascii="Times New Roman" w:hAnsi="Times New Roman" w:eastAsia="宋体"/>
          <w:b/>
          <w:i w:val="0"/>
          <w:sz w:val="21"/>
        </w:rPr>
        <w:t>2/5 recall at threshold 0.5</w:t>
      </w:r>
      <w:r>
        <w:rPr>
          <w:rFonts w:ascii="Times New Roman" w:hAnsi="Times New Roman" w:eastAsia="宋体"/>
          <w:b w:val="0"/>
          <w:i w:val="0"/>
          <w:sz w:val="21"/>
        </w:rPr>
        <w:t xml:space="preserve"> with predicted probability monotonically related to Tanimoto distance to training; we interpret this as an </w:t>
      </w:r>
      <w:r>
        <w:rPr>
          <w:rFonts w:ascii="Times New Roman" w:hAnsi="Times New Roman" w:eastAsia="宋体"/>
          <w:b/>
          <w:i w:val="0"/>
          <w:sz w:val="21"/>
        </w:rPr>
        <w:t>AD-aware confidence profile that transparently exposes the applicability-domain limits of any single-target model trained on the current public NLRP3 corpus</w:t>
      </w:r>
      <w:r>
        <w:rPr>
          <w:rFonts w:ascii="Times New Roman" w:hAnsi="Times New Roman" w:eastAsia="宋体"/>
          <w:b w:val="0"/>
          <w:i w:val="0"/>
          <w:sz w:val="21"/>
        </w:rPr>
        <w:t xml:space="preserve">, and propose deploying STG-Mol as an </w:t>
      </w:r>
      <w:r>
        <w:rPr>
          <w:rFonts w:ascii="Times New Roman" w:hAnsi="Times New Roman" w:eastAsia="宋体"/>
          <w:b/>
          <w:i w:val="0"/>
          <w:sz w:val="21"/>
        </w:rPr>
        <w:t>in-AD screener paired with an orthogonal similarity / pharmacophore channel for OOD chemotypes</w:t>
      </w:r>
      <w:r>
        <w:rPr>
          <w:rFonts w:ascii="Times New Roman" w:hAnsi="Times New Roman" w:eastAsia="宋体"/>
          <w:b w:val="0"/>
          <w:i w:val="0"/>
          <w:sz w:val="21"/>
        </w:rPr>
        <w:t xml:space="preserve">. Applied to 8.8 M ZINC compounds under this AD-gated protocol, STG-Mol identifies eight in-silico candidates supported by a multi-level computational evidence chain (docking, 100 ns MD, MMPBSA, joint ADMET), in which the ADMET head pre-emptively flags DILI risk and provides direction for downstream structural optimisation. </w:t>
      </w:r>
      <w:r>
        <w:rPr>
          <w:rFonts w:ascii="Times New Roman" w:hAnsi="Times New Roman" w:eastAsia="宋体"/>
          <w:b/>
          <w:i w:val="0"/>
          <w:sz w:val="21"/>
        </w:rPr>
        <w:t>The contributions of this work are (i) a rigorous dual-protocol (scaffold + random) evaluation framework with fixed a-priori data-curation criteria, (ii) an honest characterisation of the applicability domain and a deployment strategy that respects it, and (iii) advancing AI drug discovery from "activity prediction" to "activity and drug-likeness in parallel".</w:t>
      </w:r>
      <w:r>
        <w:rPr>
          <w:rFonts w:ascii="Times New Roman" w:hAnsi="Times New Roman" w:eastAsia="宋体"/>
          <w:b w:val="0"/>
          <w:i w:val="0"/>
          <w:sz w:val="21"/>
        </w:rPr>
        <w:t xml:space="preserve"> Prospective wet-lab validation of the eight candidates is planned as immediate future work. Code and data are publicly available.</w:t>
      </w:r>
    </w:p>
    <w:p>
      <w:pPr>
        <w:spacing w:before="360" w:after="120"/>
      </w:pPr>
      <w:r>
        <w:rPr>
          <w:rFonts w:ascii="Times New Roman" w:hAnsi="Times New Roman" w:eastAsia="宋体"/>
          <w:b/>
          <w:i w:val="0"/>
          <w:color w:val="003366"/>
          <w:sz w:val="28"/>
        </w:rPr>
        <w:t>References</w:t>
      </w:r>
    </w:p>
    <w:p>
      <w:pPr>
        <w:spacing w:after="80" w:line="360" w:lineRule="auto"/>
      </w:pPr>
      <w:r>
        <w:rPr>
          <w:rFonts w:ascii="Times New Roman" w:hAnsi="Times New Roman" w:eastAsia="宋体"/>
          <w:b w:val="0"/>
          <w:i w:val="0"/>
          <w:sz w:val="21"/>
        </w:rPr>
        <w:t>[1] Swanson KV, Deng M, Ting JP. The NLRP3 inflammasome: molecular activation and regulation to therapeutics. Nat Rev Immunol. 2019;19(8):477-489. doi:10.1038/s41577-019-0165-0. PMID: 31036962.</w:t>
      </w:r>
    </w:p>
    <w:p>
      <w:pPr>
        <w:spacing w:after="80" w:line="360" w:lineRule="auto"/>
      </w:pPr>
      <w:r>
        <w:rPr>
          <w:rFonts w:ascii="Times New Roman" w:hAnsi="Times New Roman" w:eastAsia="宋体"/>
          <w:b w:val="0"/>
          <w:i w:val="0"/>
          <w:sz w:val="21"/>
        </w:rPr>
        <w:t>[2] Vandanmagsar B, Youm YH, Ravussin A, et al. The NLRP3 inflammasome instigates obesity-induced inflammation and insulin resistance. Nat Med. 2011;17(2):179-188. PMID: 21217695.</w:t>
      </w:r>
    </w:p>
    <w:p>
      <w:pPr>
        <w:spacing w:after="80" w:line="360" w:lineRule="auto"/>
      </w:pPr>
      <w:r>
        <w:rPr>
          <w:rFonts w:ascii="Times New Roman" w:hAnsi="Times New Roman" w:eastAsia="宋体"/>
          <w:b w:val="0"/>
          <w:i w:val="0"/>
          <w:sz w:val="21"/>
        </w:rPr>
        <w:t>[3] Duewell P, Kono H, Rayner KJ, et al. NLRP3 inflammasomes are required for atherogenesis and activated by cholesterol crystals. Nature. 2010;464(7293):1357-1361. PMID: 20428172.</w:t>
      </w:r>
    </w:p>
    <w:p>
      <w:pPr>
        <w:spacing w:after="80" w:line="360" w:lineRule="auto"/>
      </w:pPr>
      <w:r>
        <w:rPr>
          <w:rFonts w:ascii="Times New Roman" w:hAnsi="Times New Roman" w:eastAsia="宋体"/>
          <w:b w:val="0"/>
          <w:i w:val="0"/>
          <w:sz w:val="21"/>
        </w:rPr>
        <w:t>[4] Heneka MT, Kummer MP, Stutz A, et al. NLRP3 is activated in Alzheimer's disease and contributes to pathology in APP/PS1 mice. Nature. 2013;493(7434):674-678. PMID: 23254930.</w:t>
      </w:r>
    </w:p>
    <w:p>
      <w:pPr>
        <w:spacing w:after="80" w:line="360" w:lineRule="auto"/>
      </w:pPr>
      <w:r>
        <w:rPr>
          <w:rFonts w:ascii="Times New Roman" w:hAnsi="Times New Roman" w:eastAsia="宋体"/>
          <w:b w:val="0"/>
          <w:i w:val="0"/>
          <w:sz w:val="21"/>
        </w:rPr>
        <w:t>[5] Gordon R, Albornoz EA, Christie DC, et al. Inflammasome inhibition prevents α-synuclein pathology and dopaminergic neurodegeneration in mice. Sci Transl Med. 2018;10(465):eaah4066. PMID: 30381407.</w:t>
      </w:r>
    </w:p>
    <w:p>
      <w:pPr>
        <w:spacing w:after="80" w:line="360" w:lineRule="auto"/>
      </w:pPr>
      <w:r>
        <w:rPr>
          <w:rFonts w:ascii="Times New Roman" w:hAnsi="Times New Roman" w:eastAsia="宋体"/>
          <w:b w:val="0"/>
          <w:i w:val="0"/>
          <w:sz w:val="21"/>
        </w:rPr>
        <w:t>[6] Martinon F, Pétrilli V, Mayor A, Tardivel A, Tschopp J. Gout-associated uric acid crystals activate the NALP3 inflammasome. Nature. 2006;440(7081):237-241. PMID: 16407889.</w:t>
      </w:r>
    </w:p>
    <w:p>
      <w:pPr>
        <w:spacing w:after="80" w:line="360" w:lineRule="auto"/>
      </w:pPr>
      <w:r>
        <w:rPr>
          <w:rFonts w:ascii="Times New Roman" w:hAnsi="Times New Roman" w:eastAsia="宋体"/>
          <w:b w:val="0"/>
          <w:i w:val="0"/>
          <w:sz w:val="21"/>
        </w:rPr>
        <w:t>[7] Hoffman HM, Mueller JL, Broide DH, Wanderer AA, Kolodner RD. Mutation of a new gene encoding a putative pyrin-like protein causes familial cold autoinflammatory syndrome and Muckle-Wells syndrome. Nat Genet. 2001;29(3):301-305. PMID: 11687797.</w:t>
      </w:r>
    </w:p>
    <w:p>
      <w:pPr>
        <w:spacing w:after="80" w:line="360" w:lineRule="auto"/>
      </w:pPr>
      <w:r>
        <w:rPr>
          <w:rFonts w:ascii="Times New Roman" w:hAnsi="Times New Roman" w:eastAsia="宋体"/>
          <w:b w:val="0"/>
          <w:i w:val="0"/>
          <w:sz w:val="21"/>
        </w:rPr>
        <w:t>[8] Mangan MSJ, Olhava EJ, Roush WR, Seidel HM, Glick GD, Latz E. Targeting the NLRP3 inflammasome in inflammatory diseases. Nat Rev Drug Discov. 2018;17(9):588-606. PMID: 30026521.</w:t>
      </w:r>
    </w:p>
    <w:p>
      <w:pPr>
        <w:spacing w:after="80" w:line="360" w:lineRule="auto"/>
      </w:pPr>
      <w:r>
        <w:rPr>
          <w:rFonts w:ascii="Times New Roman" w:hAnsi="Times New Roman" w:eastAsia="宋体"/>
          <w:b w:val="0"/>
          <w:i w:val="0"/>
          <w:sz w:val="21"/>
        </w:rPr>
        <w:t>[9] Coll RC, Robertson AAB, Chae JJ, et al. A small-molecule inhibitor of the NLRP3 inflammasome for the treatment of inflammatory diseases. Nat Med. 2015;21(3):248-255. PMID: 25686105.</w:t>
      </w:r>
    </w:p>
    <w:p>
      <w:pPr>
        <w:spacing w:after="80" w:line="360" w:lineRule="auto"/>
      </w:pPr>
      <w:r>
        <w:rPr>
          <w:rFonts w:ascii="Times New Roman" w:hAnsi="Times New Roman" w:eastAsia="宋体"/>
          <w:b w:val="0"/>
          <w:i w:val="0"/>
          <w:sz w:val="21"/>
        </w:rPr>
        <w:t>[10] Marchetti C, Swartzwelter B, Gamboni F, et al. OLT1177, a β-sulfonyl nitrile compound, safe in humans, inhibits the NLRP3 inflammasome and reverses the metabolic cost of inflammation. PNAS. 2018;115(7):E1530-E1539. PMID: 29378945.</w:t>
      </w:r>
    </w:p>
    <w:p>
      <w:pPr>
        <w:spacing w:after="80" w:line="360" w:lineRule="auto"/>
      </w:pPr>
      <w:r>
        <w:rPr>
          <w:rFonts w:ascii="Times New Roman" w:hAnsi="Times New Roman" w:eastAsia="宋体"/>
          <w:b w:val="0"/>
          <w:i w:val="0"/>
          <w:sz w:val="21"/>
        </w:rPr>
        <w:t>[11] Jiang H, He H, Chen Y, et al. Identification of a selective and direct NLRP3 inhibitor to treat inflammatory disorders. J Exp Med. 2017;214(11):3219-3238 (CY-09). PMID: 29246934.</w:t>
      </w:r>
    </w:p>
    <w:p>
      <w:pPr>
        <w:spacing w:after="80" w:line="360" w:lineRule="auto"/>
      </w:pPr>
      <w:r>
        <w:rPr>
          <w:rFonts w:ascii="Times New Roman" w:hAnsi="Times New Roman" w:eastAsia="宋体"/>
          <w:b w:val="0"/>
          <w:i w:val="0"/>
          <w:sz w:val="21"/>
        </w:rPr>
        <w:t>[12] He H, Jiang H, Chen Y, et al. Oridonin is a covalent NLRP3 inhibitor with strong anti-inflammasome activity. Nat Commun. 2018;9(1):2550. PMID: 29959322.</w:t>
      </w:r>
    </w:p>
    <w:p>
      <w:pPr>
        <w:spacing w:after="80" w:line="360" w:lineRule="auto"/>
      </w:pPr>
      <w:r>
        <w:rPr>
          <w:rFonts w:ascii="Times New Roman" w:hAnsi="Times New Roman" w:eastAsia="宋体"/>
          <w:b w:val="0"/>
          <w:i w:val="0"/>
          <w:sz w:val="21"/>
        </w:rPr>
        <w:t>[13] Huang Y, Jiang H, Chen Y, et al. Tranilast directly targets NLRP3 to treat inflammasome-driven diseases. EMBO Mol Med. 2018;10(4):e8689. PMID: 29531200.</w:t>
      </w:r>
    </w:p>
    <w:p>
      <w:pPr>
        <w:spacing w:after="80" w:line="360" w:lineRule="auto"/>
      </w:pPr>
      <w:r>
        <w:rPr>
          <w:rFonts w:ascii="Times New Roman" w:hAnsi="Times New Roman" w:eastAsia="宋体"/>
          <w:b w:val="0"/>
          <w:i w:val="0"/>
          <w:sz w:val="21"/>
        </w:rPr>
        <w:t>[14] Cocco M, Miglio G, Giorgis M, et al. Design, synthesis, and evaluation of acrylate derivatives as NLRP3 inflammasome inhibitors (INF39/INF58). J Med Chem. 2017;60(9):3656-3671. PMID: 28489380.</w:t>
      </w:r>
    </w:p>
    <w:p>
      <w:pPr>
        <w:spacing w:after="80" w:line="360" w:lineRule="auto"/>
      </w:pPr>
      <w:r>
        <w:rPr>
          <w:rFonts w:ascii="Times New Roman" w:hAnsi="Times New Roman" w:eastAsia="宋体"/>
          <w:b w:val="0"/>
          <w:i w:val="0"/>
          <w:sz w:val="21"/>
        </w:rPr>
        <w:t>[15] Perregaux DG, McNiff P, Laliberte R, et al. Identification and characterization of a novel class of interleukin-1 post-translational processing inhibitors (CRID3/MCC950 precursor). J Pharmacol Exp Ther. 2001;299(1):187-197. PMID: 11561079.</w:t>
      </w:r>
    </w:p>
    <w:p>
      <w:pPr>
        <w:spacing w:after="80" w:line="360" w:lineRule="auto"/>
      </w:pPr>
      <w:r>
        <w:rPr>
          <w:rFonts w:ascii="Times New Roman" w:hAnsi="Times New Roman" w:eastAsia="宋体"/>
          <w:b w:val="0"/>
          <w:i w:val="0"/>
          <w:sz w:val="21"/>
        </w:rPr>
        <w:t>[16] Jaeger S, Fulle S, Turk S. Mol2vec: unsupervised machine learning approach with chemical intuition. J Chem Inf Model. 2018;58(1):27-35. PMID: 29268609.</w:t>
      </w:r>
    </w:p>
    <w:p>
      <w:pPr>
        <w:spacing w:after="80" w:line="360" w:lineRule="auto"/>
      </w:pPr>
      <w:r>
        <w:rPr>
          <w:rFonts w:ascii="Times New Roman" w:hAnsi="Times New Roman" w:eastAsia="宋体"/>
          <w:b w:val="0"/>
          <w:i w:val="0"/>
          <w:sz w:val="21"/>
        </w:rPr>
        <w:t>[17] Chithrananda S, Grand G, Ramsundar B. ChemBERTa: large-scale self-supervised pretraining for molecular property prediction. arXiv:2010.09885. 2020.</w:t>
      </w:r>
    </w:p>
    <w:p>
      <w:pPr>
        <w:spacing w:after="80" w:line="360" w:lineRule="auto"/>
      </w:pPr>
      <w:r>
        <w:rPr>
          <w:rFonts w:ascii="Times New Roman" w:hAnsi="Times New Roman" w:eastAsia="宋体"/>
          <w:b w:val="0"/>
          <w:i w:val="0"/>
          <w:sz w:val="21"/>
        </w:rPr>
        <w:t>[18] Rogers D, Hahn M. Extended-connectivity fingerprints. J Chem Inf Model. 2010;50(5):742-754. PMID: 20426451.</w:t>
      </w:r>
    </w:p>
    <w:p>
      <w:pPr>
        <w:spacing w:after="80" w:line="360" w:lineRule="auto"/>
      </w:pPr>
      <w:r>
        <w:rPr>
          <w:rFonts w:ascii="Times New Roman" w:hAnsi="Times New Roman" w:eastAsia="宋体"/>
          <w:b w:val="0"/>
          <w:i w:val="0"/>
          <w:sz w:val="21"/>
        </w:rPr>
        <w:t>[19] Kipf TN, Welling M. Semi-supervised classification with graph convolutional networks. ICLR. 2017. arXiv:1609.02907.</w:t>
      </w:r>
    </w:p>
    <w:p>
      <w:pPr>
        <w:spacing w:after="80" w:line="360" w:lineRule="auto"/>
      </w:pPr>
      <w:r>
        <w:rPr>
          <w:rFonts w:ascii="Times New Roman" w:hAnsi="Times New Roman" w:eastAsia="宋体"/>
          <w:b w:val="0"/>
          <w:i w:val="0"/>
          <w:sz w:val="21"/>
        </w:rPr>
        <w:t>[20] Veličković P, Cucurull G, Casanova A, Romero A, Liò P, Bengio Y. Graph attention networks. ICLR. 2018. arXiv:1710.10903.</w:t>
      </w:r>
    </w:p>
    <w:p>
      <w:pPr>
        <w:spacing w:after="80" w:line="360" w:lineRule="auto"/>
      </w:pPr>
      <w:r>
        <w:rPr>
          <w:rFonts w:ascii="Times New Roman" w:hAnsi="Times New Roman" w:eastAsia="宋体"/>
          <w:b w:val="0"/>
          <w:i w:val="0"/>
          <w:sz w:val="21"/>
        </w:rPr>
        <w:t>[21] Yang K, Swanson K, Jin W, et al. Analyzing learned molecular representations for property prediction (D-MPNN). J Chem Inf Model. 2019;59(8):3370-3388. PMID: 31361484.</w:t>
      </w:r>
    </w:p>
    <w:p>
      <w:pPr>
        <w:spacing w:after="80" w:line="360" w:lineRule="auto"/>
      </w:pPr>
      <w:r>
        <w:rPr>
          <w:rFonts w:ascii="Times New Roman" w:hAnsi="Times New Roman" w:eastAsia="宋体"/>
          <w:b w:val="0"/>
          <w:i w:val="0"/>
          <w:sz w:val="21"/>
        </w:rPr>
        <w:t>[22] Xiong Z, Wang D, Liu X, et al. Pushing the boundaries of molecular representation for drug discovery with the graph attention mechanism (AttentiveFP). J Med Chem. 2020;63(16):8749-8760. PMID: 31408336.</w:t>
      </w:r>
    </w:p>
    <w:p>
      <w:pPr>
        <w:spacing w:after="80" w:line="360" w:lineRule="auto"/>
      </w:pPr>
      <w:r>
        <w:rPr>
          <w:rFonts w:ascii="Times New Roman" w:hAnsi="Times New Roman" w:eastAsia="宋体"/>
          <w:b w:val="0"/>
          <w:i w:val="0"/>
          <w:sz w:val="21"/>
        </w:rPr>
        <w:t>[23] Gilmer J, Schoenholz SS, Riley PF, Vinyals O, Dahl GE. Neural message passing for quantum chemistry (MPNN). ICML. 2017. arXiv:1704.01212.</w:t>
      </w:r>
    </w:p>
    <w:p>
      <w:pPr>
        <w:spacing w:after="80" w:line="360" w:lineRule="auto"/>
      </w:pPr>
      <w:r>
        <w:rPr>
          <w:rFonts w:ascii="Times New Roman" w:hAnsi="Times New Roman" w:eastAsia="宋体"/>
          <w:b w:val="0"/>
          <w:i w:val="0"/>
          <w:sz w:val="21"/>
        </w:rPr>
        <w:t>[24] Schütt KT, Sauceda HE, Kindermans PJ, Tkatchenko A, Müller KR. SchNet — a deep learning architecture for molecules and materials. J Chem Phys. 2018;148(24):241722. PMID: 29960303.</w:t>
      </w:r>
    </w:p>
    <w:p>
      <w:pPr>
        <w:spacing w:after="80" w:line="360" w:lineRule="auto"/>
      </w:pPr>
      <w:r>
        <w:rPr>
          <w:rFonts w:ascii="Times New Roman" w:hAnsi="Times New Roman" w:eastAsia="宋体"/>
          <w:b w:val="0"/>
          <w:i w:val="0"/>
          <w:sz w:val="21"/>
        </w:rPr>
        <w:t>[25] Klicpera J, Groß J, Günnemann S. Directional message passing for molecular graphs (DimeNet). ICLR. 2020. arXiv:2003.03123.</w:t>
      </w:r>
    </w:p>
    <w:p>
      <w:pPr>
        <w:spacing w:after="80" w:line="360" w:lineRule="auto"/>
      </w:pPr>
      <w:r>
        <w:rPr>
          <w:rFonts w:ascii="Times New Roman" w:hAnsi="Times New Roman" w:eastAsia="宋体"/>
          <w:b w:val="0"/>
          <w:i w:val="0"/>
          <w:sz w:val="21"/>
        </w:rPr>
        <w:t>[26] Liu Y, Wang L, Liu M, et al. Spherical message passing for 3D graph networks (SphereNet). ICLR. 2022. arXiv:2102.05013.</w:t>
      </w:r>
    </w:p>
    <w:p>
      <w:pPr>
        <w:spacing w:after="80" w:line="360" w:lineRule="auto"/>
      </w:pPr>
      <w:r>
        <w:rPr>
          <w:rFonts w:ascii="Times New Roman" w:hAnsi="Times New Roman" w:eastAsia="宋体"/>
          <w:b w:val="0"/>
          <w:i w:val="0"/>
          <w:sz w:val="21"/>
        </w:rPr>
        <w:t>[27] Satorras VG, Hoogeboom E, Welling M. E(n) equivariant graph neural networks (EGNN). ICML. 2021. arXiv:2102.09844.</w:t>
      </w:r>
    </w:p>
    <w:p>
      <w:pPr>
        <w:spacing w:after="80" w:line="360" w:lineRule="auto"/>
      </w:pPr>
      <w:r>
        <w:rPr>
          <w:rFonts w:ascii="Times New Roman" w:hAnsi="Times New Roman" w:eastAsia="宋体"/>
          <w:b w:val="0"/>
          <w:i w:val="0"/>
          <w:sz w:val="21"/>
        </w:rPr>
        <w:t>[28] Schütt KT, Unke O, Gastegger M. Equivariant message passing for the prediction of tensorial properties and molecular spectra (PaiNN). ICML. 2021. arXiv:2102.03150.</w:t>
      </w:r>
    </w:p>
    <w:p>
      <w:pPr>
        <w:spacing w:after="80" w:line="360" w:lineRule="auto"/>
      </w:pPr>
      <w:r>
        <w:rPr>
          <w:rFonts w:ascii="Times New Roman" w:hAnsi="Times New Roman" w:eastAsia="宋体"/>
          <w:b w:val="0"/>
          <w:i w:val="0"/>
          <w:sz w:val="21"/>
        </w:rPr>
        <w:t>[29] Ross J, Belgodere B, Chenthamarakshan V, et al. Large-scale chemical language representations capture molecular structure and properties (MolFormer). Nat Mach Intell. 2022;4:1256-1264.</w:t>
      </w:r>
    </w:p>
    <w:p>
      <w:pPr>
        <w:spacing w:after="80" w:line="360" w:lineRule="auto"/>
      </w:pPr>
      <w:r>
        <w:rPr>
          <w:rFonts w:ascii="Times New Roman" w:hAnsi="Times New Roman" w:eastAsia="宋体"/>
          <w:b w:val="0"/>
          <w:i w:val="0"/>
          <w:sz w:val="21"/>
        </w:rPr>
        <w:t>[30] Zhou G, Gao Z, Ding Q, et al. Uni-Mol: a universal 3D molecular representation learning framework. ICLR. 2023.</w:t>
      </w:r>
    </w:p>
    <w:p>
      <w:pPr>
        <w:spacing w:after="80" w:line="360" w:lineRule="auto"/>
      </w:pPr>
      <w:r>
        <w:rPr>
          <w:rFonts w:ascii="Times New Roman" w:hAnsi="Times New Roman" w:eastAsia="宋体"/>
          <w:b w:val="0"/>
          <w:i w:val="0"/>
          <w:sz w:val="21"/>
        </w:rPr>
        <w:t>[31] Wang Y, Wang J, Cao Z, Barati Farimani A. Molecular contrastive learning of representations via graph neural networks (MolCLR). Nat Mach Intell. 2022;4(3):279-287.</w:t>
      </w:r>
    </w:p>
    <w:p>
      <w:pPr>
        <w:spacing w:after="80" w:line="360" w:lineRule="auto"/>
      </w:pPr>
      <w:r>
        <w:rPr>
          <w:rFonts w:ascii="Times New Roman" w:hAnsi="Times New Roman" w:eastAsia="宋体"/>
          <w:b w:val="0"/>
          <w:i w:val="0"/>
          <w:sz w:val="21"/>
        </w:rPr>
        <w:t>[32] Fang X, Liu L, Lei J, et al. Geometry-enhanced molecular representation learning for property prediction (GEM). Nat Mach Intell. 2022;4:127-134.</w:t>
      </w:r>
    </w:p>
    <w:p>
      <w:pPr>
        <w:spacing w:after="80" w:line="360" w:lineRule="auto"/>
      </w:pPr>
      <w:r>
        <w:rPr>
          <w:rFonts w:ascii="Times New Roman" w:hAnsi="Times New Roman" w:eastAsia="宋体"/>
          <w:b w:val="0"/>
          <w:i w:val="0"/>
          <w:sz w:val="21"/>
        </w:rPr>
        <w:t>[33] Li H, Zhao D, Zeng J. KPGT: knowledge-guided pretraining of graph transformer for molecular property prediction. KDD. 2022:857-867.</w:t>
      </w:r>
    </w:p>
    <w:p>
      <w:pPr>
        <w:spacing w:after="80" w:line="360" w:lineRule="auto"/>
      </w:pPr>
      <w:r>
        <w:rPr>
          <w:rFonts w:ascii="Times New Roman" w:hAnsi="Times New Roman" w:eastAsia="宋体"/>
          <w:b w:val="0"/>
          <w:i w:val="0"/>
          <w:sz w:val="21"/>
        </w:rPr>
        <w:t>[34] Xia J, Zhu Y, Du Y, Li S. A systematic survey of molecular pre-trained models. arXiv:2210.16484. 2022.</w:t>
      </w:r>
    </w:p>
    <w:p>
      <w:pPr>
        <w:spacing w:after="80" w:line="360" w:lineRule="auto"/>
      </w:pPr>
      <w:r>
        <w:rPr>
          <w:rFonts w:ascii="Times New Roman" w:hAnsi="Times New Roman" w:eastAsia="宋体"/>
          <w:b w:val="0"/>
          <w:i w:val="0"/>
          <w:sz w:val="21"/>
        </w:rPr>
        <w:t>[35] Winter R, Montanari F, Noé F, Clevert DA. Learning continuous and data-driven molecular descriptors by translating equivalent chemical representations. Chem Sci. 2019;10(6):1692-1701. PMID: 30842834.</w:t>
      </w:r>
    </w:p>
    <w:p>
      <w:pPr>
        <w:spacing w:after="80" w:line="360" w:lineRule="auto"/>
      </w:pPr>
      <w:r>
        <w:rPr>
          <w:rFonts w:ascii="Times New Roman" w:hAnsi="Times New Roman" w:eastAsia="宋体"/>
          <w:b w:val="0"/>
          <w:i w:val="0"/>
          <w:sz w:val="21"/>
        </w:rPr>
        <w:t>[36] Stärk H, Beaini D, Corso G, et al. 3D InfoMax improves GNNs for molecular property prediction. ICML. 2022.</w:t>
      </w:r>
    </w:p>
    <w:p>
      <w:pPr>
        <w:spacing w:after="80" w:line="360" w:lineRule="auto"/>
      </w:pPr>
      <w:r>
        <w:rPr>
          <w:rFonts w:ascii="Times New Roman" w:hAnsi="Times New Roman" w:eastAsia="宋体"/>
          <w:b w:val="0"/>
          <w:i w:val="0"/>
          <w:sz w:val="21"/>
        </w:rPr>
        <w:t>[37] Zhu J, Xia Y, Wu L, et al. Unified 2D and 3D pre-training of molecular representations (GraphMVP). KDD. 2022.</w:t>
      </w:r>
    </w:p>
    <w:p>
      <w:pPr>
        <w:spacing w:after="80" w:line="360" w:lineRule="auto"/>
      </w:pPr>
      <w:r>
        <w:rPr>
          <w:rFonts w:ascii="Times New Roman" w:hAnsi="Times New Roman" w:eastAsia="宋体"/>
          <w:b w:val="0"/>
          <w:i w:val="0"/>
          <w:sz w:val="21"/>
        </w:rPr>
        <w:t>[38] Rong Y, Bian Y, Xu T, et al. Self-supervised graph transformer on large-scale molecular data (GROVER). NeurIPS. 2020.</w:t>
      </w:r>
    </w:p>
    <w:p>
      <w:pPr>
        <w:spacing w:after="80" w:line="360" w:lineRule="auto"/>
      </w:pPr>
      <w:r>
        <w:rPr>
          <w:rFonts w:ascii="Times New Roman" w:hAnsi="Times New Roman" w:eastAsia="宋体"/>
          <w:b w:val="0"/>
          <w:i w:val="0"/>
          <w:sz w:val="21"/>
        </w:rPr>
        <w:t>[39] Hu W, Liu B, Gomes J, et al. Strategies for pre-training graph neural networks. ICLR. 2020. arXiv:1905.12265.</w:t>
      </w:r>
    </w:p>
    <w:p>
      <w:pPr>
        <w:spacing w:after="80" w:line="360" w:lineRule="auto"/>
      </w:pPr>
      <w:r>
        <w:rPr>
          <w:rFonts w:ascii="Times New Roman" w:hAnsi="Times New Roman" w:eastAsia="宋体"/>
          <w:b w:val="0"/>
          <w:i w:val="0"/>
          <w:sz w:val="21"/>
        </w:rPr>
        <w:t>[40] You Y, Chen T, Sui Y, Chen T, Wang Z, Shen Y. Graph contrastive learning with augmentations. NeurIPS. 2020.</w:t>
      </w:r>
    </w:p>
    <w:p>
      <w:pPr>
        <w:spacing w:after="80" w:line="360" w:lineRule="auto"/>
      </w:pPr>
      <w:r>
        <w:rPr>
          <w:rFonts w:ascii="Times New Roman" w:hAnsi="Times New Roman" w:eastAsia="宋体"/>
          <w:b w:val="0"/>
          <w:i w:val="0"/>
          <w:sz w:val="21"/>
        </w:rPr>
        <w:t>[41] Mayr A, Klambauer G, Unterthiner T, et al. Large-scale comparison of machine learning methods for drug target prediction on ChEMBL. Chem Sci. 2018;9(24):5441-5451. PMID: 30155234.</w:t>
      </w:r>
    </w:p>
    <w:p>
      <w:pPr>
        <w:spacing w:after="80" w:line="360" w:lineRule="auto"/>
      </w:pPr>
      <w:r>
        <w:rPr>
          <w:rFonts w:ascii="Times New Roman" w:hAnsi="Times New Roman" w:eastAsia="宋体"/>
          <w:b w:val="0"/>
          <w:i w:val="0"/>
          <w:sz w:val="21"/>
        </w:rPr>
        <w:t>[42] Ramsundar B, Kearnes S, Riley P, Webster D, Konerding D, Pande V. Massively multitask networks for drug discovery. arXiv:1502.02072. 2015.</w:t>
      </w:r>
    </w:p>
    <w:p>
      <w:pPr>
        <w:spacing w:after="80" w:line="360" w:lineRule="auto"/>
      </w:pPr>
      <w:r>
        <w:rPr>
          <w:rFonts w:ascii="Times New Roman" w:hAnsi="Times New Roman" w:eastAsia="宋体"/>
          <w:b w:val="0"/>
          <w:i w:val="0"/>
          <w:sz w:val="21"/>
        </w:rPr>
        <w:t>[43] Wenzel J, Matter H, Schmidt F. Predictive multi-task deep neural network models for ADME-Tox properties. J Chem Inf Model. 2019;59(3):1253-1268. PMID: 30763078.</w:t>
      </w:r>
    </w:p>
    <w:p>
      <w:pPr>
        <w:spacing w:after="80" w:line="360" w:lineRule="auto"/>
      </w:pPr>
      <w:r>
        <w:rPr>
          <w:rFonts w:ascii="Times New Roman" w:hAnsi="Times New Roman" w:eastAsia="宋体"/>
          <w:b w:val="0"/>
          <w:i w:val="0"/>
          <w:sz w:val="21"/>
        </w:rPr>
        <w:t>[44] Feinberg EN, Sur D, Wu Z, et al. PotentialNet for molecular property prediction. ACS Cent Sci. 2018;4(11):1520-1530. PMID: 30555904.</w:t>
      </w:r>
    </w:p>
    <w:p>
      <w:pPr>
        <w:spacing w:after="80" w:line="360" w:lineRule="auto"/>
      </w:pPr>
      <w:r>
        <w:rPr>
          <w:rFonts w:ascii="Times New Roman" w:hAnsi="Times New Roman" w:eastAsia="宋体"/>
          <w:b w:val="0"/>
          <w:i w:val="0"/>
          <w:sz w:val="21"/>
        </w:rPr>
        <w:t>[45] Ruder S. An overview of multi-task learning in deep neural networks. arXiv:1706.05098. 2017.</w:t>
      </w:r>
    </w:p>
    <w:p>
      <w:pPr>
        <w:spacing w:after="80" w:line="360" w:lineRule="auto"/>
      </w:pPr>
      <w:r>
        <w:rPr>
          <w:rFonts w:ascii="Times New Roman" w:hAnsi="Times New Roman" w:eastAsia="宋体"/>
          <w:b w:val="0"/>
          <w:i w:val="0"/>
          <w:sz w:val="21"/>
        </w:rPr>
        <w:t>[46] Sheridan RP. Time-split cross-validation as a method for estimating the goodness of prospective prediction. J Chem Inf Model. 2013;53(4):783-790. PMID: 23521722.</w:t>
      </w:r>
    </w:p>
    <w:p>
      <w:pPr>
        <w:spacing w:after="80" w:line="360" w:lineRule="auto"/>
      </w:pPr>
      <w:r>
        <w:rPr>
          <w:rFonts w:ascii="Times New Roman" w:hAnsi="Times New Roman" w:eastAsia="宋体"/>
          <w:b w:val="0"/>
          <w:i w:val="0"/>
          <w:sz w:val="21"/>
        </w:rPr>
        <w:t>[47] Yang K, Swanson K, Jin W, et al. Analyzing learned molecular representations for property prediction. J Chem Inf Model. 2019;59(8):3370-3388 [same as ref 21; also covers scaffold split benchmark].</w:t>
      </w:r>
    </w:p>
    <w:p>
      <w:pPr>
        <w:spacing w:after="80" w:line="360" w:lineRule="auto"/>
      </w:pPr>
      <w:r>
        <w:rPr>
          <w:rFonts w:ascii="Times New Roman" w:hAnsi="Times New Roman" w:eastAsia="宋体"/>
          <w:b w:val="0"/>
          <w:i w:val="0"/>
          <w:sz w:val="21"/>
        </w:rPr>
        <w:t>[48] Roy K, Kar S, Ambure P. On a simple approach for determining applicability domain of QSAR models. Chemom Intell Lab Syst. 2015;145:22-29.</w:t>
      </w:r>
    </w:p>
    <w:p>
      <w:pPr>
        <w:spacing w:after="80" w:line="360" w:lineRule="auto"/>
      </w:pPr>
      <w:r>
        <w:rPr>
          <w:rFonts w:ascii="Times New Roman" w:hAnsi="Times New Roman" w:eastAsia="宋体"/>
          <w:b w:val="0"/>
          <w:i w:val="0"/>
          <w:sz w:val="21"/>
        </w:rPr>
        <w:t>[49] Cherkasov A, Muratov EN, Fourches D, et al. QSAR modeling: where have you been? Where are you going to? J Med Chem. 2014;57(12):4977-5010. PMID: 24351051.</w:t>
      </w:r>
    </w:p>
    <w:p>
      <w:pPr>
        <w:spacing w:after="80" w:line="360" w:lineRule="auto"/>
      </w:pPr>
      <w:r>
        <w:rPr>
          <w:rFonts w:ascii="Times New Roman" w:hAnsi="Times New Roman" w:eastAsia="宋体"/>
          <w:b w:val="0"/>
          <w:i w:val="0"/>
          <w:sz w:val="21"/>
        </w:rPr>
        <w:t>[50] Nettles JH, Jenkins JL, Bender A, Deng Z, Davies JW, Glick M. Bridging chemical and biological space: target fishing using 2D and 3D molecular descriptors. J Med Chem. 2006;49(23):6802-6810. PMID: 17154510.</w:t>
      </w:r>
    </w:p>
    <w:p>
      <w:pPr>
        <w:spacing w:after="80" w:line="360" w:lineRule="auto"/>
      </w:pPr>
      <w:r>
        <w:rPr>
          <w:rFonts w:ascii="Times New Roman" w:hAnsi="Times New Roman" w:eastAsia="宋体"/>
          <w:b w:val="0"/>
          <w:i w:val="0"/>
          <w:sz w:val="21"/>
        </w:rPr>
        <w:t>[51] Truchon JF, Bayly CI. Evaluating virtual screening methods: good and bad metrics for the early recognition problem. J Chem Inf Model. 2007;47(2):488-508. PMID: 17288412.</w:t>
      </w:r>
    </w:p>
    <w:p>
      <w:pPr>
        <w:spacing w:after="80" w:line="360" w:lineRule="auto"/>
      </w:pPr>
      <w:r>
        <w:rPr>
          <w:rFonts w:ascii="Times New Roman" w:hAnsi="Times New Roman" w:eastAsia="宋体"/>
          <w:b w:val="0"/>
          <w:i w:val="0"/>
          <w:sz w:val="21"/>
        </w:rPr>
        <w:t>[52] Mysinger MM, Carchia M, Irwin JJ, Shoichet BK. Directory of useful decoys, enhanced (DUD-E): better ligands and decoys for better benchmarking. J Med Chem. 2012;55(14):6582-6594. PMID: 22716043.</w:t>
      </w:r>
    </w:p>
    <w:p>
      <w:pPr>
        <w:spacing w:after="80" w:line="360" w:lineRule="auto"/>
      </w:pPr>
      <w:r>
        <w:rPr>
          <w:rFonts w:ascii="Times New Roman" w:hAnsi="Times New Roman" w:eastAsia="宋体"/>
          <w:b w:val="0"/>
          <w:i w:val="0"/>
          <w:sz w:val="21"/>
        </w:rPr>
        <w:t>[53] Rohrer SG, Baumann K. Maximum unbiased validation (MUV) data sets for virtual screening based on PubChem bioactivity data. J Chem Inf Model. 2009;49(2):169-184. PMID: 19434821.</w:t>
      </w:r>
    </w:p>
    <w:p>
      <w:pPr>
        <w:spacing w:after="80" w:line="360" w:lineRule="auto"/>
      </w:pPr>
      <w:r>
        <w:rPr>
          <w:rFonts w:ascii="Times New Roman" w:hAnsi="Times New Roman" w:eastAsia="宋体"/>
          <w:b w:val="0"/>
          <w:i w:val="0"/>
          <w:sz w:val="21"/>
        </w:rPr>
        <w:t>[54] Bauer MR, Ibrahim TM, Vogel SM, Boeckler FM. Evaluation and optimization of virtual screening workflows with DEKOIS 2.0. J Chem Inf Model. 2013;53(6):1447-1462. PMID: 23705874.</w:t>
      </w:r>
    </w:p>
    <w:p>
      <w:pPr>
        <w:spacing w:after="80" w:line="360" w:lineRule="auto"/>
      </w:pPr>
      <w:r>
        <w:rPr>
          <w:rFonts w:ascii="Times New Roman" w:hAnsi="Times New Roman" w:eastAsia="宋体"/>
          <w:b w:val="0"/>
          <w:i w:val="0"/>
          <w:sz w:val="21"/>
        </w:rPr>
        <w:t>[55] Réau M, Langenfeld F, Zagury JF, Lagarde N, Montes M. Decoys selection in benchmarking datasets: overview and perspectives. Front Pharmacol. 2018;9:11. PMID: 29416510.</w:t>
      </w:r>
    </w:p>
    <w:p>
      <w:pPr>
        <w:spacing w:after="80" w:line="360" w:lineRule="auto"/>
      </w:pPr>
      <w:r>
        <w:rPr>
          <w:rFonts w:ascii="Times New Roman" w:hAnsi="Times New Roman" w:eastAsia="宋体"/>
          <w:b w:val="0"/>
          <w:i w:val="0"/>
          <w:sz w:val="21"/>
        </w:rPr>
        <w:t>[56] Trott O, Olson AJ. AutoDock Vina: improving the speed and accuracy of docking with a new scoring function, efficient optimization, and multithreading. J Comput Chem. 2010;31(2):455-461. PMID: 19499576.</w:t>
      </w:r>
    </w:p>
    <w:p>
      <w:pPr>
        <w:spacing w:after="80" w:line="360" w:lineRule="auto"/>
      </w:pPr>
      <w:r>
        <w:rPr>
          <w:rFonts w:ascii="Times New Roman" w:hAnsi="Times New Roman" w:eastAsia="宋体"/>
          <w:b w:val="0"/>
          <w:i w:val="0"/>
          <w:sz w:val="21"/>
        </w:rPr>
        <w:t>[57] Abraham MJ, Murtola T, Schulz R, et al. GROMACS: high performance molecular simulations through multi-level parallelism from laptops to supercomputers. SoftwareX. 2015;1-2:19-25.</w:t>
      </w:r>
    </w:p>
    <w:p>
      <w:pPr>
        <w:spacing w:after="80" w:line="360" w:lineRule="auto"/>
      </w:pPr>
      <w:r>
        <w:rPr>
          <w:rFonts w:ascii="Times New Roman" w:hAnsi="Times New Roman" w:eastAsia="宋体"/>
          <w:b w:val="0"/>
          <w:i w:val="0"/>
          <w:sz w:val="21"/>
        </w:rPr>
        <w:t>[58] Genheden S, Ryde U. The MM/PBSA and MM/GBSA methods to estimate ligand-binding affinities. Expert Opin Drug Discov. 2015;10(5):449-461. PMID: 25835573.</w:t>
      </w:r>
    </w:p>
    <w:p>
      <w:pPr>
        <w:spacing w:after="80" w:line="360" w:lineRule="auto"/>
      </w:pPr>
      <w:r>
        <w:rPr>
          <w:rFonts w:ascii="Times New Roman" w:hAnsi="Times New Roman" w:eastAsia="宋体"/>
          <w:b w:val="0"/>
          <w:i w:val="0"/>
          <w:sz w:val="21"/>
        </w:rPr>
        <w:t>[59] Kollman PA, Massova I, Reyes C, et al. Calculating structures and free energies of complex molecules: combining molecular mechanics and continuum models. Acc Chem Res. 2000;33(12):889-897. PMID: 11123888.</w:t>
      </w:r>
    </w:p>
    <w:p>
      <w:pPr>
        <w:spacing w:after="80" w:line="360" w:lineRule="auto"/>
      </w:pPr>
      <w:r>
        <w:rPr>
          <w:rFonts w:ascii="Times New Roman" w:hAnsi="Times New Roman" w:eastAsia="宋体"/>
          <w:b w:val="0"/>
          <w:i w:val="0"/>
          <w:sz w:val="21"/>
        </w:rPr>
        <w:t>[60] Meng XY, Zhang HX, Mezei M, Cui M. Molecular docking: a powerful approach for structure-based drug discovery. Curr Comput Aided Drug Des. 2011;7(2):146-157. PMID: 21534921.</w:t>
      </w:r>
    </w:p>
    <w:p>
      <w:pPr>
        <w:spacing w:after="80" w:line="360" w:lineRule="auto"/>
      </w:pPr>
      <w:r>
        <w:rPr>
          <w:rFonts w:ascii="Times New Roman" w:hAnsi="Times New Roman" w:eastAsia="宋体"/>
          <w:b w:val="0"/>
          <w:i w:val="0"/>
          <w:sz w:val="21"/>
        </w:rPr>
        <w:t>[61] Case DA, Cheatham TE 3rd, Darden T, et al. The Amber biomolecular simulation programs. J Comput Chem. 2005;26(16):1668-1688. PMID: 16200636.</w:t>
      </w:r>
    </w:p>
    <w:p>
      <w:pPr>
        <w:spacing w:after="80" w:line="360" w:lineRule="auto"/>
      </w:pPr>
      <w:r>
        <w:rPr>
          <w:rFonts w:ascii="Times New Roman" w:hAnsi="Times New Roman" w:eastAsia="宋体"/>
          <w:b w:val="0"/>
          <w:i w:val="0"/>
          <w:sz w:val="21"/>
        </w:rPr>
        <w:t>[62] Šali A, Blundell TL. Comparative protein modelling by satisfaction of spatial restraints. J Mol Biol. 1993;234(3):779-815. PMID: 8254673.</w:t>
      </w:r>
    </w:p>
    <w:p>
      <w:pPr>
        <w:spacing w:after="80" w:line="360" w:lineRule="auto"/>
      </w:pPr>
      <w:r>
        <w:rPr>
          <w:rFonts w:ascii="Times New Roman" w:hAnsi="Times New Roman" w:eastAsia="宋体"/>
          <w:b w:val="0"/>
          <w:i w:val="0"/>
          <w:sz w:val="21"/>
        </w:rPr>
        <w:t>[63] Sterling T, Irwin JJ. ZINC 15 — ligand discovery for everyone. J Chem Inf Model. 2015;55(11):2324-2337. PMID: 26479676.</w:t>
      </w:r>
    </w:p>
    <w:p>
      <w:pPr>
        <w:spacing w:after="80" w:line="360" w:lineRule="auto"/>
      </w:pPr>
      <w:r>
        <w:rPr>
          <w:rFonts w:ascii="Times New Roman" w:hAnsi="Times New Roman" w:eastAsia="宋体"/>
          <w:b w:val="0"/>
          <w:i w:val="0"/>
          <w:sz w:val="21"/>
        </w:rPr>
        <w:t>[64] Mendez D, Gaulton A, Bento AP, et al. ChEMBL: towards direct deposition of bioassay data. Nucleic Acids Res. 2019;47(D1):D930-D940. PMID: 30398643.</w:t>
      </w:r>
    </w:p>
    <w:p>
      <w:pPr>
        <w:spacing w:after="80" w:line="360" w:lineRule="auto"/>
      </w:pPr>
      <w:r>
        <w:rPr>
          <w:rFonts w:ascii="Times New Roman" w:hAnsi="Times New Roman" w:eastAsia="宋体"/>
          <w:b w:val="0"/>
          <w:i w:val="0"/>
          <w:sz w:val="21"/>
        </w:rPr>
        <w:t>[65] Kim S, Chen J, Cheng T, et al. PubChem 2023 update. Nucleic Acids Res. 2023;51(D1):D1373-D1380. PMID: 36305812.</w:t>
      </w:r>
    </w:p>
    <w:p>
      <w:pPr>
        <w:spacing w:after="80" w:line="360" w:lineRule="auto"/>
      </w:pPr>
      <w:r>
        <w:rPr>
          <w:rFonts w:ascii="Times New Roman" w:hAnsi="Times New Roman" w:eastAsia="宋体"/>
          <w:b w:val="0"/>
          <w:i w:val="0"/>
          <w:sz w:val="21"/>
        </w:rPr>
        <w:t>[66] Liu T, Lin Y, Wen X, Jorissen RN, Gilson MK. BindingDB: a web-accessible database of experimentally determined protein-ligand binding affinities. Nucleic Acids Res. 2007;35:D198-D201. PMID: 17145705.</w:t>
      </w:r>
    </w:p>
    <w:p>
      <w:pPr>
        <w:spacing w:after="80" w:line="360" w:lineRule="auto"/>
      </w:pPr>
      <w:r>
        <w:rPr>
          <w:rFonts w:ascii="Times New Roman" w:hAnsi="Times New Roman" w:eastAsia="宋体"/>
          <w:b w:val="0"/>
          <w:i w:val="0"/>
          <w:sz w:val="21"/>
        </w:rPr>
        <w:t>[67] Wu Z, Ramsundar B, Feinberg EN, et al. MoleculeNet: a benchmark for molecular machine learning. Chem Sci. 2018;9(2):513-530. PMID: 29629118.</w:t>
      </w:r>
    </w:p>
    <w:p>
      <w:pPr>
        <w:spacing w:after="80" w:line="360" w:lineRule="auto"/>
      </w:pPr>
      <w:r>
        <w:rPr>
          <w:rFonts w:ascii="Times New Roman" w:hAnsi="Times New Roman" w:eastAsia="宋体"/>
          <w:b w:val="0"/>
          <w:i w:val="0"/>
          <w:sz w:val="21"/>
        </w:rPr>
        <w:t>[68] Lipinski CA, Lombardo F, Dominy BW, Feeney PJ. Experimental and computational approaches to estimate solubility and permeability in drug discovery and development settings. Adv Drug Deliv Rev. 2001;46(1-3):3-26. PMID: 11259830.</w:t>
      </w:r>
    </w:p>
    <w:p>
      <w:pPr>
        <w:spacing w:after="80" w:line="360" w:lineRule="auto"/>
      </w:pPr>
      <w:r>
        <w:rPr>
          <w:rFonts w:ascii="Times New Roman" w:hAnsi="Times New Roman" w:eastAsia="宋体"/>
          <w:b w:val="0"/>
          <w:i w:val="0"/>
          <w:sz w:val="21"/>
        </w:rPr>
        <w:t>[69] Bickerton GR, Paolini GV, Besnard J, Muresan S, Hopkins AL. Quantifying the chemical beauty of drugs (QED). Nat Chem. 2012;4(2):90-98. PMID: 22270643.</w:t>
      </w:r>
    </w:p>
    <w:p>
      <w:pPr>
        <w:spacing w:after="80" w:line="360" w:lineRule="auto"/>
      </w:pPr>
      <w:r>
        <w:rPr>
          <w:rFonts w:ascii="Times New Roman" w:hAnsi="Times New Roman" w:eastAsia="宋体"/>
          <w:b w:val="0"/>
          <w:i w:val="0"/>
          <w:sz w:val="21"/>
        </w:rPr>
        <w:t>[70] Baell JB, Holloway GA. New substructure filters for removal of pan assay interference compounds (PAINS) from screening libraries and for their exclusion in bioassays. J Med Chem. 2010;53(7):2719-2740. PMID: 20131845.</w:t>
      </w:r>
    </w:p>
    <w:p>
      <w:pPr>
        <w:spacing w:after="80" w:line="360" w:lineRule="auto"/>
      </w:pPr>
      <w:r>
        <w:rPr>
          <w:rFonts w:ascii="Times New Roman" w:hAnsi="Times New Roman" w:eastAsia="宋体"/>
          <w:b w:val="0"/>
          <w:i w:val="0"/>
          <w:sz w:val="21"/>
        </w:rPr>
        <w:t>[71] Ertl P, Schuffenhauer A. Estimation of synthetic accessibility score of drug-like molecules based on molecular complexity and fragment contributions (SA score). J Cheminform. 2009;1(1):8. PMID: 20298526.</w:t>
      </w:r>
    </w:p>
    <w:p>
      <w:pPr>
        <w:spacing w:after="80" w:line="360" w:lineRule="auto"/>
      </w:pPr>
      <w:r>
        <w:rPr>
          <w:rFonts w:ascii="Times New Roman" w:hAnsi="Times New Roman" w:eastAsia="宋体"/>
          <w:b w:val="0"/>
          <w:i w:val="0"/>
          <w:sz w:val="21"/>
        </w:rPr>
        <w:t>[72] Daina A, Michielin O, Zoete V. SwissADME: a free web tool to evaluate pharmacokinetics, drug-likeness and medicinal chemistry friendliness of small molecules. Sci Rep. 2017;7:42717. PMID: 28256516.</w:t>
      </w:r>
    </w:p>
    <w:p>
      <w:pPr>
        <w:spacing w:after="80" w:line="360" w:lineRule="auto"/>
      </w:pPr>
      <w:r>
        <w:rPr>
          <w:rFonts w:ascii="Times New Roman" w:hAnsi="Times New Roman" w:eastAsia="宋体"/>
          <w:b w:val="0"/>
          <w:i w:val="0"/>
          <w:sz w:val="21"/>
        </w:rPr>
        <w:t>[73] RDKit: Open-source cheminformatics. https://www.rdkit.org.</w:t>
      </w:r>
    </w:p>
    <w:p>
      <w:pPr>
        <w:spacing w:after="80" w:line="360" w:lineRule="auto"/>
      </w:pPr>
      <w:r>
        <w:rPr>
          <w:rFonts w:ascii="Times New Roman" w:hAnsi="Times New Roman" w:eastAsia="宋体"/>
          <w:b w:val="0"/>
          <w:i w:val="0"/>
          <w:sz w:val="21"/>
        </w:rPr>
        <w:t>[74] Paszke A, Gross S, Massa F, et al. PyTorch: an imperative style, high-performance deep learning library. NeurIPS. 2019.</w:t>
      </w:r>
    </w:p>
    <w:p>
      <w:pPr>
        <w:spacing w:after="80" w:line="360" w:lineRule="auto"/>
      </w:pPr>
      <w:r>
        <w:rPr>
          <w:rFonts w:ascii="Times New Roman" w:hAnsi="Times New Roman" w:eastAsia="宋体"/>
          <w:b w:val="0"/>
          <w:i w:val="0"/>
          <w:sz w:val="21"/>
        </w:rPr>
        <w:t>[75] Fey M, Lenssen JE. Fast graph representation learning with PyTorch Geometric. ICLR Workshop. 2019. arXiv:1903.02428.</w:t>
      </w:r>
    </w:p>
    <w:p>
      <w:pPr>
        <w:spacing w:after="80" w:line="360" w:lineRule="auto"/>
      </w:pPr>
      <w:r>
        <w:rPr>
          <w:rFonts w:ascii="Times New Roman" w:hAnsi="Times New Roman" w:eastAsia="宋体"/>
          <w:b w:val="0"/>
          <w:i w:val="0"/>
          <w:sz w:val="21"/>
        </w:rPr>
        <w:t>[76] Butina D. Unsupervised data base clustering based on daylight's fingerprint and Tanimoto similarity: a fast and automated way to cluster small and large data sets. J Chem Inf Comput Sci. 1999;39(4):747-750.</w:t>
      </w:r>
    </w:p>
    <w:p>
      <w:pPr>
        <w:spacing w:after="80" w:line="360" w:lineRule="auto"/>
      </w:pPr>
      <w:r>
        <w:rPr>
          <w:rFonts w:ascii="Times New Roman" w:hAnsi="Times New Roman" w:eastAsia="宋体"/>
          <w:b w:val="0"/>
          <w:i w:val="0"/>
          <w:sz w:val="21"/>
        </w:rPr>
        <w:t>[77] Lin TY, Goyal P, Girshick R, He K, Dollár P. Focal loss for dense object detection (Focal Loss). ICCV. 2017:2999-3007.</w:t>
      </w:r>
    </w:p>
    <w:p>
      <w:pPr>
        <w:spacing w:after="80" w:line="360" w:lineRule="auto"/>
      </w:pPr>
      <w:r>
        <w:rPr>
          <w:rFonts w:ascii="Times New Roman" w:hAnsi="Times New Roman" w:eastAsia="宋体"/>
          <w:b w:val="0"/>
          <w:i w:val="0"/>
          <w:sz w:val="21"/>
        </w:rPr>
        <w:t>[78] Loshchilov I, Hutter F. SGDR: stochastic gradient descent with warm restarts (OneCycleLR). ICLR. 2017. arXiv:1608.03983.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Fonts w:eastAsia="宋体" w:asci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