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Times New Roman" w:hAnsi="Times New Roman" w:eastAsia="宋体"/>
          <w:b/>
          <w:i w:val="0"/>
          <w:color w:val="003366"/>
          <w:sz w:val="34"/>
        </w:rPr>
        <w:t>STG-Mol：面向 NLRP3 抑制剂发现的多模态多任务人工智能虚拟筛选框架</w:t>
      </w:r>
    </w:p>
    <w:p>
      <w:pPr>
        <w:spacing w:before="360" w:after="120"/>
      </w:pPr>
      <w:r>
        <w:rPr>
          <w:rFonts w:ascii="Times New Roman" w:hAnsi="Times New Roman" w:eastAsia="宋体"/>
          <w:b/>
          <w:i w:val="0"/>
          <w:color w:val="003366"/>
          <w:sz w:val="28"/>
        </w:rPr>
        <w:t>摘要</w:t>
      </w:r>
    </w:p>
    <w:p>
      <w:pPr>
        <w:spacing w:after="80" w:line="360" w:lineRule="auto"/>
        <w:ind w:firstLine="420"/>
      </w:pPr>
      <w:r>
        <w:rPr>
          <w:rFonts w:ascii="Times New Roman" w:hAnsi="Times New Roman" w:eastAsia="宋体"/>
          <w:b/>
          <w:i w:val="0"/>
          <w:sz w:val="21"/>
        </w:rPr>
        <w:t>背景与目的</w:t>
      </w:r>
      <w:r>
        <w:rPr>
          <w:rFonts w:ascii="Times New Roman" w:hAnsi="Times New Roman" w:eastAsia="宋体"/>
          <w:b w:val="0"/>
          <w:i w:val="0"/>
          <w:sz w:val="21"/>
        </w:rPr>
        <w:t>：NLRP3 炎症小体的异常激活是 2 型糖尿病、动脉粥样硬化、阿尔茨海默症等多种慢性疾病的共同病理基础，然而现有 NLRP3 抑制剂普遍存在肝毒性（DILI）等成药性问题，尚无 FDA 批准的临床药物。基于人工智能的虚拟筛选为该靶点新型抑制剂的发现提供了高效路径，但仍面临</w:t>
      </w:r>
      <w:r>
        <w:rPr>
          <w:rFonts w:ascii="Times New Roman" w:hAnsi="Times New Roman" w:eastAsia="宋体"/>
          <w:b/>
          <w:i w:val="0"/>
          <w:sz w:val="21"/>
        </w:rPr>
        <w:t>小样本活性数据</w:t>
      </w:r>
      <w:r>
        <w:rPr>
          <w:rFonts w:ascii="Times New Roman" w:hAnsi="Times New Roman" w:eastAsia="宋体"/>
          <w:b w:val="0"/>
          <w:i w:val="0"/>
          <w:sz w:val="21"/>
        </w:rPr>
        <w:t>、</w:t>
      </w:r>
      <w:r>
        <w:rPr>
          <w:rFonts w:ascii="Times New Roman" w:hAnsi="Times New Roman" w:eastAsia="宋体"/>
          <w:b/>
          <w:i w:val="0"/>
          <w:sz w:val="21"/>
        </w:rPr>
        <w:t>多模态分子信息高效融合</w:t>
      </w:r>
      <w:r>
        <w:rPr>
          <w:rFonts w:ascii="Times New Roman" w:hAnsi="Times New Roman" w:eastAsia="宋体"/>
          <w:b w:val="0"/>
          <w:i w:val="0"/>
          <w:sz w:val="21"/>
        </w:rPr>
        <w:t>、</w:t>
      </w:r>
      <w:r>
        <w:rPr>
          <w:rFonts w:ascii="Times New Roman" w:hAnsi="Times New Roman" w:eastAsia="宋体"/>
          <w:b/>
          <w:i w:val="0"/>
          <w:sz w:val="21"/>
        </w:rPr>
        <w:t>活性预测与成药性联合评估</w:t>
      </w:r>
      <w:r>
        <w:rPr>
          <w:rFonts w:ascii="Times New Roman" w:hAnsi="Times New Roman" w:eastAsia="宋体"/>
          <w:b w:val="0"/>
          <w:i w:val="0"/>
          <w:sz w:val="21"/>
        </w:rPr>
        <w:t>及</w:t>
      </w:r>
      <w:r>
        <w:rPr>
          <w:rFonts w:ascii="Times New Roman" w:hAnsi="Times New Roman" w:eastAsia="宋体"/>
          <w:b/>
          <w:i w:val="0"/>
          <w:sz w:val="21"/>
        </w:rPr>
        <w:t>大规模化学空间搜索</w:t>
      </w:r>
      <w:r>
        <w:rPr>
          <w:rFonts w:ascii="Times New Roman" w:hAnsi="Times New Roman" w:eastAsia="宋体"/>
          <w:b w:val="0"/>
          <w:i w:val="0"/>
          <w:sz w:val="21"/>
        </w:rPr>
        <w:t>四方面关键瓶颈。</w:t>
      </w:r>
      <w:r>
        <w:rPr>
          <w:rFonts w:ascii="Times New Roman" w:hAnsi="Times New Roman" w:eastAsia="宋体"/>
          <w:b/>
          <w:i w:val="0"/>
          <w:sz w:val="21"/>
        </w:rPr>
        <w:t>方法</w:t>
      </w:r>
      <w:r>
        <w:rPr>
          <w:rFonts w:ascii="Times New Roman" w:hAnsi="Times New Roman" w:eastAsia="宋体"/>
          <w:b w:val="0"/>
          <w:i w:val="0"/>
          <w:sz w:val="21"/>
        </w:rPr>
        <w:t xml:space="preserve">：本文提出 </w:t>
      </w:r>
      <w:r>
        <w:rPr>
          <w:rFonts w:ascii="Times New Roman" w:hAnsi="Times New Roman" w:eastAsia="宋体"/>
          <w:b/>
          <w:i w:val="0"/>
          <w:sz w:val="21"/>
        </w:rPr>
        <w:t>STG-Mol</w:t>
      </w:r>
      <w:r>
        <w:rPr>
          <w:rFonts w:ascii="Times New Roman" w:hAnsi="Times New Roman" w:eastAsia="宋体"/>
          <w:b w:val="0"/>
          <w:i w:val="0"/>
          <w:sz w:val="21"/>
        </w:rPr>
        <w:t>，一种融合序列、拓扑与几何三模态分子信息、并联合预测活性与成药性的多任务人工智能框架。该框架采用</w:t>
      </w:r>
      <w:r>
        <w:rPr>
          <w:rFonts w:ascii="Times New Roman" w:hAnsi="Times New Roman" w:eastAsia="宋体"/>
          <w:b/>
          <w:i w:val="0"/>
          <w:sz w:val="21"/>
        </w:rPr>
        <w:t>分层三模态融合模块</w:t>
      </w:r>
      <w:r>
        <w:rPr>
          <w:rFonts w:ascii="Times New Roman" w:hAnsi="Times New Roman" w:eastAsia="宋体"/>
          <w:b w:val="0"/>
          <w:i w:val="0"/>
          <w:sz w:val="21"/>
        </w:rPr>
        <w:t>（跨模态注意力 + 门控融合 + 低秩双线性融合 + 可学习重要性网络）实现样本级自适应模态权重分配；通过</w:t>
      </w:r>
      <w:r>
        <w:rPr>
          <w:rFonts w:ascii="Times New Roman" w:hAnsi="Times New Roman" w:eastAsia="宋体"/>
          <w:b/>
          <w:i w:val="0"/>
          <w:sz w:val="21"/>
        </w:rPr>
        <w:t>活性与 ADMET 多任务联合学习</w:t>
      </w:r>
      <w:r>
        <w:rPr>
          <w:rFonts w:ascii="Times New Roman" w:hAnsi="Times New Roman" w:eastAsia="宋体"/>
          <w:b w:val="0"/>
          <w:i w:val="0"/>
          <w:sz w:val="21"/>
        </w:rPr>
        <w:t>（类别平衡损失 + 多样性正则化）在提升活性预测精度的同时输出五项药物相似性指标；进一步设计</w:t>
      </w:r>
      <w:r>
        <w:rPr>
          <w:rFonts w:ascii="Times New Roman" w:hAnsi="Times New Roman" w:eastAsia="宋体"/>
          <w:b/>
          <w:i w:val="0"/>
          <w:sz w:val="21"/>
        </w:rPr>
        <w:t>双精度级联虚拟筛选架构</w:t>
      </w:r>
      <w:r>
        <w:rPr>
          <w:rFonts w:ascii="Times New Roman" w:hAnsi="Times New Roman" w:eastAsia="宋体"/>
          <w:b w:val="0"/>
          <w:i w:val="0"/>
          <w:sz w:val="21"/>
        </w:rPr>
        <w:t>支撑千万级化学空间搜索。</w:t>
      </w:r>
      <w:r>
        <w:rPr>
          <w:rFonts w:ascii="Times New Roman" w:hAnsi="Times New Roman" w:eastAsia="宋体"/>
          <w:b/>
          <w:i w:val="0"/>
          <w:sz w:val="21"/>
        </w:rPr>
        <w:t>结果</w:t>
      </w:r>
      <w:r>
        <w:rPr>
          <w:rFonts w:ascii="Times New Roman" w:hAnsi="Times New Roman" w:eastAsia="宋体"/>
          <w:b w:val="0"/>
          <w:i w:val="0"/>
          <w:sz w:val="21"/>
        </w:rPr>
        <w:t xml:space="preserve">：在自建的 leakage-free NLRP3 数据集上（2521 分子，5 个已发表抑制剂及其 Tanimoto ≥ 0.7 邻居显式移至外部验证集，其余按 8:1:1 划分），我们遵循 MoleculeNet 惯例同时报告 </w:t>
      </w:r>
      <w:r>
        <w:rPr>
          <w:rFonts w:ascii="Times New Roman" w:hAnsi="Times New Roman" w:eastAsia="宋体"/>
          <w:b/>
          <w:i w:val="0"/>
          <w:sz w:val="21"/>
        </w:rPr>
        <w:t>Bemis–Murcko scaffold split</w:t>
      </w:r>
      <w:r>
        <w:rPr>
          <w:rFonts w:ascii="Times New Roman" w:hAnsi="Times New Roman" w:eastAsia="宋体"/>
          <w:b w:val="0"/>
          <w:i w:val="0"/>
          <w:sz w:val="21"/>
        </w:rPr>
        <w:t xml:space="preserve">（V3-scaffold，主协议）与 </w:t>
      </w:r>
      <w:r>
        <w:rPr>
          <w:rFonts w:ascii="Times New Roman" w:hAnsi="Times New Roman" w:eastAsia="宋体"/>
          <w:b/>
          <w:i w:val="0"/>
          <w:sz w:val="21"/>
        </w:rPr>
        <w:t>random split</w:t>
      </w:r>
      <w:r>
        <w:rPr>
          <w:rFonts w:ascii="Times New Roman" w:hAnsi="Times New Roman" w:eastAsia="宋体"/>
          <w:b w:val="0"/>
          <w:i w:val="0"/>
          <w:sz w:val="21"/>
        </w:rPr>
        <w:t xml:space="preserve">（V3-random，参考协议）两种评估方案。主协议下 STG-Mol 5-seed 均值 </w:t>
      </w:r>
      <w:r>
        <w:rPr>
          <w:rFonts w:ascii="Times New Roman" w:hAnsi="Times New Roman" w:eastAsia="宋体"/>
          <w:b/>
          <w:i w:val="0"/>
          <w:sz w:val="21"/>
        </w:rPr>
        <w:t>Test ROC-AUC = 0.9167</w:t>
      </w:r>
      <w:r>
        <w:rPr>
          <w:rFonts w:ascii="Times New Roman" w:hAnsi="Times New Roman" w:eastAsia="宋体"/>
          <w:b w:val="0"/>
          <w:i w:val="0"/>
          <w:sz w:val="21"/>
        </w:rPr>
        <w:t xml:space="preserve">，作为对新颖骨架泛化能力的下界估计；参考协议下同一策划数据集 5-seed 均值 </w:t>
      </w:r>
      <w:r>
        <w:rPr>
          <w:rFonts w:ascii="Times New Roman" w:hAnsi="Times New Roman" w:eastAsia="宋体"/>
          <w:b/>
          <w:i w:val="0"/>
          <w:sz w:val="21"/>
        </w:rPr>
        <w:t>0.9267 ± 0.0107</w:t>
      </w:r>
      <w:r>
        <w:rPr>
          <w:rFonts w:ascii="Times New Roman" w:hAnsi="Times New Roman" w:eastAsia="宋体"/>
          <w:b w:val="0"/>
          <w:i w:val="0"/>
          <w:sz w:val="21"/>
        </w:rPr>
        <w:t xml:space="preserve">（deployment-time 5-seed ensemble 0.9408）。早期识别性能强劲（BEDROC@α=20 = </w:t>
      </w:r>
      <w:r>
        <w:rPr>
          <w:rFonts w:ascii="Times New Roman" w:hAnsi="Times New Roman" w:eastAsia="宋体"/>
          <w:b/>
          <w:i w:val="0"/>
          <w:sz w:val="21"/>
        </w:rPr>
        <w:t>0.9028</w:t>
      </w:r>
      <w:r>
        <w:rPr>
          <w:rFonts w:ascii="Times New Roman" w:hAnsi="Times New Roman" w:eastAsia="宋体"/>
          <w:b w:val="0"/>
          <w:i w:val="0"/>
          <w:sz w:val="21"/>
        </w:rPr>
        <w:t xml:space="preserve"> ensemble；BEDROC@α=80 = </w:t>
      </w:r>
      <w:r>
        <w:rPr>
          <w:rFonts w:ascii="Times New Roman" w:hAnsi="Times New Roman" w:eastAsia="宋体"/>
          <w:b/>
          <w:i w:val="0"/>
          <w:sz w:val="21"/>
        </w:rPr>
        <w:t>0.9829</w:t>
      </w:r>
      <w:r>
        <w:rPr>
          <w:rFonts w:ascii="Times New Roman" w:hAnsi="Times New Roman" w:eastAsia="宋体"/>
          <w:b w:val="0"/>
          <w:i w:val="0"/>
          <w:sz w:val="21"/>
        </w:rPr>
        <w:t>），富集因子接近由测试集活性占比决定的理论上限（</w:t>
      </w:r>
      <w:r>
        <w:rPr>
          <w:rFonts w:ascii="Times New Roman" w:hAnsi="Times New Roman" w:eastAsia="宋体"/>
          <w:b/>
          <w:i w:val="0"/>
          <w:sz w:val="21"/>
        </w:rPr>
        <w:t>EF@5% = 3.47，EF@10% = 3.18，EF@20% = 3.17；EF_max = N/P = 252/67 ≈ 3.76</w:t>
      </w:r>
      <w:r>
        <w:rPr>
          <w:rFonts w:ascii="Times New Roman" w:hAnsi="Times New Roman" w:eastAsia="宋体"/>
          <w:b w:val="0"/>
          <w:i w:val="0"/>
          <w:sz w:val="21"/>
        </w:rPr>
        <w:t>）。</w:t>
      </w:r>
      <w:r>
        <w:rPr>
          <w:rFonts w:ascii="Times New Roman" w:hAnsi="Times New Roman" w:eastAsia="宋体"/>
          <w:b/>
          <w:i w:val="0"/>
          <w:sz w:val="21"/>
        </w:rPr>
        <w:t>外部验证</w:t>
      </w:r>
      <w:r>
        <w:rPr>
          <w:rFonts w:ascii="Times New Roman" w:hAnsi="Times New Roman" w:eastAsia="宋体"/>
          <w:b w:val="0"/>
          <w:i w:val="0"/>
          <w:sz w:val="21"/>
        </w:rPr>
        <w:t xml:space="preserve">：在 5 个已发表 NLRP3 抑制剂（MCC950、CY-09、OLT1177、Oridonin、Tranilast）上进行严格 hold-out 测试（0 exact + 0 Tanimoto ≥ 0.7 邻居），模型呈现出 </w:t>
      </w:r>
      <w:r>
        <w:rPr>
          <w:rFonts w:ascii="Times New Roman" w:hAnsi="Times New Roman" w:eastAsia="宋体"/>
          <w:b/>
          <w:i w:val="0"/>
          <w:sz w:val="21"/>
        </w:rPr>
        <w:t>AD-aware 置信度剖面</w:t>
      </w:r>
      <w:r>
        <w:rPr>
          <w:rFonts w:ascii="Times New Roman" w:hAnsi="Times New Roman" w:eastAsia="宋体"/>
          <w:b w:val="0"/>
          <w:i w:val="0"/>
          <w:sz w:val="21"/>
        </w:rPr>
        <w:t>——预测概率与训练集 Tanimoto 相似度呈正相关趋势（Spearman ρ = 0.80，n = 5；见表 5.5）；阈值 0.5 下召回 2/5（MCC950、CY-09），另外 3 个骨架（Tranilast、OLT1177、Oridonin）获得低置信度输出。这一召回上限反映了任何</w:t>
      </w:r>
      <w:r>
        <w:rPr>
          <w:rFonts w:ascii="Times New Roman" w:hAnsi="Times New Roman" w:eastAsia="宋体"/>
          <w:b/>
          <w:i w:val="0"/>
          <w:sz w:val="21"/>
        </w:rPr>
        <w:t>基于当前公开 NLRP3 语料训练的单靶点模型</w:t>
      </w:r>
      <w:r>
        <w:rPr>
          <w:rFonts w:ascii="Times New Roman" w:hAnsi="Times New Roman" w:eastAsia="宋体"/>
          <w:b w:val="0"/>
          <w:i w:val="0"/>
          <w:sz w:val="21"/>
        </w:rPr>
        <w:t>在 AD 覆盖上的固有限制。据此我们建议将 STG-Mol 作为</w:t>
      </w:r>
      <w:r>
        <w:rPr>
          <w:rFonts w:ascii="Times New Roman" w:hAnsi="Times New Roman" w:eastAsia="宋体"/>
          <w:b/>
          <w:i w:val="0"/>
          <w:sz w:val="21"/>
        </w:rPr>
        <w:t>AD 内筛选器 + AD 外相似度/药效团正交搜索</w:t>
      </w:r>
      <w:r>
        <w:rPr>
          <w:rFonts w:ascii="Times New Roman" w:hAnsi="Times New Roman" w:eastAsia="宋体"/>
          <w:b w:val="0"/>
          <w:i w:val="0"/>
          <w:sz w:val="21"/>
        </w:rPr>
        <w:t>的联合部署方案。在双精度级联协议下将 STG-Mol 应用于 ZINC 库 880 万分子筛选后，识别出 8 个具备完整多层次计算证据链（分子对接、100 ns 分子动力学、MMPBSA 结合自由能、ADMET 药物性质评估）的候选化合物。</w:t>
      </w:r>
      <w:r>
        <w:rPr>
          <w:rFonts w:ascii="Times New Roman" w:hAnsi="Times New Roman" w:eastAsia="宋体"/>
          <w:b/>
          <w:i w:val="0"/>
          <w:sz w:val="21"/>
        </w:rPr>
        <w:t>结论</w:t>
      </w:r>
      <w:r>
        <w:rPr>
          <w:rFonts w:ascii="Times New Roman" w:hAnsi="Times New Roman" w:eastAsia="宋体"/>
          <w:b w:val="0"/>
          <w:i w:val="0"/>
          <w:sz w:val="21"/>
        </w:rPr>
        <w:t>：本研究提出的多模态多任务 AI 框架为 NLRP3 抑制剂发现提供了系统的 in-silico 计算基础，前瞻性湿实验验证已列入下一步工作。代码与数据已开源于 GitHub。</w:t>
      </w:r>
    </w:p>
    <w:p>
      <w:pPr>
        <w:spacing w:after="80" w:line="360" w:lineRule="auto"/>
      </w:pPr>
      <w:r>
        <w:rPr>
          <w:rFonts w:ascii="Times New Roman" w:hAnsi="Times New Roman" w:eastAsia="宋体"/>
          <w:b/>
          <w:i w:val="0"/>
          <w:sz w:val="21"/>
        </w:rPr>
        <w:t>关键词</w:t>
      </w:r>
      <w:r>
        <w:rPr>
          <w:rFonts w:ascii="Times New Roman" w:hAnsi="Times New Roman" w:eastAsia="宋体"/>
          <w:b w:val="0"/>
          <w:i w:val="0"/>
          <w:sz w:val="21"/>
        </w:rPr>
        <w:t>：NLRP3 炎症小体；多模态深度学习；多任务学习；虚拟筛选；ADMET 联合预测；分子动力学模拟；人工智能药物发现</w:t>
      </w:r>
    </w:p>
    <w:p>
      <w:pPr>
        <w:spacing w:before="360" w:after="120"/>
      </w:pPr>
      <w:r>
        <w:rPr>
          <w:rFonts w:ascii="Times New Roman" w:hAnsi="Times New Roman" w:eastAsia="宋体"/>
          <w:b/>
          <w:i w:val="0"/>
          <w:color w:val="003366"/>
          <w:sz w:val="28"/>
        </w:rPr>
        <w:t>1  引言</w:t>
      </w:r>
    </w:p>
    <w:p>
      <w:pPr>
        <w:spacing w:before="240" w:after="80"/>
      </w:pPr>
      <w:r>
        <w:rPr>
          <w:rFonts w:ascii="Times New Roman" w:hAnsi="Times New Roman" w:eastAsia="宋体"/>
          <w:b/>
          <w:i w:val="0"/>
          <w:color w:val="004C80"/>
          <w:sz w:val="24"/>
        </w:rPr>
        <w:t>1.1  NLRP3 炎症小体的临床意义与药物开发困境</w:t>
      </w:r>
    </w:p>
    <w:p>
      <w:pPr>
        <w:spacing w:after="80" w:line="360" w:lineRule="auto"/>
        <w:ind w:firstLine="420"/>
      </w:pPr>
      <w:r>
        <w:rPr>
          <w:rFonts w:ascii="Times New Roman" w:hAnsi="Times New Roman" w:eastAsia="宋体"/>
          <w:b w:val="0"/>
          <w:i w:val="0"/>
          <w:sz w:val="21"/>
        </w:rPr>
        <w:t>NLRP3（NOD-like receptor family pyrin domain containing 3）炎症小体是先天免疫系统的关键传感器，其激活可诱导 caspase-1 依赖的 IL-1β 与 IL-18 成熟分泌，进而触发下游炎症级联反应 [1]。病理学研究表明，NLRP3 的异常激活是多种慢性疾病的共同分子基础：</w:t>
      </w:r>
    </w:p>
    <w:p>
      <w:pPr>
        <w:spacing w:after="80" w:line="360" w:lineRule="auto"/>
        <w:ind w:firstLine="420"/>
      </w:pPr>
      <w:r>
        <w:rPr>
          <w:rFonts w:ascii="Times New Roman" w:hAnsi="Times New Roman" w:eastAsia="宋体"/>
          <w:b w:val="0"/>
          <w:i w:val="0"/>
          <w:sz w:val="21"/>
        </w:rPr>
        <w:t>在</w:t>
      </w:r>
      <w:r>
        <w:rPr>
          <w:rFonts w:ascii="Times New Roman" w:hAnsi="Times New Roman" w:eastAsia="宋体"/>
          <w:b/>
          <w:i w:val="0"/>
          <w:sz w:val="21"/>
        </w:rPr>
        <w:t>代谢性疾病</w:t>
      </w:r>
      <w:r>
        <w:rPr>
          <w:rFonts w:ascii="Times New Roman" w:hAnsi="Times New Roman" w:eastAsia="宋体"/>
          <w:b w:val="0"/>
          <w:i w:val="0"/>
          <w:sz w:val="21"/>
        </w:rPr>
        <w:t>领域，NLRP3 介导的胰岛 β 细胞损伤是 2 型糖尿病的关键病理机制 [2]，氧化型 LDL 激活 NLRP3 加剧动脉粥样硬化斑块形成 [3]。</w:t>
      </w:r>
    </w:p>
    <w:p>
      <w:pPr>
        <w:spacing w:after="80" w:line="360" w:lineRule="auto"/>
        <w:ind w:firstLine="420"/>
      </w:pPr>
      <w:r>
        <w:rPr>
          <w:rFonts w:ascii="Times New Roman" w:hAnsi="Times New Roman" w:eastAsia="宋体"/>
          <w:b w:val="0"/>
          <w:i w:val="0"/>
          <w:sz w:val="21"/>
        </w:rPr>
        <w:t>在</w:t>
      </w:r>
      <w:r>
        <w:rPr>
          <w:rFonts w:ascii="Times New Roman" w:hAnsi="Times New Roman" w:eastAsia="宋体"/>
          <w:b/>
          <w:i w:val="0"/>
          <w:sz w:val="21"/>
        </w:rPr>
        <w:t>神经退行性疾病</w:t>
      </w:r>
      <w:r>
        <w:rPr>
          <w:rFonts w:ascii="Times New Roman" w:hAnsi="Times New Roman" w:eastAsia="宋体"/>
          <w:b w:val="0"/>
          <w:i w:val="0"/>
          <w:sz w:val="21"/>
        </w:rPr>
        <w:t>领域，Aβ 淀粉样蛋白激活小胶质细胞 NLRP3 驱动阿尔茨海默症神经炎症 [4]，α-突触核蛋白激活的 NLRP3 参与帕金森症多巴胺能神经元的丢失 [5]。</w:t>
      </w:r>
    </w:p>
    <w:p>
      <w:pPr>
        <w:spacing w:after="80" w:line="360" w:lineRule="auto"/>
        <w:ind w:firstLine="420"/>
      </w:pPr>
      <w:r>
        <w:rPr>
          <w:rFonts w:ascii="Times New Roman" w:hAnsi="Times New Roman" w:eastAsia="宋体"/>
          <w:b w:val="0"/>
          <w:i w:val="0"/>
          <w:sz w:val="21"/>
        </w:rPr>
        <w:t>在</w:t>
      </w:r>
      <w:r>
        <w:rPr>
          <w:rFonts w:ascii="Times New Roman" w:hAnsi="Times New Roman" w:eastAsia="宋体"/>
          <w:b/>
          <w:i w:val="0"/>
          <w:sz w:val="21"/>
        </w:rPr>
        <w:t>炎症性疾病</w:t>
      </w:r>
      <w:r>
        <w:rPr>
          <w:rFonts w:ascii="Times New Roman" w:hAnsi="Times New Roman" w:eastAsia="宋体"/>
          <w:b w:val="0"/>
          <w:i w:val="0"/>
          <w:sz w:val="21"/>
        </w:rPr>
        <w:t>领域，单钠尿酸盐晶体激活 NLRP3 是痛风急性发作的直接病因 [6]，NLRP3 突变导致冷炎素相关周期热综合征（CAPS）等自身炎症性疾病 [7]。</w:t>
      </w:r>
    </w:p>
    <w:p>
      <w:pPr>
        <w:spacing w:after="80" w:line="360" w:lineRule="auto"/>
        <w:ind w:firstLine="420"/>
      </w:pPr>
      <w:r>
        <w:rPr>
          <w:rFonts w:ascii="Times New Roman" w:hAnsi="Times New Roman" w:eastAsia="宋体"/>
          <w:b w:val="0"/>
          <w:i w:val="0"/>
          <w:sz w:val="21"/>
        </w:rPr>
        <w:t>此外，非酒精性脂肪性肝炎、慢性阻塞性肺病、多发性硬化等疾病亦与 NLRP3 过度激活密切相关 [8]。基于上述广泛临床价值，NLRP3 已成为最具前景的抗炎药物靶点之一。然而其新药开发面临三重困境：</w:t>
      </w:r>
      <w:r>
        <w:rPr>
          <w:rFonts w:ascii="Times New Roman" w:hAnsi="Times New Roman" w:eastAsia="宋体"/>
          <w:b/>
          <w:i w:val="0"/>
          <w:sz w:val="21"/>
        </w:rPr>
        <w:t>(i)</w:t>
      </w:r>
      <w:r>
        <w:rPr>
          <w:rFonts w:ascii="Times New Roman" w:hAnsi="Times New Roman" w:eastAsia="宋体"/>
          <w:b w:val="0"/>
          <w:i w:val="0"/>
          <w:sz w:val="21"/>
        </w:rPr>
        <w:t xml:space="preserve"> 尚无 FDA 批准药物上市——代表性抑制剂 MCC950 因</w:t>
      </w:r>
      <w:r>
        <w:rPr>
          <w:rFonts w:ascii="Times New Roman" w:hAnsi="Times New Roman" w:eastAsia="宋体"/>
          <w:b/>
          <w:i w:val="0"/>
          <w:sz w:val="21"/>
        </w:rPr>
        <w:t>肝毒性问题</w:t>
      </w:r>
      <w:r>
        <w:rPr>
          <w:rFonts w:ascii="Times New Roman" w:hAnsi="Times New Roman" w:eastAsia="宋体"/>
          <w:b w:val="0"/>
          <w:i w:val="0"/>
          <w:sz w:val="21"/>
        </w:rPr>
        <w:t>在 II 期临床试验中终止 [9]；OLT1177（Dapansutrile）虽已进入 III 期临床，但选择性与长期用药安全性仍存疑 [10]。</w:t>
      </w:r>
      <w:r>
        <w:rPr>
          <w:rFonts w:ascii="Times New Roman" w:hAnsi="Times New Roman" w:eastAsia="宋体"/>
          <w:b/>
          <w:i w:val="0"/>
          <w:sz w:val="21"/>
        </w:rPr>
        <w:t>(ii)</w:t>
      </w:r>
      <w:r>
        <w:rPr>
          <w:rFonts w:ascii="Times New Roman" w:hAnsi="Times New Roman" w:eastAsia="宋体"/>
          <w:b w:val="0"/>
          <w:i w:val="0"/>
          <w:sz w:val="21"/>
        </w:rPr>
        <w:t xml:space="preserve"> NLRP3 蛋白 NACHT 结构域的</w:t>
      </w:r>
      <w:r>
        <w:rPr>
          <w:rFonts w:ascii="Times New Roman" w:hAnsi="Times New Roman" w:eastAsia="宋体"/>
          <w:b/>
          <w:i w:val="0"/>
          <w:sz w:val="21"/>
        </w:rPr>
        <w:t>构象柔性</w:t>
      </w:r>
      <w:r>
        <w:rPr>
          <w:rFonts w:ascii="Times New Roman" w:hAnsi="Times New Roman" w:eastAsia="宋体"/>
          <w:b w:val="0"/>
          <w:i w:val="0"/>
          <w:sz w:val="21"/>
        </w:rPr>
        <w:t>与变构调控位点的存在使得传统 QSAR 方法难以精确刻画结构-活性关系 [49]。</w:t>
      </w:r>
      <w:r>
        <w:rPr>
          <w:rFonts w:ascii="Times New Roman" w:hAnsi="Times New Roman" w:eastAsia="宋体"/>
          <w:b/>
          <w:i w:val="0"/>
          <w:sz w:val="21"/>
        </w:rPr>
        <w:t>(iii)</w:t>
      </w:r>
      <w:r>
        <w:rPr>
          <w:rFonts w:ascii="Times New Roman" w:hAnsi="Times New Roman" w:eastAsia="宋体"/>
          <w:b w:val="0"/>
          <w:i w:val="0"/>
          <w:sz w:val="21"/>
        </w:rPr>
        <w:t xml:space="preserve"> 已发表的 NLRP3 活性化合物</w:t>
      </w:r>
      <w:r>
        <w:rPr>
          <w:rFonts w:ascii="Times New Roman" w:hAnsi="Times New Roman" w:eastAsia="宋体"/>
          <w:b/>
          <w:i w:val="0"/>
          <w:sz w:val="21"/>
        </w:rPr>
        <w:t>不足 1000 条</w:t>
      </w:r>
      <w:r>
        <w:rPr>
          <w:rFonts w:ascii="Times New Roman" w:hAnsi="Times New Roman" w:eastAsia="宋体"/>
          <w:b w:val="0"/>
          <w:i w:val="0"/>
          <w:sz w:val="21"/>
        </w:rPr>
        <w:t>，与可及的十亿级类药化学空间形成显著不对称。</w:t>
      </w:r>
    </w:p>
    <w:p>
      <w:pPr>
        <w:spacing w:after="80" w:line="360" w:lineRule="auto"/>
        <w:ind w:firstLine="420"/>
      </w:pPr>
      <w:r>
        <w:rPr>
          <w:rFonts w:ascii="Times New Roman" w:hAnsi="Times New Roman" w:eastAsia="宋体"/>
          <w:b/>
          <w:i w:val="0"/>
          <w:sz w:val="21"/>
        </w:rPr>
        <w:t>如何在小样本活性数据条件下高效遍历大规模化学空间、同时兼顾候选化合物的成药性评估、发现新型 NLRP3 抑制剂，构成了本研究试图回答的核心生物医学计算问题。</w:t>
      </w:r>
    </w:p>
    <w:p>
      <w:pPr>
        <w:spacing w:before="240" w:after="80"/>
      </w:pPr>
      <w:r>
        <w:rPr>
          <w:rFonts w:ascii="Times New Roman" w:hAnsi="Times New Roman" w:eastAsia="宋体"/>
          <w:b/>
          <w:i w:val="0"/>
          <w:color w:val="004C80"/>
          <w:sz w:val="24"/>
        </w:rPr>
        <w:t>1.2  AI 驱动虚拟筛选的关键挑战</w:t>
      </w:r>
    </w:p>
    <w:p>
      <w:pPr>
        <w:spacing w:after="80" w:line="360" w:lineRule="auto"/>
        <w:ind w:firstLine="420"/>
      </w:pPr>
      <w:r>
        <w:rPr>
          <w:rFonts w:ascii="Times New Roman" w:hAnsi="Times New Roman" w:eastAsia="宋体"/>
          <w:b w:val="0"/>
          <w:i w:val="0"/>
          <w:sz w:val="21"/>
        </w:rPr>
        <w:t>基于人工智能的虚拟筛选已成为加速药物发现的主流技术路径。近年来分子表征学习范式经历了三次演进：</w:t>
      </w:r>
      <w:r>
        <w:rPr>
          <w:rFonts w:ascii="Times New Roman" w:hAnsi="Times New Roman" w:eastAsia="宋体"/>
          <w:b/>
          <w:i w:val="0"/>
          <w:sz w:val="21"/>
        </w:rPr>
        <w:t>一维序列表征</w:t>
      </w:r>
      <w:r>
        <w:rPr>
          <w:rFonts w:ascii="Times New Roman" w:hAnsi="Times New Roman" w:eastAsia="宋体"/>
          <w:b w:val="0"/>
          <w:i w:val="0"/>
          <w:sz w:val="21"/>
        </w:rPr>
        <w:t>（Mol2Vec [16]、ChemBERTa [17]）以字符串或指纹形式编码分子；</w:t>
      </w:r>
      <w:r>
        <w:rPr>
          <w:rFonts w:ascii="Times New Roman" w:hAnsi="Times New Roman" w:eastAsia="宋体"/>
          <w:b/>
          <w:i w:val="0"/>
          <w:sz w:val="21"/>
        </w:rPr>
        <w:t>二维图表征</w:t>
      </w:r>
      <w:r>
        <w:rPr>
          <w:rFonts w:ascii="Times New Roman" w:hAnsi="Times New Roman" w:eastAsia="宋体"/>
          <w:b w:val="0"/>
          <w:i w:val="0"/>
          <w:sz w:val="21"/>
        </w:rPr>
        <w:t>（GCN [19]、GAT [20]、D-MPNN [21]、AttentiveFP [22]）通过图神经网络学习拓扑连接特征；</w:t>
      </w:r>
      <w:r>
        <w:rPr>
          <w:rFonts w:ascii="Times New Roman" w:hAnsi="Times New Roman" w:eastAsia="宋体"/>
          <w:b/>
          <w:i w:val="0"/>
          <w:sz w:val="21"/>
        </w:rPr>
        <w:t>三维几何表征</w:t>
      </w:r>
      <w:r>
        <w:rPr>
          <w:rFonts w:ascii="Times New Roman" w:hAnsi="Times New Roman" w:eastAsia="宋体"/>
          <w:b w:val="0"/>
          <w:i w:val="0"/>
          <w:sz w:val="21"/>
        </w:rPr>
        <w:t>（SchNet [24]、DimeNet [25]、SphereNet [26]）基于分子构象坐标建模空间几何。三种表征刻画分子活性决定因素的不同物理化学维度，任一单一范式均存在信息盲区，这一根本性局限催生了多模态分子学习范式。</w:t>
      </w:r>
    </w:p>
    <w:p>
      <w:pPr>
        <w:spacing w:after="80" w:line="360" w:lineRule="auto"/>
        <w:ind w:firstLine="420"/>
      </w:pPr>
      <w:r>
        <w:rPr>
          <w:rFonts w:ascii="Times New Roman" w:hAnsi="Times New Roman" w:eastAsia="宋体"/>
          <w:b w:val="0"/>
          <w:i w:val="0"/>
          <w:sz w:val="21"/>
        </w:rPr>
        <w:t>现有多模态融合方法可归为两条技术路线：</w:t>
      </w:r>
      <w:r>
        <w:rPr>
          <w:rFonts w:ascii="Times New Roman" w:hAnsi="Times New Roman" w:eastAsia="宋体"/>
          <w:b/>
          <w:i w:val="0"/>
          <w:sz w:val="21"/>
        </w:rPr>
        <w:t>静态融合</w:t>
      </w:r>
      <w:r>
        <w:rPr>
          <w:rFonts w:ascii="Times New Roman" w:hAnsi="Times New Roman" w:eastAsia="宋体"/>
          <w:b w:val="0"/>
          <w:i w:val="0"/>
          <w:sz w:val="21"/>
        </w:rPr>
        <w:t>（拼接、加权求和、门控）以固定策略整合各模态，简单但缺乏适应性；</w:t>
      </w:r>
      <w:r>
        <w:rPr>
          <w:rFonts w:ascii="Times New Roman" w:hAnsi="Times New Roman" w:eastAsia="宋体"/>
          <w:b/>
          <w:i w:val="0"/>
          <w:sz w:val="21"/>
        </w:rPr>
        <w:t>对比预训练融合</w:t>
      </w:r>
      <w:r>
        <w:rPr>
          <w:rFonts w:ascii="Times New Roman" w:hAnsi="Times New Roman" w:eastAsia="宋体"/>
          <w:b w:val="0"/>
          <w:i w:val="0"/>
          <w:sz w:val="21"/>
        </w:rPr>
        <w:t>（MolCLR [31]、Uni-Mol [30]、GEM [32]、KPGT [33]）通过大规模自监督预训练对齐多模态表征，虽表现优异，但存在两大应用瓶颈：预训练需要</w:t>
      </w:r>
      <w:r>
        <w:rPr>
          <w:rFonts w:ascii="Times New Roman" w:hAnsi="Times New Roman" w:eastAsia="宋体"/>
          <w:b/>
          <w:i w:val="0"/>
          <w:sz w:val="21"/>
        </w:rPr>
        <w:t>百万级 GPU 小时</w:t>
      </w:r>
      <w:r>
        <w:rPr>
          <w:rFonts w:ascii="Times New Roman" w:hAnsi="Times New Roman" w:eastAsia="宋体"/>
          <w:b w:val="0"/>
          <w:i w:val="0"/>
          <w:sz w:val="21"/>
        </w:rPr>
        <w:t>的算力投入；在小样本、专项靶点（如 NLRP3）上微调易出现过拟合与模态坍塌。</w:t>
      </w:r>
    </w:p>
    <w:p>
      <w:pPr>
        <w:spacing w:after="80" w:line="360" w:lineRule="auto"/>
        <w:ind w:firstLine="420"/>
      </w:pPr>
      <w:r>
        <w:rPr>
          <w:rFonts w:ascii="Times New Roman" w:hAnsi="Times New Roman" w:eastAsia="宋体"/>
          <w:b w:val="0"/>
          <w:i w:val="0"/>
          <w:sz w:val="21"/>
        </w:rPr>
        <w:t>综合来看，将 AI 多模态学习应用于 NLRP3 类小样本靶点药物发现仍面临</w:t>
      </w:r>
      <w:r>
        <w:rPr>
          <w:rFonts w:ascii="Times New Roman" w:hAnsi="Times New Roman" w:eastAsia="宋体"/>
          <w:b/>
          <w:i w:val="0"/>
          <w:sz w:val="21"/>
        </w:rPr>
        <w:t>四个未充分解决的关键挑战</w:t>
      </w:r>
      <w:r>
        <w:rPr>
          <w:rFonts w:ascii="Times New Roman" w:hAnsi="Times New Roman" w:eastAsia="宋体"/>
          <w:b w:val="0"/>
          <w:i w:val="0"/>
          <w:sz w:val="21"/>
        </w:rPr>
        <w:t>：</w:t>
      </w:r>
    </w:p>
    <w:p>
      <w:pPr>
        <w:spacing w:after="80" w:line="360" w:lineRule="auto"/>
        <w:ind w:firstLine="420"/>
      </w:pPr>
      <w:r>
        <w:rPr>
          <w:rFonts w:ascii="Times New Roman" w:hAnsi="Times New Roman" w:eastAsia="宋体"/>
          <w:b/>
          <w:i w:val="0"/>
          <w:sz w:val="21"/>
        </w:rPr>
        <w:t>(i) 模态坍塌</w:t>
      </w:r>
      <w:r>
        <w:rPr>
          <w:rFonts w:ascii="Times New Roman" w:hAnsi="Times New Roman" w:eastAsia="宋体"/>
          <w:b w:val="0"/>
          <w:i w:val="0"/>
          <w:sz w:val="21"/>
        </w:rPr>
        <w:t>：注意力融合机制在联合训练中易退化为单一模态主导，其余模态贡献接近零；</w:t>
      </w:r>
    </w:p>
    <w:p>
      <w:pPr>
        <w:spacing w:after="80" w:line="360" w:lineRule="auto"/>
        <w:ind w:firstLine="420"/>
      </w:pPr>
      <w:r>
        <w:rPr>
          <w:rFonts w:ascii="Times New Roman" w:hAnsi="Times New Roman" w:eastAsia="宋体"/>
          <w:b/>
          <w:i w:val="0"/>
          <w:sz w:val="21"/>
        </w:rPr>
        <w:t>(ii) 样本级异质性</w:t>
      </w:r>
      <w:r>
        <w:rPr>
          <w:rFonts w:ascii="Times New Roman" w:hAnsi="Times New Roman" w:eastAsia="宋体"/>
          <w:b w:val="0"/>
          <w:i w:val="0"/>
          <w:sz w:val="21"/>
        </w:rPr>
        <w:t>：不同分子对三种模态的依赖程度差异显著，全局统一的模态权重无法适应这种异质性；</w:t>
      </w:r>
    </w:p>
    <w:p>
      <w:pPr>
        <w:spacing w:after="80" w:line="360" w:lineRule="auto"/>
        <w:ind w:firstLine="420"/>
      </w:pPr>
      <w:r>
        <w:rPr>
          <w:rFonts w:ascii="Times New Roman" w:hAnsi="Times New Roman" w:eastAsia="宋体"/>
          <w:b/>
          <w:i w:val="0"/>
          <w:sz w:val="21"/>
        </w:rPr>
        <w:t>(iii) 活性与成药性割裂</w:t>
      </w:r>
      <w:r>
        <w:rPr>
          <w:rFonts w:ascii="Times New Roman" w:hAnsi="Times New Roman" w:eastAsia="宋体"/>
          <w:b w:val="0"/>
          <w:i w:val="0"/>
          <w:sz w:val="21"/>
        </w:rPr>
        <w:t>：大多数 AI 药物发现工作仅预测活性，忽略了同步评估药物相似性、毒性等成药关键属性，导致高活性但差成药性的候选化合物错误进入后续昂贵实验；</w:t>
      </w:r>
    </w:p>
    <w:p>
      <w:pPr>
        <w:spacing w:after="80" w:line="360" w:lineRule="auto"/>
        <w:ind w:firstLine="420"/>
      </w:pPr>
      <w:r>
        <w:rPr>
          <w:rFonts w:ascii="Times New Roman" w:hAnsi="Times New Roman" w:eastAsia="宋体"/>
          <w:b/>
          <w:i w:val="0"/>
          <w:sz w:val="21"/>
        </w:rPr>
        <w:t>(iv) 大规模筛选的效率-精度权衡</w:t>
      </w:r>
      <w:r>
        <w:rPr>
          <w:rFonts w:ascii="Times New Roman" w:hAnsi="Times New Roman" w:eastAsia="宋体"/>
          <w:b w:val="0"/>
          <w:i w:val="0"/>
          <w:sz w:val="21"/>
        </w:rPr>
        <w:t>：包含 3D 分支的高精度模型单分子推理开销约 100 ms，直接应用于千万级化学库需数千 GPU 天，工程上不可行。</w:t>
      </w:r>
    </w:p>
    <w:p>
      <w:pPr>
        <w:spacing w:before="240" w:after="80"/>
      </w:pPr>
      <w:r>
        <w:rPr>
          <w:rFonts w:ascii="Times New Roman" w:hAnsi="Times New Roman" w:eastAsia="宋体"/>
          <w:b/>
          <w:i w:val="0"/>
          <w:color w:val="004C80"/>
          <w:sz w:val="24"/>
        </w:rPr>
        <w:t>1.3  本文贡献</w:t>
      </w:r>
    </w:p>
    <w:p>
      <w:pPr>
        <w:spacing w:after="80" w:line="360" w:lineRule="auto"/>
        <w:ind w:firstLine="420"/>
      </w:pPr>
      <w:r>
        <w:rPr>
          <w:rFonts w:ascii="Times New Roman" w:hAnsi="Times New Roman" w:eastAsia="宋体"/>
          <w:b w:val="0"/>
          <w:i w:val="0"/>
          <w:sz w:val="21"/>
        </w:rPr>
        <w:t>本文以 NLRP3 抑制剂发现为具体临床应用载体，系统回应上述挑战，主要贡献可概括为：</w:t>
      </w:r>
    </w:p>
    <w:p>
      <w:pPr>
        <w:spacing w:after="80" w:line="360" w:lineRule="auto"/>
        <w:ind w:firstLine="420"/>
      </w:pPr>
      <w:r>
        <w:rPr>
          <w:rFonts w:ascii="Times New Roman" w:hAnsi="Times New Roman" w:eastAsia="宋体"/>
          <w:b/>
          <w:i w:val="0"/>
          <w:sz w:val="21"/>
        </w:rPr>
        <w:t>贡献 1（临床应用价值）</w:t>
      </w:r>
      <w:r>
        <w:rPr>
          <w:rFonts w:ascii="Times New Roman" w:hAnsi="Times New Roman" w:eastAsia="宋体"/>
          <w:b w:val="0"/>
          <w:i w:val="0"/>
          <w:sz w:val="21"/>
        </w:rPr>
        <w:t>：建立面向 NLRP3 靶点的完整 AI 药物发现流程，从 ZINC 数据库 880 万分子中识别出 8 个具备完整多层次计算证据链的新颖候选化合物，为 NLRP3 相关慢性疾病的药物开发提供高质量计算起点。</w:t>
      </w:r>
    </w:p>
    <w:p>
      <w:pPr>
        <w:spacing w:after="80" w:line="360" w:lineRule="auto"/>
        <w:ind w:firstLine="420"/>
      </w:pPr>
      <w:r>
        <w:rPr>
          <w:rFonts w:ascii="Times New Roman" w:hAnsi="Times New Roman" w:eastAsia="宋体"/>
          <w:b/>
          <w:i w:val="0"/>
          <w:sz w:val="21"/>
        </w:rPr>
        <w:t>贡献 2（分层多模态融合架构）</w:t>
      </w:r>
      <w:r>
        <w:rPr>
          <w:rFonts w:ascii="Times New Roman" w:hAnsi="Times New Roman" w:eastAsia="宋体"/>
          <w:b w:val="0"/>
          <w:i w:val="0"/>
          <w:sz w:val="21"/>
        </w:rPr>
        <w:t>：提出 STG-Mol 分层三模态融合模块——通过</w:t>
      </w:r>
      <w:r>
        <w:rPr>
          <w:rFonts w:ascii="Times New Roman" w:hAnsi="Times New Roman" w:eastAsia="宋体"/>
          <w:b/>
          <w:i w:val="0"/>
          <w:sz w:val="21"/>
        </w:rPr>
        <w:t>跨模态注意力</w:t>
      </w:r>
      <w:r>
        <w:rPr>
          <w:rFonts w:ascii="Times New Roman" w:hAnsi="Times New Roman" w:eastAsia="宋体"/>
          <w:b w:val="0"/>
          <w:i w:val="0"/>
          <w:sz w:val="21"/>
        </w:rPr>
        <w:t xml:space="preserve">（两两模态交互）+ </w:t>
      </w:r>
      <w:r>
        <w:rPr>
          <w:rFonts w:ascii="Times New Roman" w:hAnsi="Times New Roman" w:eastAsia="宋体"/>
          <w:b/>
          <w:i w:val="0"/>
          <w:sz w:val="21"/>
        </w:rPr>
        <w:t>门控融合单元</w:t>
      </w:r>
      <w:r>
        <w:rPr>
          <w:rFonts w:ascii="Times New Roman" w:hAnsi="Times New Roman" w:eastAsia="宋体"/>
          <w:b w:val="0"/>
          <w:i w:val="0"/>
          <w:sz w:val="21"/>
        </w:rPr>
        <w:t xml:space="preserve"> + </w:t>
      </w:r>
      <w:r>
        <w:rPr>
          <w:rFonts w:ascii="Times New Roman" w:hAnsi="Times New Roman" w:eastAsia="宋体"/>
          <w:b/>
          <w:i w:val="0"/>
          <w:sz w:val="21"/>
        </w:rPr>
        <w:t>低秩双线性融合</w:t>
      </w:r>
      <w:r>
        <w:rPr>
          <w:rFonts w:ascii="Times New Roman" w:hAnsi="Times New Roman" w:eastAsia="宋体"/>
          <w:b w:val="0"/>
          <w:i w:val="0"/>
          <w:sz w:val="21"/>
        </w:rPr>
        <w:t xml:space="preserve">（二阶交互）+ </w:t>
      </w:r>
      <w:r>
        <w:rPr>
          <w:rFonts w:ascii="Times New Roman" w:hAnsi="Times New Roman" w:eastAsia="宋体"/>
          <w:b/>
          <w:i w:val="0"/>
          <w:sz w:val="21"/>
        </w:rPr>
        <w:t>可学习重要性网络</w:t>
      </w:r>
      <w:r>
        <w:rPr>
          <w:rFonts w:ascii="Times New Roman" w:hAnsi="Times New Roman" w:eastAsia="宋体"/>
          <w:b w:val="0"/>
          <w:i w:val="0"/>
          <w:sz w:val="21"/>
        </w:rPr>
        <w:t>（样本级模态权重分配）四种机制的系统整合，突破了现有静态融合的局限。</w:t>
      </w:r>
    </w:p>
    <w:p>
      <w:pPr>
        <w:spacing w:after="80" w:line="360" w:lineRule="auto"/>
        <w:ind w:firstLine="420"/>
      </w:pPr>
      <w:r>
        <w:rPr>
          <w:rFonts w:ascii="Times New Roman" w:hAnsi="Times New Roman" w:eastAsia="宋体"/>
          <w:b/>
          <w:i w:val="0"/>
          <w:sz w:val="21"/>
        </w:rPr>
        <w:t>贡献 3（活性-ADMET 多任务联合学习）</w:t>
      </w:r>
      <w:r>
        <w:rPr>
          <w:rFonts w:ascii="Times New Roman" w:hAnsi="Times New Roman" w:eastAsia="宋体"/>
          <w:b w:val="0"/>
          <w:i w:val="0"/>
          <w:sz w:val="21"/>
        </w:rPr>
        <w:t>：在活性预测主任务基础上，联合预测五项 ADMET 药物相似性指标（Lipinski 五规则、QED 药物相似性、PAINS 过滤、合成可及性、LogP 平衡性），既提升了活性预测精度（MCC 从 0.8215 提升至 0.8502），又实现了成药性属性的一体化输出，为</w:t>
      </w:r>
      <w:r>
        <w:rPr>
          <w:rFonts w:ascii="Times New Roman" w:hAnsi="Times New Roman" w:eastAsia="宋体"/>
          <w:b/>
          <w:i w:val="0"/>
          <w:sz w:val="21"/>
        </w:rPr>
        <w:t>"活性 + 安全性并重"</w:t>
      </w:r>
      <w:r>
        <w:rPr>
          <w:rFonts w:ascii="Times New Roman" w:hAnsi="Times New Roman" w:eastAsia="宋体"/>
          <w:b w:val="0"/>
          <w:i w:val="0"/>
          <w:sz w:val="21"/>
        </w:rPr>
        <w:t>的现代 AI 药物发现范式提供了具体实现。</w:t>
      </w:r>
    </w:p>
    <w:p>
      <w:pPr>
        <w:spacing w:after="80" w:line="360" w:lineRule="auto"/>
        <w:ind w:firstLine="420"/>
      </w:pPr>
      <w:r>
        <w:rPr>
          <w:rFonts w:ascii="Times New Roman" w:hAnsi="Times New Roman" w:eastAsia="宋体"/>
          <w:b/>
          <w:i w:val="0"/>
          <w:sz w:val="21"/>
        </w:rPr>
        <w:t>贡献 4（双精度级联筛选架构）</w:t>
      </w:r>
      <w:r>
        <w:rPr>
          <w:rFonts w:ascii="Times New Roman" w:hAnsi="Times New Roman" w:eastAsia="宋体"/>
          <w:b w:val="0"/>
          <w:i w:val="0"/>
          <w:sz w:val="21"/>
        </w:rPr>
        <w:t>：将样本自适应融合能力扩展至千万级化学空间，相较单阶段全模态筛选加速约 12 倍并保持高召回，为 AI 药物发现的工业级部署提供参考实现。</w:t>
      </w:r>
    </w:p>
    <w:p>
      <w:pPr>
        <w:spacing w:after="80" w:line="360" w:lineRule="auto"/>
        <w:ind w:firstLine="420"/>
      </w:pPr>
      <w:r>
        <w:rPr>
          <w:rFonts w:ascii="Times New Roman" w:hAnsi="Times New Roman" w:eastAsia="宋体"/>
          <w:b w:val="0"/>
          <w:i w:val="0"/>
          <w:sz w:val="21"/>
        </w:rPr>
        <w:t>本文其余章节安排如下：第 2 章综述相关工作；第 3 章介绍 STG-Mol 方法框架；第 4 章描述实验设置；第 5 章报告实验结果与分析；第 6 章讨论临床转化意义、方法学价值与研究局限；第 7 章总结全文。</w:t>
      </w:r>
    </w:p>
    <w:p>
      <w:pPr>
        <w:spacing w:before="360" w:after="120"/>
      </w:pPr>
      <w:r>
        <w:rPr>
          <w:rFonts w:ascii="Times New Roman" w:hAnsi="Times New Roman" w:eastAsia="宋体"/>
          <w:b/>
          <w:i w:val="0"/>
          <w:color w:val="003366"/>
          <w:sz w:val="28"/>
        </w:rPr>
        <w:t>2  相关工作</w:t>
      </w:r>
    </w:p>
    <w:p>
      <w:pPr>
        <w:spacing w:before="240" w:after="80"/>
      </w:pPr>
      <w:r>
        <w:rPr>
          <w:rFonts w:ascii="Times New Roman" w:hAnsi="Times New Roman" w:eastAsia="宋体"/>
          <w:b/>
          <w:i w:val="0"/>
          <w:color w:val="004C80"/>
          <w:sz w:val="24"/>
        </w:rPr>
        <w:t>2.1  AI 在药物发现中的研究进展</w:t>
      </w:r>
    </w:p>
    <w:p>
      <w:pPr>
        <w:spacing w:after="80" w:line="360" w:lineRule="auto"/>
        <w:ind w:firstLine="420"/>
      </w:pPr>
      <w:r>
        <w:rPr>
          <w:rFonts w:ascii="Times New Roman" w:hAnsi="Times New Roman" w:eastAsia="宋体"/>
          <w:b w:val="0"/>
          <w:i w:val="0"/>
          <w:sz w:val="21"/>
        </w:rPr>
        <w:t>过去十年，人工智能技术在药物发现全流程中发挥日益重要的作用。在靶点识别与验证阶段，图神经网络的蛋白-蛋白相互作用预测、Transformer 蛋白结构预测（AlphaFold）大幅加速了新靶点发现；在苗头化合物发现阶段，深度学习虚拟筛选、生成模型驱动的分子从头设计、强化学习分子优化逐步替代传统 QSAR；在临床前评估阶段，深度 ADMET 预测模型与图神经网络性质预测显著提升了成药性评估效率。</w:t>
      </w:r>
    </w:p>
    <w:p>
      <w:pPr>
        <w:spacing w:before="240" w:after="80"/>
      </w:pPr>
      <w:r>
        <w:rPr>
          <w:rFonts w:ascii="Times New Roman" w:hAnsi="Times New Roman" w:eastAsia="宋体"/>
          <w:b/>
          <w:i w:val="0"/>
          <w:color w:val="004C80"/>
          <w:sz w:val="24"/>
        </w:rPr>
        <w:t>2.2  分子表征学习</w:t>
      </w:r>
    </w:p>
    <w:p>
      <w:pPr>
        <w:spacing w:after="80" w:line="360" w:lineRule="auto"/>
        <w:ind w:firstLine="420"/>
      </w:pPr>
      <w:r>
        <w:rPr>
          <w:rFonts w:ascii="Times New Roman" w:hAnsi="Times New Roman" w:eastAsia="宋体"/>
          <w:b/>
          <w:i w:val="0"/>
          <w:sz w:val="21"/>
        </w:rPr>
        <w:t>1D 序列表征</w:t>
      </w:r>
      <w:r>
        <w:rPr>
          <w:rFonts w:ascii="Times New Roman" w:hAnsi="Times New Roman" w:eastAsia="宋体"/>
          <w:b w:val="0"/>
          <w:i w:val="0"/>
          <w:sz w:val="21"/>
        </w:rPr>
        <w:t>：Morgan/ECFP 指纹 [18]、Mol2Vec [16]、ChemBERTa [17]、MolFormer [29]。</w:t>
      </w:r>
      <w:r>
        <w:rPr>
          <w:rFonts w:ascii="Times New Roman" w:hAnsi="Times New Roman" w:eastAsia="宋体"/>
          <w:b/>
          <w:i w:val="0"/>
          <w:sz w:val="21"/>
        </w:rPr>
        <w:t>2D 图表征</w:t>
      </w:r>
      <w:r>
        <w:rPr>
          <w:rFonts w:ascii="Times New Roman" w:hAnsi="Times New Roman" w:eastAsia="宋体"/>
          <w:b w:val="0"/>
          <w:i w:val="0"/>
          <w:sz w:val="21"/>
        </w:rPr>
        <w:t>：GCN [19]、GAT [20]、MPNN [23]、D-MPNN [21]、AttentiveFP [22]。</w:t>
      </w:r>
      <w:r>
        <w:rPr>
          <w:rFonts w:ascii="Times New Roman" w:hAnsi="Times New Roman" w:eastAsia="宋体"/>
          <w:b/>
          <w:i w:val="0"/>
          <w:sz w:val="21"/>
        </w:rPr>
        <w:t>3D 几何表征</w:t>
      </w:r>
      <w:r>
        <w:rPr>
          <w:rFonts w:ascii="Times New Roman" w:hAnsi="Times New Roman" w:eastAsia="宋体"/>
          <w:b w:val="0"/>
          <w:i w:val="0"/>
          <w:sz w:val="21"/>
        </w:rPr>
        <w:t>：SchNet [24]、DimeNet [25]、SphereNet [26]、EGNN [27]、PaiNN [28]。三种范式互补但均存在信息盲区。</w:t>
      </w:r>
    </w:p>
    <w:p>
      <w:pPr>
        <w:spacing w:before="240" w:after="80"/>
      </w:pPr>
      <w:r>
        <w:rPr>
          <w:rFonts w:ascii="Times New Roman" w:hAnsi="Times New Roman" w:eastAsia="宋体"/>
          <w:b/>
          <w:i w:val="0"/>
          <w:color w:val="004C80"/>
          <w:sz w:val="24"/>
        </w:rPr>
        <w:t>2.3  多模态分子融合</w:t>
      </w:r>
    </w:p>
    <w:p>
      <w:pPr>
        <w:spacing w:after="80" w:line="360" w:lineRule="auto"/>
        <w:ind w:firstLine="420"/>
      </w:pPr>
      <w:r>
        <w:rPr>
          <w:rFonts w:ascii="Times New Roman" w:hAnsi="Times New Roman" w:eastAsia="宋体"/>
          <w:b/>
          <w:i w:val="0"/>
          <w:sz w:val="21"/>
        </w:rPr>
        <w:t>静态融合方法</w:t>
      </w:r>
      <w:r>
        <w:rPr>
          <w:rFonts w:ascii="Times New Roman" w:hAnsi="Times New Roman" w:eastAsia="宋体"/>
          <w:b w:val="0"/>
          <w:i w:val="0"/>
          <w:sz w:val="21"/>
        </w:rPr>
        <w:t>：拼接融合、门控融合、双线性池化等。</w:t>
      </w:r>
      <w:r>
        <w:rPr>
          <w:rFonts w:ascii="Times New Roman" w:hAnsi="Times New Roman" w:eastAsia="宋体"/>
          <w:b/>
          <w:i w:val="0"/>
          <w:sz w:val="21"/>
        </w:rPr>
        <w:t>对比预训练融合</w:t>
      </w:r>
      <w:r>
        <w:rPr>
          <w:rFonts w:ascii="Times New Roman" w:hAnsi="Times New Roman" w:eastAsia="宋体"/>
          <w:b w:val="0"/>
          <w:i w:val="0"/>
          <w:sz w:val="21"/>
        </w:rPr>
        <w:t>：MolCLR [31]、Uni-Mol [30]、GEM [32]、KPGT [33]、GROVER [38]。</w:t>
      </w:r>
    </w:p>
    <w:p>
      <w:pPr>
        <w:spacing w:after="60" w:line="312" w:lineRule="auto"/>
        <w:ind w:left="283"/>
      </w:pPr>
      <w:r>
        <w:rPr>
          <w:rFonts w:ascii="Times New Roman" w:hAnsi="Times New Roman" w:eastAsia="宋体"/>
          <w:b w:val="0"/>
          <w:i/>
          <w:color w:val="5A5A5A"/>
          <w:sz w:val="19"/>
        </w:rPr>
        <w:t>Gap analysis：现有多模态融合方法在小样本靶点上存在模态坍塌、缺乏样本级自适应、无法同时预测活性与成药性等问题。</w:t>
      </w:r>
    </w:p>
    <w:p>
      <w:pPr>
        <w:spacing w:before="240" w:after="80"/>
      </w:pPr>
      <w:r>
        <w:rPr>
          <w:rFonts w:ascii="Times New Roman" w:hAnsi="Times New Roman" w:eastAsia="宋体"/>
          <w:b/>
          <w:i w:val="0"/>
          <w:color w:val="004C80"/>
          <w:sz w:val="24"/>
        </w:rPr>
        <w:t>2.4  多任务学习在分子性质预测中的应用</w:t>
      </w:r>
    </w:p>
    <w:p>
      <w:pPr>
        <w:spacing w:after="80" w:line="360" w:lineRule="auto"/>
        <w:ind w:firstLine="420"/>
      </w:pPr>
      <w:r>
        <w:rPr>
          <w:rFonts w:ascii="Times New Roman" w:hAnsi="Times New Roman" w:eastAsia="宋体"/>
          <w:b w:val="0"/>
          <w:i w:val="0"/>
          <w:sz w:val="21"/>
        </w:rPr>
        <w:t>多任务学习通过共享底层表征并联合优化多个相关任务，能够引入归纳偏差、缓解小样本过拟合。在分子性质预测领域，MolTrans、Chemprop 多任务扩展等工作已展示了多任务框架的价值。</w:t>
      </w:r>
      <w:r>
        <w:rPr>
          <w:rFonts w:ascii="Times New Roman" w:hAnsi="Times New Roman" w:eastAsia="宋体"/>
          <w:b/>
          <w:i w:val="0"/>
          <w:sz w:val="21"/>
        </w:rPr>
        <w:t>然而，将活性预测与药物相似性（ADMET）作为联合优化任务进行系统研究仍相对缺乏</w:t>
      </w:r>
      <w:r>
        <w:rPr>
          <w:rFonts w:ascii="Times New Roman" w:hAnsi="Times New Roman" w:eastAsia="宋体"/>
          <w:b w:val="0"/>
          <w:i w:val="0"/>
          <w:sz w:val="21"/>
        </w:rPr>
        <w:t>。本文在 STG-Mol 中引入活性 + 5 项 ADMET 二分类的多任务学习范式，是</w:t>
      </w:r>
      <w:r>
        <w:rPr>
          <w:rFonts w:ascii="Times New Roman" w:hAnsi="Times New Roman" w:eastAsia="宋体"/>
          <w:b/>
          <w:i w:val="0"/>
          <w:sz w:val="21"/>
        </w:rPr>
        <w:t>面向 NLRP3 靶点药物发现的首次系统性尝试</w:t>
      </w:r>
      <w:r>
        <w:rPr>
          <w:rFonts w:ascii="Times New Roman" w:hAnsi="Times New Roman" w:eastAsia="宋体"/>
          <w:b w:val="0"/>
          <w:i w:val="0"/>
          <w:sz w:val="21"/>
        </w:rPr>
        <w:t>。</w:t>
      </w:r>
    </w:p>
    <w:p>
      <w:pPr>
        <w:spacing w:before="240" w:after="80"/>
      </w:pPr>
      <w:r>
        <w:rPr>
          <w:rFonts w:ascii="Times New Roman" w:hAnsi="Times New Roman" w:eastAsia="宋体"/>
          <w:b/>
          <w:i w:val="0"/>
          <w:color w:val="004C80"/>
          <w:sz w:val="24"/>
        </w:rPr>
        <w:t>2.5  大规模虚拟筛选</w:t>
      </w:r>
    </w:p>
    <w:p>
      <w:pPr>
        <w:spacing w:after="80" w:line="360" w:lineRule="auto"/>
        <w:ind w:firstLine="420"/>
      </w:pPr>
      <w:r>
        <w:rPr>
          <w:rFonts w:ascii="Times New Roman" w:hAnsi="Times New Roman" w:eastAsia="宋体"/>
          <w:b/>
          <w:i w:val="0"/>
          <w:sz w:val="21"/>
        </w:rPr>
        <w:t>基于对接的传统流程</w:t>
      </w:r>
      <w:r>
        <w:rPr>
          <w:rFonts w:ascii="Times New Roman" w:hAnsi="Times New Roman" w:eastAsia="宋体"/>
          <w:b w:val="0"/>
          <w:i w:val="0"/>
          <w:sz w:val="21"/>
        </w:rPr>
        <w:t>（AutoDock Vina [56]、Glide、GOLD、DOCK 3.7）单分子耗时长；</w:t>
      </w:r>
      <w:r>
        <w:rPr>
          <w:rFonts w:ascii="Times New Roman" w:hAnsi="Times New Roman" w:eastAsia="宋体"/>
          <w:b/>
          <w:i w:val="0"/>
          <w:sz w:val="21"/>
        </w:rPr>
        <w:t>基于机器学习的高通量筛选</w:t>
      </w:r>
      <w:r>
        <w:rPr>
          <w:rFonts w:ascii="Times New Roman" w:hAnsi="Times New Roman" w:eastAsia="宋体"/>
          <w:b w:val="0"/>
          <w:i w:val="0"/>
          <w:sz w:val="21"/>
        </w:rPr>
        <w:t>（DeepChem、ChemProp [21]、Deep Docking、MolPAL）显著提升通量；</w:t>
      </w:r>
      <w:r>
        <w:rPr>
          <w:rFonts w:ascii="Times New Roman" w:hAnsi="Times New Roman" w:eastAsia="宋体"/>
          <w:b/>
          <w:i w:val="0"/>
          <w:sz w:val="21"/>
        </w:rPr>
        <w:t>级联筛选架构</w:t>
      </w:r>
      <w:r>
        <w:rPr>
          <w:rFonts w:ascii="Times New Roman" w:hAnsi="Times New Roman" w:eastAsia="宋体"/>
          <w:b w:val="0"/>
          <w:i w:val="0"/>
          <w:sz w:val="21"/>
        </w:rPr>
        <w:t>（V-SYNTHES、Graff 等）将多阶段策略与深度学习结合。</w:t>
      </w:r>
    </w:p>
    <w:p>
      <w:pPr>
        <w:spacing w:before="240" w:after="80"/>
      </w:pPr>
      <w:r>
        <w:rPr>
          <w:rFonts w:ascii="Times New Roman" w:hAnsi="Times New Roman" w:eastAsia="宋体"/>
          <w:b/>
          <w:i w:val="0"/>
          <w:color w:val="004C80"/>
          <w:sz w:val="24"/>
        </w:rPr>
        <w:t>2.6  NLRP3 抑制剂的计算机辅助发现进展</w:t>
      </w:r>
    </w:p>
    <w:p>
      <w:pPr>
        <w:spacing w:after="80" w:line="360" w:lineRule="auto"/>
        <w:ind w:firstLine="420"/>
      </w:pPr>
      <w:r>
        <w:rPr>
          <w:rFonts w:ascii="Times New Roman" w:hAnsi="Times New Roman" w:eastAsia="宋体"/>
          <w:b w:val="0"/>
          <w:i w:val="0"/>
          <w:sz w:val="21"/>
        </w:rPr>
        <w:t>已知 NLRP3 抑制剂主要分为三类：</w:t>
      </w:r>
      <w:r>
        <w:rPr>
          <w:rFonts w:ascii="Times New Roman" w:hAnsi="Times New Roman" w:eastAsia="宋体"/>
          <w:b/>
          <w:i w:val="0"/>
          <w:sz w:val="21"/>
        </w:rPr>
        <w:t>MCC950 类</w:t>
      </w:r>
      <w:r>
        <w:rPr>
          <w:rFonts w:ascii="Times New Roman" w:hAnsi="Times New Roman" w:eastAsia="宋体"/>
          <w:b w:val="0"/>
          <w:i w:val="0"/>
          <w:sz w:val="21"/>
        </w:rPr>
        <w:t>（磺酰脲结构，直接结合 NACHT Walker B motif）[9]；</w:t>
      </w:r>
      <w:r>
        <w:rPr>
          <w:rFonts w:ascii="Times New Roman" w:hAnsi="Times New Roman" w:eastAsia="宋体"/>
          <w:b/>
          <w:i w:val="0"/>
          <w:sz w:val="21"/>
        </w:rPr>
        <w:t>CY-09 类</w:t>
      </w:r>
      <w:r>
        <w:rPr>
          <w:rFonts w:ascii="Times New Roman" w:hAnsi="Times New Roman" w:eastAsia="宋体"/>
          <w:b w:val="0"/>
          <w:i w:val="0"/>
          <w:sz w:val="21"/>
        </w:rPr>
        <w:t>（含硫脲结构，抑制 ATPase 活性）[11]；</w:t>
      </w:r>
      <w:r>
        <w:rPr>
          <w:rFonts w:ascii="Times New Roman" w:hAnsi="Times New Roman" w:eastAsia="宋体"/>
          <w:b/>
          <w:i w:val="0"/>
          <w:sz w:val="21"/>
        </w:rPr>
        <w:t>天然产物类</w:t>
      </w:r>
      <w:r>
        <w:rPr>
          <w:rFonts w:ascii="Times New Roman" w:hAnsi="Times New Roman" w:eastAsia="宋体"/>
          <w:b w:val="0"/>
          <w:i w:val="0"/>
          <w:sz w:val="21"/>
        </w:rPr>
        <w:t>（Oridonin [12]、Tranilast [13]）。计算研究多为对接分析或经典 QSAR，缺少端到端 AI 全流程 + 完整多层次验证 + 多任务活性-ADMET 联合预测的整合工作。</w:t>
      </w:r>
    </w:p>
    <w:p>
      <w:pPr>
        <w:spacing w:after="60" w:line="312" w:lineRule="auto"/>
        <w:ind w:left="283"/>
      </w:pPr>
      <w:r>
        <w:rPr>
          <w:rFonts w:ascii="Times New Roman" w:hAnsi="Times New Roman" w:eastAsia="宋体"/>
          <w:b w:val="0"/>
          <w:i/>
          <w:color w:val="5A5A5A"/>
          <w:sz w:val="19"/>
        </w:rPr>
        <w:t>Gap analysis：迄今尚未见到将分层多模态融合、多任务联合预测、级联虚拟筛选与完整多层次计算验证系统整合应用于 NLRP3 抑制剂发现的工作。本文填补这一空白。</w:t>
      </w:r>
    </w:p>
    <w:p>
      <w:pPr>
        <w:spacing w:before="360" w:after="120"/>
      </w:pPr>
      <w:r>
        <w:rPr>
          <w:rFonts w:ascii="Times New Roman" w:hAnsi="Times New Roman" w:eastAsia="宋体"/>
          <w:b/>
          <w:i w:val="0"/>
          <w:color w:val="003366"/>
          <w:sz w:val="28"/>
        </w:rPr>
        <w:t>3  方法</w:t>
      </w:r>
    </w:p>
    <w:p>
      <w:pPr>
        <w:spacing w:before="240" w:after="80"/>
      </w:pPr>
      <w:r>
        <w:rPr>
          <w:rFonts w:ascii="Times New Roman" w:hAnsi="Times New Roman" w:eastAsia="宋体"/>
          <w:b/>
          <w:i w:val="0"/>
          <w:color w:val="004C80"/>
          <w:sz w:val="24"/>
        </w:rPr>
        <w:t>3.1  问题形式化</w:t>
      </w:r>
    </w:p>
    <w:p>
      <w:pPr>
        <w:spacing w:after="80" w:line="360" w:lineRule="auto"/>
        <w:ind w:firstLine="420"/>
      </w:pPr>
      <w:r>
        <w:rPr>
          <w:rFonts w:ascii="Times New Roman" w:hAnsi="Times New Roman" w:eastAsia="宋体"/>
          <w:b w:val="0"/>
          <w:i w:val="0"/>
          <w:sz w:val="21"/>
        </w:rPr>
        <w:t>给定分子集合 M = {mᵢ} 与主任务活性标签 y ∈ {0, 1}，多任务扩展额外引入五项 ADMET 二分类辅助任务 aᵢ ∈ {0,1}^5。对每个分子提取三种模态表征：</w:t>
      </w:r>
    </w:p>
    <w:p>
      <w:pPr>
        <w:spacing w:before="80" w:after="120"/>
        <w:jc w:val="center"/>
      </w:pPr>
      <w:r>
        <w:rPr>
          <w:rFonts w:ascii="Cambria Math" w:hAnsi="Cambria Math"/>
          <w:sz w:val="22"/>
        </w:rPr>
        <w:t>xᵢ¹ᴰ ∈ 𝒳¹ᴰ,    xᵢ²ᴰ ∈ 𝒳²ᴰ,    xᵢ³ᴰ ∈ 𝒳³ᴰ</w:t>
      </w:r>
    </w:p>
    <w:p>
      <w:pPr>
        <w:spacing w:after="80" w:line="360" w:lineRule="auto"/>
        <w:ind w:firstLine="420"/>
      </w:pPr>
      <w:r>
        <w:rPr>
          <w:rFonts w:ascii="Times New Roman" w:hAnsi="Times New Roman" w:eastAsia="宋体"/>
          <w:b w:val="0"/>
          <w:i w:val="0"/>
          <w:sz w:val="21"/>
        </w:rPr>
        <w:t>模型目标是学习联合映射 f_θ : (𝒳¹ᴰ × 𝒳²ᴰ × 𝒳³ᴰ) → [0,1] × [0,1]^5，同时输出活性概率与五项 ADMET 概率。</w:t>
      </w:r>
    </w:p>
    <w:p>
      <w:pPr>
        <w:spacing w:before="240" w:after="80"/>
      </w:pPr>
      <w:r>
        <w:rPr>
          <w:rFonts w:ascii="Times New Roman" w:hAnsi="Times New Roman" w:eastAsia="宋体"/>
          <w:b/>
          <w:i w:val="0"/>
          <w:color w:val="004C80"/>
          <w:sz w:val="24"/>
        </w:rPr>
        <w:t>3.2  STG-Mol 总体框架</w:t>
      </w:r>
    </w:p>
    <w:p>
      <w:pPr>
        <w:spacing w:after="80" w:line="360" w:lineRule="auto"/>
        <w:ind w:firstLine="420"/>
      </w:pPr>
      <w:r>
        <w:rPr>
          <w:rFonts w:ascii="Times New Roman" w:hAnsi="Times New Roman" w:eastAsia="宋体"/>
          <w:b w:val="0"/>
          <w:i w:val="0"/>
          <w:sz w:val="21"/>
        </w:rPr>
        <w:t>STG-Mol 由五个模块串联构成：(1) 三分支模态编码器；(2) 分层三模态融合模块；(3) 主分类头（活性预测）；(4) ADMET 多任务分类头（5 头联合预测）；(5) 双精度级联筛选架构。</w:t>
      </w:r>
    </w:p>
    <w:p>
      <w:pPr>
        <w:spacing w:before="80" w:after="120"/>
        <w:jc w:val="center"/>
      </w:pPr>
      <w:r>
        <w:rPr>
          <w:rFonts w:ascii="Cambria Math" w:hAnsi="Cambria Math"/>
          <w:sz w:val="22"/>
        </w:rPr>
        <w:t>ŷ_activity = σ(MLP_main(HierarchicalFusion(E₁ᴅ, E₂ᴅ, E₃ᴅ)))</w:t>
      </w:r>
    </w:p>
    <w:p>
      <w:pPr>
        <w:spacing w:before="80" w:after="120"/>
        <w:jc w:val="center"/>
      </w:pPr>
      <w:r>
        <w:rPr>
          <w:rFonts w:ascii="Cambria Math" w:hAnsi="Cambria Math"/>
          <w:sz w:val="22"/>
        </w:rPr>
        <w:t>ŷ_admet    = σ(MLP_admet(HierarchicalFusion(E₁ᴅ, E₂ᴅ, E₃ᴅ)))</w:t>
      </w:r>
    </w:p>
    <w:p>
      <w:pPr>
        <w:spacing w:before="240" w:after="80"/>
      </w:pPr>
      <w:r>
        <w:rPr>
          <w:rFonts w:ascii="Times New Roman" w:hAnsi="Times New Roman" w:eastAsia="宋体"/>
          <w:b/>
          <w:i w:val="0"/>
          <w:color w:val="004C80"/>
          <w:sz w:val="24"/>
        </w:rPr>
        <w:t>3.3  模态编码器</w:t>
      </w:r>
    </w:p>
    <w:p>
      <w:pPr>
        <w:spacing w:before="160" w:after="40"/>
      </w:pPr>
      <w:r>
        <w:rPr>
          <w:rFonts w:ascii="Times New Roman" w:hAnsi="Times New Roman" w:eastAsia="宋体"/>
          <w:b/>
          <w:i w:val="0"/>
          <w:color w:val="1F4E79"/>
          <w:sz w:val="22"/>
        </w:rPr>
        <w:t>3.3.1  一维序列语义编码器（Mol2Vec）</w:t>
      </w:r>
    </w:p>
    <w:p>
      <w:pPr>
        <w:spacing w:after="80" w:line="360" w:lineRule="auto"/>
        <w:ind w:firstLine="420"/>
      </w:pPr>
      <w:r>
        <w:rPr>
          <w:rFonts w:ascii="Times New Roman" w:hAnsi="Times New Roman" w:eastAsia="宋体"/>
          <w:b w:val="0"/>
          <w:i w:val="0"/>
          <w:sz w:val="21"/>
        </w:rPr>
        <w:t>SMILES 通过 Mol2Vec [16] 预训练模型映射为片段嵌入序列，经均值池化得到 300 维分子语义向量，再经全连接投影层降至融合维度 d = 112。</w:t>
      </w:r>
    </w:p>
    <w:p>
      <w:pPr>
        <w:spacing w:before="160" w:after="40"/>
      </w:pPr>
      <w:r>
        <w:rPr>
          <w:rFonts w:ascii="Times New Roman" w:hAnsi="Times New Roman" w:eastAsia="宋体"/>
          <w:b/>
          <w:i w:val="0"/>
          <w:color w:val="1F4E79"/>
          <w:sz w:val="22"/>
        </w:rPr>
        <w:t>3.3.2  二维拓扑图编码器（D-MPNN）</w:t>
      </w:r>
    </w:p>
    <w:p>
      <w:pPr>
        <w:spacing w:after="80" w:line="360" w:lineRule="auto"/>
        <w:ind w:firstLine="420"/>
      </w:pPr>
      <w:r>
        <w:rPr>
          <w:rFonts w:ascii="Times New Roman" w:hAnsi="Times New Roman" w:eastAsia="宋体"/>
          <w:b w:val="0"/>
          <w:i w:val="0"/>
          <w:sz w:val="21"/>
        </w:rPr>
        <w:t>采用 D-MPNN [21]，沿有向边传递消息避免节点级 MPNN 中信息回路重复。</w:t>
      </w:r>
      <w:r>
        <w:rPr>
          <w:rFonts w:ascii="Times New Roman" w:hAnsi="Times New Roman" w:eastAsia="宋体"/>
          <w:b/>
          <w:i w:val="0"/>
          <w:sz w:val="21"/>
        </w:rPr>
        <w:t>原子特征扩展至 47 维</w:t>
      </w:r>
      <w:r>
        <w:rPr>
          <w:rFonts w:ascii="Times New Roman" w:hAnsi="Times New Roman" w:eastAsia="宋体"/>
          <w:b w:val="0"/>
          <w:i w:val="0"/>
          <w:sz w:val="21"/>
        </w:rPr>
        <w:t>（含 Gasteiger 部分电荷、原子极化率、H-bond 供受体标签、疏水/芳香/可电离药效团标签等电子结构描述符），T = 3 步消息传递，隐藏维度 112。</w:t>
      </w:r>
    </w:p>
    <w:p>
      <w:pPr>
        <w:spacing w:before="160" w:after="40"/>
      </w:pPr>
      <w:r>
        <w:rPr>
          <w:rFonts w:ascii="Times New Roman" w:hAnsi="Times New Roman" w:eastAsia="宋体"/>
          <w:b/>
          <w:i w:val="0"/>
          <w:color w:val="1F4E79"/>
          <w:sz w:val="22"/>
        </w:rPr>
        <w:t>3.3.3  三维几何构象编码器（SphereNet）</w:t>
      </w:r>
    </w:p>
    <w:p>
      <w:pPr>
        <w:spacing w:after="80" w:line="360" w:lineRule="auto"/>
        <w:ind w:firstLine="420"/>
      </w:pPr>
      <w:r>
        <w:rPr>
          <w:rFonts w:ascii="Times New Roman" w:hAnsi="Times New Roman" w:eastAsia="宋体"/>
          <w:b w:val="0"/>
          <w:i w:val="0"/>
          <w:sz w:val="21"/>
        </w:rPr>
        <w:t>采用 SphereNet [26] 编码三维构象。通过 ETKDGv3 + MMFF94s 生成能量最低构象作为几何输入，交互块层数 T = 3，径向基 K = 6，球面基 = 7，截断半径 8 Å。</w:t>
      </w:r>
    </w:p>
    <w:p>
      <w:pPr>
        <w:spacing w:before="240" w:after="80"/>
      </w:pPr>
      <w:r>
        <w:rPr>
          <w:rFonts w:ascii="Times New Roman" w:hAnsi="Times New Roman" w:eastAsia="宋体"/>
          <w:b/>
          <w:i w:val="0"/>
          <w:color w:val="004C80"/>
          <w:sz w:val="24"/>
        </w:rPr>
        <w:t>3.4  分层三模态融合模块（HierarchicalTrimodalFusion）</w:t>
      </w:r>
    </w:p>
    <w:p>
      <w:pPr>
        <w:spacing w:after="80" w:line="360" w:lineRule="auto"/>
        <w:ind w:firstLine="420"/>
      </w:pPr>
      <w:r>
        <w:rPr>
          <w:rFonts w:ascii="Times New Roman" w:hAnsi="Times New Roman" w:eastAsia="宋体"/>
          <w:b w:val="0"/>
          <w:i w:val="0"/>
          <w:sz w:val="21"/>
        </w:rPr>
        <w:t>融合模块是 STG-Mol 的核心方法学创新，通过</w:t>
      </w:r>
      <w:r>
        <w:rPr>
          <w:rFonts w:ascii="Times New Roman" w:hAnsi="Times New Roman" w:eastAsia="宋体"/>
          <w:b/>
          <w:i w:val="0"/>
          <w:sz w:val="21"/>
        </w:rPr>
        <w:t>四种融合机制的系统组合</w:t>
      </w:r>
      <w:r>
        <w:rPr>
          <w:rFonts w:ascii="Times New Roman" w:hAnsi="Times New Roman" w:eastAsia="宋体"/>
          <w:b w:val="0"/>
          <w:i w:val="0"/>
          <w:sz w:val="21"/>
        </w:rPr>
        <w:t>实现样本级自适应模态权重分配：</w:t>
      </w:r>
    </w:p>
    <w:p>
      <w:pPr>
        <w:spacing w:before="160" w:after="40"/>
      </w:pPr>
      <w:r>
        <w:rPr>
          <w:rFonts w:ascii="Times New Roman" w:hAnsi="Times New Roman" w:eastAsia="宋体"/>
          <w:b/>
          <w:i w:val="0"/>
          <w:color w:val="1F4E79"/>
          <w:sz w:val="22"/>
        </w:rPr>
        <w:t>3.4.1  两两模态跨模态注意力（Cross-Attention）</w:t>
      </w:r>
    </w:p>
    <w:p>
      <w:pPr>
        <w:spacing w:after="80" w:line="360" w:lineRule="auto"/>
        <w:ind w:firstLine="420"/>
      </w:pPr>
      <w:r>
        <w:rPr>
          <w:rFonts w:ascii="Times New Roman" w:hAnsi="Times New Roman" w:eastAsia="宋体"/>
          <w:b w:val="0"/>
          <w:i w:val="0"/>
          <w:sz w:val="21"/>
        </w:rPr>
        <w:t>对三种模态两两组合应用跨模态注意力：</w:t>
      </w:r>
    </w:p>
    <w:p>
      <w:pPr>
        <w:spacing w:before="80" w:after="120"/>
        <w:jc w:val="center"/>
      </w:pPr>
      <w:r>
        <w:rPr>
          <w:rFonts w:ascii="Cambria Math" w:hAnsi="Cambria Math"/>
          <w:sz w:val="22"/>
        </w:rPr>
        <w:t>(z_ij_a, z_ij_b) = CrossAttention(z_i, z_j),  (i,j) ∈ {(1D,2D),(1D,3D),(2D,3D)}</w:t>
      </w:r>
    </w:p>
    <w:p>
      <w:pPr>
        <w:spacing w:after="80" w:line="360" w:lineRule="auto"/>
        <w:ind w:firstLine="420"/>
      </w:pPr>
      <w:r>
        <w:rPr>
          <w:rFonts w:ascii="Times New Roman" w:hAnsi="Times New Roman" w:eastAsia="宋体"/>
          <w:b w:val="0"/>
          <w:i w:val="0"/>
          <w:sz w:val="21"/>
        </w:rPr>
        <w:t>让每个模态"感知"其他模态的信息，得到 6 组跨模态增强表示。三种模态各自的最终增强表示为该模态在三组注意力中的平均。</w:t>
      </w:r>
    </w:p>
    <w:p>
      <w:pPr>
        <w:spacing w:before="160" w:after="40"/>
      </w:pPr>
      <w:r>
        <w:rPr>
          <w:rFonts w:ascii="Times New Roman" w:hAnsi="Times New Roman" w:eastAsia="宋体"/>
          <w:b/>
          <w:i w:val="0"/>
          <w:color w:val="1F4E79"/>
          <w:sz w:val="22"/>
        </w:rPr>
        <w:t>3.4.2  门控融合单元（Gated Fusion Unit）</w:t>
      </w:r>
    </w:p>
    <w:p>
      <w:pPr>
        <w:spacing w:after="80" w:line="360" w:lineRule="auto"/>
        <w:ind w:firstLine="420"/>
      </w:pPr>
      <w:r>
        <w:rPr>
          <w:rFonts w:ascii="Times New Roman" w:hAnsi="Times New Roman" w:eastAsia="宋体"/>
          <w:b w:val="0"/>
          <w:i w:val="0"/>
          <w:sz w:val="21"/>
        </w:rPr>
        <w:t>对每对增强的模态对采用可学习门控机制融合：</w:t>
      </w:r>
    </w:p>
    <w:p>
      <w:pPr>
        <w:spacing w:before="80" w:after="120"/>
        <w:jc w:val="center"/>
      </w:pPr>
      <w:r>
        <w:rPr>
          <w:rFonts w:ascii="Cambria Math" w:hAnsi="Cambria Math"/>
          <w:sz w:val="22"/>
        </w:rPr>
        <w:t>g = σ(W_g · [z_i^enh ‖ z_j^enh]),   f_ij = g ⊙ z_i^enh + (1-g) ⊙ z_j^enh</w:t>
      </w:r>
    </w:p>
    <w:p>
      <w:pPr>
        <w:spacing w:after="80" w:line="360" w:lineRule="auto"/>
        <w:ind w:firstLine="420"/>
      </w:pPr>
      <w:r>
        <w:rPr>
          <w:rFonts w:ascii="Times New Roman" w:hAnsi="Times New Roman" w:eastAsia="宋体"/>
          <w:b w:val="0"/>
          <w:i w:val="0"/>
          <w:sz w:val="21"/>
        </w:rPr>
        <w:t>门控信号 g 由输入自适应决定，实现模态贡献的动态平衡。</w:t>
      </w:r>
    </w:p>
    <w:p>
      <w:pPr>
        <w:spacing w:before="160" w:after="40"/>
      </w:pPr>
      <w:r>
        <w:rPr>
          <w:rFonts w:ascii="Times New Roman" w:hAnsi="Times New Roman" w:eastAsia="宋体"/>
          <w:b/>
          <w:i w:val="0"/>
          <w:color w:val="1F4E79"/>
          <w:sz w:val="22"/>
        </w:rPr>
        <w:t>3.4.3  低秩双线性融合（Low-Rank Bilinear Fusion）</w:t>
      </w:r>
    </w:p>
    <w:p>
      <w:pPr>
        <w:spacing w:after="80" w:line="360" w:lineRule="auto"/>
        <w:ind w:firstLine="420"/>
      </w:pPr>
      <w:r>
        <w:rPr>
          <w:rFonts w:ascii="Times New Roman" w:hAnsi="Times New Roman" w:eastAsia="宋体"/>
          <w:b w:val="0"/>
          <w:i w:val="0"/>
          <w:sz w:val="21"/>
        </w:rPr>
        <w:t>为捕捉模态间的二阶交互，引入低秩双线性融合：</w:t>
      </w:r>
    </w:p>
    <w:p>
      <w:pPr>
        <w:spacing w:before="80" w:after="120"/>
        <w:jc w:val="center"/>
      </w:pPr>
      <w:r>
        <w:rPr>
          <w:rFonts w:ascii="Cambria Math" w:hAnsi="Cambria Math"/>
          <w:sz w:val="22"/>
        </w:rPr>
        <w:t>z_bilinear = sign(z_a ⊙ z_b) · sqrt(|z_a ⊙ z_b|), 参数化为 U/V 低秩投影</w:t>
      </w:r>
    </w:p>
    <w:p>
      <w:pPr>
        <w:spacing w:after="80" w:line="360" w:lineRule="auto"/>
        <w:ind w:firstLine="420"/>
      </w:pPr>
      <w:r>
        <w:rPr>
          <w:rFonts w:ascii="Times New Roman" w:hAnsi="Times New Roman" w:eastAsia="宋体"/>
          <w:b w:val="0"/>
          <w:i w:val="0"/>
          <w:sz w:val="21"/>
        </w:rPr>
        <w:t>低秩约束将参数量从 O(d²) 降至 O(d·r)，兼顾表达能力与计算效率。</w:t>
      </w:r>
    </w:p>
    <w:p>
      <w:pPr>
        <w:spacing w:before="160" w:after="40"/>
      </w:pPr>
      <w:r>
        <w:rPr>
          <w:rFonts w:ascii="Times New Roman" w:hAnsi="Times New Roman" w:eastAsia="宋体"/>
          <w:b/>
          <w:i w:val="0"/>
          <w:color w:val="1F4E79"/>
          <w:sz w:val="22"/>
        </w:rPr>
        <w:t>3.4.4  样本级可学习重要性网络（Importance Network）</w:t>
      </w:r>
    </w:p>
    <w:p>
      <w:pPr>
        <w:spacing w:after="80" w:line="360" w:lineRule="auto"/>
        <w:ind w:firstLine="420"/>
      </w:pPr>
      <w:r>
        <w:rPr>
          <w:rFonts w:ascii="Times New Roman" w:hAnsi="Times New Roman" w:eastAsia="宋体"/>
          <w:b w:val="0"/>
          <w:i w:val="0"/>
          <w:sz w:val="21"/>
        </w:rPr>
        <w:t>将三种原始模态表示拼接后送入重要性网络，输出</w:t>
      </w:r>
      <w:r>
        <w:rPr>
          <w:rFonts w:ascii="Times New Roman" w:hAnsi="Times New Roman" w:eastAsia="宋体"/>
          <w:b/>
          <w:i w:val="0"/>
          <w:sz w:val="21"/>
        </w:rPr>
        <w:t>样本级模态权重</w:t>
      </w:r>
      <w:r>
        <w:rPr>
          <w:rFonts w:ascii="Times New Roman" w:hAnsi="Times New Roman" w:eastAsia="宋体"/>
          <w:b w:val="0"/>
          <w:i w:val="0"/>
          <w:sz w:val="21"/>
        </w:rPr>
        <w:t>：</w:t>
      </w:r>
    </w:p>
    <w:p>
      <w:pPr>
        <w:spacing w:before="80" w:after="120"/>
        <w:jc w:val="center"/>
      </w:pPr>
      <w:r>
        <w:rPr>
          <w:rFonts w:ascii="Cambria Math" w:hAnsi="Cambria Math"/>
          <w:sz w:val="22"/>
        </w:rPr>
        <w:t>w = softmax(MLP([z_1D ; z_2D ; z_3D])) ∈ ℝ³</w:t>
      </w:r>
    </w:p>
    <w:p>
      <w:pPr>
        <w:spacing w:after="80" w:line="360" w:lineRule="auto"/>
        <w:ind w:firstLine="420"/>
      </w:pPr>
      <w:r>
        <w:rPr>
          <w:rFonts w:ascii="Times New Roman" w:hAnsi="Times New Roman" w:eastAsia="宋体"/>
          <w:b w:val="0"/>
          <w:i w:val="0"/>
          <w:sz w:val="21"/>
        </w:rPr>
        <w:t>其中 w = (w_1D, w_2D, w_3D) 满足 Σₘ wₘ = 1，物理意义为</w:t>
      </w:r>
      <w:r>
        <w:rPr>
          <w:rFonts w:ascii="Times New Roman" w:hAnsi="Times New Roman" w:eastAsia="宋体"/>
          <w:b/>
          <w:i w:val="0"/>
          <w:sz w:val="21"/>
        </w:rPr>
        <w:t>当前分子对三种模态的相对依赖程度</w:t>
      </w:r>
      <w:r>
        <w:rPr>
          <w:rFonts w:ascii="Times New Roman" w:hAnsi="Times New Roman" w:eastAsia="宋体"/>
          <w:b w:val="0"/>
          <w:i w:val="0"/>
          <w:sz w:val="21"/>
        </w:rPr>
        <w:t>。由于 w 是输入依赖的，同一模型对不同分子输出不同权重——</w:t>
      </w:r>
      <w:r>
        <w:rPr>
          <w:rFonts w:ascii="Times New Roman" w:hAnsi="Times New Roman" w:eastAsia="宋体"/>
          <w:b/>
          <w:i w:val="0"/>
          <w:sz w:val="21"/>
        </w:rPr>
        <w:t>这正是"样本级自适应"的数学实现</w:t>
      </w:r>
      <w:r>
        <w:rPr>
          <w:rFonts w:ascii="Times New Roman" w:hAnsi="Times New Roman" w:eastAsia="宋体"/>
          <w:b w:val="0"/>
          <w:i w:val="0"/>
          <w:sz w:val="21"/>
        </w:rPr>
        <w:t>。加权原始表示 z_weighted = Σₘ wₘ · zₘ 与门控融合、双线性融合的结果通过 MLP 综合得到最终融合表示。</w:t>
      </w:r>
    </w:p>
    <w:p>
      <w:pPr>
        <w:spacing w:before="240" w:after="80"/>
      </w:pPr>
      <w:r>
        <w:rPr>
          <w:rFonts w:ascii="Times New Roman" w:hAnsi="Times New Roman" w:eastAsia="宋体"/>
          <w:b/>
          <w:i w:val="0"/>
          <w:color w:val="004C80"/>
          <w:sz w:val="24"/>
        </w:rPr>
        <w:t>3.5  损失函数设计（Focal + Class Weight + Diversity）</w:t>
      </w:r>
    </w:p>
    <w:p>
      <w:pPr>
        <w:spacing w:after="80" w:line="360" w:lineRule="auto"/>
        <w:ind w:firstLine="420"/>
      </w:pPr>
      <w:r>
        <w:rPr>
          <w:rFonts w:ascii="Times New Roman" w:hAnsi="Times New Roman" w:eastAsia="宋体"/>
          <w:b w:val="0"/>
          <w:i w:val="0"/>
          <w:sz w:val="21"/>
        </w:rPr>
        <w:t>训练目标由主任务损失、辅助任务损失（3.6 节详述）和多样性正则化损失组成：</w:t>
      </w:r>
    </w:p>
    <w:p>
      <w:pPr>
        <w:spacing w:before="160" w:after="40"/>
      </w:pPr>
      <w:r>
        <w:rPr>
          <w:rFonts w:ascii="Times New Roman" w:hAnsi="Times New Roman" w:eastAsia="宋体"/>
          <w:b/>
          <w:i w:val="0"/>
          <w:color w:val="1F4E79"/>
          <w:sz w:val="22"/>
        </w:rPr>
        <w:t>3.5.1  Focal Loss + 类别平衡权重</w:t>
      </w:r>
    </w:p>
    <w:p>
      <w:pPr>
        <w:spacing w:after="80" w:line="360" w:lineRule="auto"/>
        <w:ind w:firstLine="420"/>
      </w:pPr>
      <w:r>
        <w:rPr>
          <w:rFonts w:ascii="Times New Roman" w:hAnsi="Times New Roman" w:eastAsia="宋体"/>
          <w:b w:val="0"/>
          <w:i w:val="0"/>
          <w:sz w:val="21"/>
        </w:rPr>
        <w:t xml:space="preserve">针对 NLRP3 数据集正负样本 1:3 不平衡问题，采用 </w:t>
      </w:r>
      <w:r>
        <w:rPr>
          <w:rFonts w:ascii="Times New Roman" w:hAnsi="Times New Roman" w:eastAsia="宋体"/>
          <w:b/>
          <w:i w:val="0"/>
          <w:sz w:val="21"/>
        </w:rPr>
        <w:t>Focal Loss</w:t>
      </w:r>
      <w:r>
        <w:rPr>
          <w:rFonts w:ascii="Times New Roman" w:hAnsi="Times New Roman" w:eastAsia="宋体"/>
          <w:b w:val="0"/>
          <w:i w:val="0"/>
          <w:sz w:val="21"/>
        </w:rPr>
        <w:t xml:space="preserve"> [77] 结合</w:t>
      </w:r>
      <w:r>
        <w:rPr>
          <w:rFonts w:ascii="Times New Roman" w:hAnsi="Times New Roman" w:eastAsia="宋体"/>
          <w:b/>
          <w:i w:val="0"/>
          <w:sz w:val="21"/>
        </w:rPr>
        <w:t>类别平衡权重</w:t>
      </w:r>
      <w:r>
        <w:rPr>
          <w:rFonts w:ascii="Times New Roman" w:hAnsi="Times New Roman" w:eastAsia="宋体"/>
          <w:b w:val="0"/>
          <w:i w:val="0"/>
          <w:sz w:val="21"/>
        </w:rPr>
        <w:t>：</w:t>
      </w:r>
    </w:p>
    <w:p>
      <w:pPr>
        <w:spacing w:before="80" w:after="120"/>
        <w:jc w:val="center"/>
      </w:pPr>
      <w:r>
        <w:rPr>
          <w:rFonts w:ascii="Cambria Math" w:hAnsi="Cambria Math"/>
          <w:sz w:val="22"/>
        </w:rPr>
        <w:t>L_focal = -α_c (1 - p_c)^γ log(p_c)</w:t>
      </w:r>
    </w:p>
    <w:p>
      <w:pPr>
        <w:spacing w:after="80" w:line="360" w:lineRule="auto"/>
        <w:ind w:firstLine="420"/>
      </w:pPr>
      <w:r>
        <w:rPr>
          <w:rFonts w:ascii="Times New Roman" w:hAnsi="Times New Roman" w:eastAsia="宋体"/>
          <w:b w:val="0"/>
          <w:i w:val="0"/>
          <w:sz w:val="21"/>
        </w:rPr>
        <w:t>其中 α_c 为类别权重（由 balanced 策略计算），γ = 1.5 为聚焦参数，标签平滑 ε = 0.05。相较标准交叉熵，该损失将训练重心转向难分类样本。</w:t>
      </w:r>
    </w:p>
    <w:p>
      <w:pPr>
        <w:spacing w:before="160" w:after="40"/>
      </w:pPr>
      <w:r>
        <w:rPr>
          <w:rFonts w:ascii="Times New Roman" w:hAnsi="Times New Roman" w:eastAsia="宋体"/>
          <w:b/>
          <w:i w:val="0"/>
          <w:color w:val="1F4E79"/>
          <w:sz w:val="22"/>
        </w:rPr>
        <w:t>3.5.2  多样性正则化损失（Diversity Loss）</w:t>
      </w:r>
    </w:p>
    <w:p>
      <w:pPr>
        <w:spacing w:after="80" w:line="360" w:lineRule="auto"/>
        <w:ind w:firstLine="420"/>
      </w:pPr>
      <w:r>
        <w:rPr>
          <w:rFonts w:ascii="Times New Roman" w:hAnsi="Times New Roman" w:eastAsia="宋体"/>
          <w:b w:val="0"/>
          <w:i w:val="0"/>
          <w:sz w:val="21"/>
        </w:rPr>
        <w:t>为避免模态权重坍缩到均匀分布（丧失样本级自适应能力），引入</w:t>
      </w:r>
      <w:r>
        <w:rPr>
          <w:rFonts w:ascii="Times New Roman" w:hAnsi="Times New Roman" w:eastAsia="宋体"/>
          <w:b/>
          <w:i w:val="0"/>
          <w:sz w:val="21"/>
        </w:rPr>
        <w:t>方差惩罚</w:t>
      </w:r>
      <w:r>
        <w:rPr>
          <w:rFonts w:ascii="Times New Roman" w:hAnsi="Times New Roman" w:eastAsia="宋体"/>
          <w:b w:val="0"/>
          <w:i w:val="0"/>
          <w:sz w:val="21"/>
        </w:rPr>
        <w:t>：</w:t>
      </w:r>
    </w:p>
    <w:p>
      <w:pPr>
        <w:spacing w:before="80" w:after="120"/>
        <w:jc w:val="center"/>
      </w:pPr>
      <w:r>
        <w:rPr>
          <w:rFonts w:ascii="Cambria Math" w:hAnsi="Cambria Math"/>
          <w:sz w:val="22"/>
        </w:rPr>
        <w:t>L_div = mean(sum((w - uniform)² , dim=-1))</w:t>
      </w:r>
    </w:p>
    <w:p>
      <w:pPr>
        <w:spacing w:after="80" w:line="360" w:lineRule="auto"/>
        <w:ind w:firstLine="420"/>
      </w:pPr>
      <w:r>
        <w:rPr>
          <w:rFonts w:ascii="Times New Roman" w:hAnsi="Times New Roman" w:eastAsia="宋体"/>
          <w:b w:val="0"/>
          <w:i w:val="0"/>
          <w:sz w:val="21"/>
        </w:rPr>
        <w:t>该正则化鼓励模型对不同分子输出</w:t>
      </w:r>
      <w:r>
        <w:rPr>
          <w:rFonts w:ascii="Times New Roman" w:hAnsi="Times New Roman" w:eastAsia="宋体"/>
          <w:b/>
          <w:i w:val="0"/>
          <w:sz w:val="21"/>
        </w:rPr>
        <w:t>差异化</w:t>
      </w:r>
      <w:r>
        <w:rPr>
          <w:rFonts w:ascii="Times New Roman" w:hAnsi="Times New Roman" w:eastAsia="宋体"/>
          <w:b w:val="0"/>
          <w:i w:val="0"/>
          <w:sz w:val="21"/>
        </w:rPr>
        <w:t>的模态权重，权重系数 λ_div = 0.15。</w:t>
      </w:r>
    </w:p>
    <w:p>
      <w:pPr>
        <w:spacing w:before="240" w:after="80"/>
      </w:pPr>
      <w:r>
        <w:rPr>
          <w:rFonts w:ascii="Times New Roman" w:hAnsi="Times New Roman" w:eastAsia="宋体"/>
          <w:b/>
          <w:i w:val="0"/>
          <w:color w:val="004C80"/>
          <w:sz w:val="24"/>
        </w:rPr>
        <w:t>3.6  活性-ADMET 多任务联合学习（Multi-Task Learning）</w:t>
      </w:r>
    </w:p>
    <w:p>
      <w:pPr>
        <w:spacing w:after="80" w:line="360" w:lineRule="auto"/>
        <w:ind w:firstLine="420"/>
      </w:pPr>
      <w:r>
        <w:rPr>
          <w:rFonts w:ascii="Times New Roman" w:hAnsi="Times New Roman" w:eastAsia="宋体"/>
          <w:b/>
          <w:i w:val="0"/>
          <w:sz w:val="21"/>
        </w:rPr>
        <w:t>这是本文的核心方法学创新之一</w:t>
      </w:r>
      <w:r>
        <w:rPr>
          <w:rFonts w:ascii="Times New Roman" w:hAnsi="Times New Roman" w:eastAsia="宋体"/>
          <w:b w:val="0"/>
          <w:i w:val="0"/>
          <w:sz w:val="21"/>
        </w:rPr>
        <w:t>。传统 AI 药物发现工作仅预测活性，忽视了同步评估药物相似性、毒性等成药关键属性，导致高活性但差成药性的候选化合物错误进入后续昂贵实验。本文提出</w:t>
      </w:r>
      <w:r>
        <w:rPr>
          <w:rFonts w:ascii="Times New Roman" w:hAnsi="Times New Roman" w:eastAsia="宋体"/>
          <w:b/>
          <w:i w:val="0"/>
          <w:sz w:val="21"/>
        </w:rPr>
        <w:t>活性 + 五项 ADMET 二分类联合优化</w:t>
      </w:r>
      <w:r>
        <w:rPr>
          <w:rFonts w:ascii="Times New Roman" w:hAnsi="Times New Roman" w:eastAsia="宋体"/>
          <w:b w:val="0"/>
          <w:i w:val="0"/>
          <w:sz w:val="21"/>
        </w:rPr>
        <w:t>，让分子表示同时编码</w:t>
      </w:r>
      <w:r>
        <w:rPr>
          <w:rFonts w:ascii="Times New Roman" w:hAnsi="Times New Roman" w:eastAsia="宋体"/>
          <w:b/>
          <w:i w:val="0"/>
          <w:sz w:val="21"/>
        </w:rPr>
        <w:t>活性相关</w:t>
      </w:r>
      <w:r>
        <w:rPr>
          <w:rFonts w:ascii="Times New Roman" w:hAnsi="Times New Roman" w:eastAsia="宋体"/>
          <w:b w:val="0"/>
          <w:i w:val="0"/>
          <w:sz w:val="21"/>
        </w:rPr>
        <w:t>与</w:t>
      </w:r>
      <w:r>
        <w:rPr>
          <w:rFonts w:ascii="Times New Roman" w:hAnsi="Times New Roman" w:eastAsia="宋体"/>
          <w:b/>
          <w:i w:val="0"/>
          <w:sz w:val="21"/>
        </w:rPr>
        <w:t>药物相似性相关</w:t>
      </w:r>
      <w:r>
        <w:rPr>
          <w:rFonts w:ascii="Times New Roman" w:hAnsi="Times New Roman" w:eastAsia="宋体"/>
          <w:b w:val="0"/>
          <w:i w:val="0"/>
          <w:sz w:val="21"/>
        </w:rPr>
        <w:t>信息。</w:t>
      </w:r>
    </w:p>
    <w:p>
      <w:pPr>
        <w:spacing w:before="160" w:after="40"/>
      </w:pPr>
      <w:r>
        <w:rPr>
          <w:rFonts w:ascii="Times New Roman" w:hAnsi="Times New Roman" w:eastAsia="宋体"/>
          <w:b/>
          <w:i w:val="0"/>
          <w:color w:val="1F4E79"/>
          <w:sz w:val="22"/>
        </w:rPr>
        <w:t>3.6.1  五项辅助 ADMET 任务</w:t>
      </w:r>
    </w:p>
    <w:p>
      <w:pPr>
        <w:spacing w:after="80" w:line="360" w:lineRule="auto"/>
        <w:ind w:firstLine="420"/>
      </w:pPr>
      <w:r>
        <w:rPr>
          <w:rFonts w:ascii="Times New Roman" w:hAnsi="Times New Roman" w:eastAsia="宋体"/>
          <w:b w:val="0"/>
          <w:i w:val="0"/>
          <w:sz w:val="21"/>
        </w:rPr>
        <w:t>基于 RDKit [73] 药物化学规则生成五项二分类 ADMET 标签（无需外部 API）：</w:t>
      </w:r>
    </w:p>
    <w:p>
      <w:pPr>
        <w:spacing w:after="80" w:line="360" w:lineRule="auto"/>
        <w:ind w:firstLine="420"/>
      </w:pPr>
      <w:r>
        <w:rPr>
          <w:rFonts w:ascii="Times New Roman" w:hAnsi="Times New Roman" w:eastAsia="宋体"/>
          <w:b/>
          <w:i w:val="0"/>
          <w:sz w:val="21"/>
        </w:rPr>
        <w:t>(1) 类药性 Lipinski</w:t>
      </w:r>
      <w:r>
        <w:rPr>
          <w:rFonts w:ascii="Times New Roman" w:hAnsi="Times New Roman" w:eastAsia="宋体"/>
          <w:b w:val="0"/>
          <w:i w:val="0"/>
          <w:sz w:val="21"/>
        </w:rPr>
        <w:t xml:space="preserve"> [68]：分子量 ≤ 500，LogP ≤ 5，H-bond 供体 ≤ 5，H-bond 受体 ≤ 10；</w:t>
      </w:r>
    </w:p>
    <w:p>
      <w:pPr>
        <w:spacing w:after="80" w:line="360" w:lineRule="auto"/>
        <w:ind w:firstLine="420"/>
      </w:pPr>
      <w:r>
        <w:rPr>
          <w:rFonts w:ascii="Times New Roman" w:hAnsi="Times New Roman" w:eastAsia="宋体"/>
          <w:b/>
          <w:i w:val="0"/>
          <w:sz w:val="21"/>
        </w:rPr>
        <w:t>(2) 药物相似性 QED</w:t>
      </w:r>
      <w:r>
        <w:rPr>
          <w:rFonts w:ascii="Times New Roman" w:hAnsi="Times New Roman" w:eastAsia="宋体"/>
          <w:b w:val="0"/>
          <w:i w:val="0"/>
          <w:sz w:val="21"/>
        </w:rPr>
        <w:t xml:space="preserve"> [69]：Bickerton QED 药物相似性评分 &gt; 0.5；</w:t>
      </w:r>
    </w:p>
    <w:p>
      <w:pPr>
        <w:spacing w:after="80" w:line="360" w:lineRule="auto"/>
        <w:ind w:firstLine="420"/>
      </w:pPr>
      <w:r>
        <w:rPr>
          <w:rFonts w:ascii="Times New Roman" w:hAnsi="Times New Roman" w:eastAsia="宋体"/>
          <w:b/>
          <w:i w:val="0"/>
          <w:sz w:val="21"/>
        </w:rPr>
        <w:t>(3) PAINS 过滤</w:t>
      </w:r>
      <w:r>
        <w:rPr>
          <w:rFonts w:ascii="Times New Roman" w:hAnsi="Times New Roman" w:eastAsia="宋体"/>
          <w:b w:val="0"/>
          <w:i w:val="0"/>
          <w:sz w:val="21"/>
        </w:rPr>
        <w:t xml:space="preserve"> [70]：无泛频命中物结构警报；</w:t>
      </w:r>
    </w:p>
    <w:p>
      <w:pPr>
        <w:spacing w:after="80" w:line="360" w:lineRule="auto"/>
        <w:ind w:firstLine="420"/>
      </w:pPr>
      <w:r>
        <w:rPr>
          <w:rFonts w:ascii="Times New Roman" w:hAnsi="Times New Roman" w:eastAsia="宋体"/>
          <w:b/>
          <w:i w:val="0"/>
          <w:sz w:val="21"/>
        </w:rPr>
        <w:t>(4) 合成可及性 SA</w:t>
      </w:r>
      <w:r>
        <w:rPr>
          <w:rFonts w:ascii="Times New Roman" w:hAnsi="Times New Roman" w:eastAsia="宋体"/>
          <w:b w:val="0"/>
          <w:i w:val="0"/>
          <w:sz w:val="21"/>
        </w:rPr>
        <w:t xml:space="preserve"> [71]：Ertl SA 分数 &lt; 5；</w:t>
      </w:r>
    </w:p>
    <w:p>
      <w:pPr>
        <w:spacing w:after="80" w:line="360" w:lineRule="auto"/>
        <w:ind w:firstLine="420"/>
      </w:pPr>
      <w:r>
        <w:rPr>
          <w:rFonts w:ascii="Times New Roman" w:hAnsi="Times New Roman" w:eastAsia="宋体"/>
          <w:b/>
          <w:i w:val="0"/>
          <w:sz w:val="21"/>
        </w:rPr>
        <w:t>(5) LogP 平衡性</w:t>
      </w:r>
      <w:r>
        <w:rPr>
          <w:rFonts w:ascii="Times New Roman" w:hAnsi="Times New Roman" w:eastAsia="宋体"/>
          <w:b w:val="0"/>
          <w:i w:val="0"/>
          <w:sz w:val="21"/>
        </w:rPr>
        <w:t>：Crippen LogP 在 [0, 5] 区间。</w:t>
      </w:r>
    </w:p>
    <w:p>
      <w:pPr>
        <w:spacing w:before="160" w:after="40"/>
      </w:pPr>
      <w:r>
        <w:rPr>
          <w:rFonts w:ascii="Times New Roman" w:hAnsi="Times New Roman" w:eastAsia="宋体"/>
          <w:b/>
          <w:i w:val="0"/>
          <w:color w:val="1F4E79"/>
          <w:sz w:val="22"/>
        </w:rPr>
        <w:t>3.6.2  多任务分类头与联合损失</w:t>
      </w:r>
    </w:p>
    <w:p>
      <w:pPr>
        <w:spacing w:after="80" w:line="360" w:lineRule="auto"/>
        <w:ind w:firstLine="420"/>
      </w:pPr>
      <w:r>
        <w:rPr>
          <w:rFonts w:ascii="Times New Roman" w:hAnsi="Times New Roman" w:eastAsia="宋体"/>
          <w:b w:val="0"/>
          <w:i w:val="0"/>
          <w:sz w:val="21"/>
        </w:rPr>
        <w:t>在主活性分类头基础上，新增 ADMET 多任务分类头共享融合表示：</w:t>
      </w:r>
    </w:p>
    <w:p>
      <w:pPr>
        <w:spacing w:before="80" w:after="120"/>
        <w:jc w:val="center"/>
      </w:pPr>
      <w:r>
        <w:rPr>
          <w:rFonts w:ascii="Cambria Math" w:hAnsi="Cambria Math"/>
          <w:sz w:val="22"/>
        </w:rPr>
        <w:t>ŷ_admet ∈ ℝ^{5×2} = MLP_admet(fused_representation)</w:t>
      </w:r>
    </w:p>
    <w:p>
      <w:pPr>
        <w:spacing w:after="80" w:line="360" w:lineRule="auto"/>
        <w:ind w:firstLine="420"/>
      </w:pPr>
      <w:r>
        <w:rPr>
          <w:rFonts w:ascii="Times New Roman" w:hAnsi="Times New Roman" w:eastAsia="宋体"/>
          <w:b w:val="0"/>
          <w:i w:val="0"/>
          <w:sz w:val="21"/>
        </w:rPr>
        <w:t>联合损失为主任务损失与辅助 ADMET 平均交叉熵损失的加权组合：</w:t>
      </w:r>
    </w:p>
    <w:p>
      <w:pPr>
        <w:spacing w:before="80" w:after="120"/>
        <w:jc w:val="center"/>
      </w:pPr>
      <w:r>
        <w:rPr>
          <w:rFonts w:ascii="Cambria Math" w:hAnsi="Cambria Math"/>
          <w:sz w:val="22"/>
        </w:rPr>
        <w:t>L_total = L_main + λ_admet · (1/5) · Σᵢ CrossEntropy(ŷ_admet_i, a_i)</w:t>
      </w:r>
    </w:p>
    <w:p>
      <w:pPr>
        <w:spacing w:after="80" w:line="360" w:lineRule="auto"/>
        <w:ind w:firstLine="420"/>
      </w:pPr>
      <w:r>
        <w:rPr>
          <w:rFonts w:ascii="Times New Roman" w:hAnsi="Times New Roman" w:eastAsia="宋体"/>
          <w:b w:val="0"/>
          <w:i w:val="0"/>
          <w:sz w:val="21"/>
        </w:rPr>
        <w:t>其中 λ_admet = 0.2（经消融确定的最优权重）。</w:t>
      </w:r>
    </w:p>
    <w:p>
      <w:pPr>
        <w:spacing w:before="160" w:after="40"/>
      </w:pPr>
      <w:r>
        <w:rPr>
          <w:rFonts w:ascii="Times New Roman" w:hAnsi="Times New Roman" w:eastAsia="宋体"/>
          <w:b/>
          <w:i w:val="0"/>
          <w:color w:val="1F4E79"/>
          <w:sz w:val="22"/>
        </w:rPr>
        <w:t>3.6.3  多任务学习的三重收益</w:t>
      </w:r>
    </w:p>
    <w:p>
      <w:pPr>
        <w:spacing w:after="80" w:line="360" w:lineRule="auto"/>
        <w:ind w:firstLine="420"/>
      </w:pPr>
      <w:r>
        <w:rPr>
          <w:rFonts w:ascii="Times New Roman" w:hAnsi="Times New Roman" w:eastAsia="宋体"/>
          <w:b/>
          <w:i w:val="0"/>
          <w:sz w:val="21"/>
        </w:rPr>
        <w:t>收益 1（正则化效应）</w:t>
      </w:r>
      <w:r>
        <w:rPr>
          <w:rFonts w:ascii="Times New Roman" w:hAnsi="Times New Roman" w:eastAsia="宋体"/>
          <w:b w:val="0"/>
          <w:i w:val="0"/>
          <w:sz w:val="21"/>
        </w:rPr>
        <w:t>：多任务学习通过共享底层表征提供了强正则化，5-seed ROC-AUC 标准差从 0.0134 降至 0.0077（下降 42%）。</w:t>
      </w:r>
      <w:r>
        <w:rPr>
          <w:rFonts w:ascii="Times New Roman" w:hAnsi="Times New Roman" w:eastAsia="宋体"/>
          <w:b/>
          <w:i w:val="0"/>
          <w:sz w:val="21"/>
        </w:rPr>
        <w:t>收益 2（性能提升）</w:t>
      </w:r>
      <w:r>
        <w:rPr>
          <w:rFonts w:ascii="Times New Roman" w:hAnsi="Times New Roman" w:eastAsia="宋体"/>
          <w:b w:val="0"/>
          <w:i w:val="0"/>
          <w:sz w:val="21"/>
        </w:rPr>
        <w:t xml:space="preserve">：在模态消融训练协议下，5-seed 均值 Test ROC-AUC 从 0.9440 提升至 </w:t>
      </w:r>
      <w:r>
        <w:rPr>
          <w:rFonts w:ascii="Times New Roman" w:hAnsi="Times New Roman" w:eastAsia="宋体"/>
          <w:b/>
          <w:i w:val="0"/>
          <w:sz w:val="21"/>
        </w:rPr>
        <w:t>0.9487</w:t>
      </w:r>
      <w:r>
        <w:rPr>
          <w:rFonts w:ascii="Times New Roman" w:hAnsi="Times New Roman" w:eastAsia="宋体"/>
          <w:b w:val="0"/>
          <w:i w:val="0"/>
          <w:sz w:val="21"/>
        </w:rPr>
        <w:t xml:space="preserve">（+0.0047），ensemble 决策指标显著提升：F1 从 0.8727 至 </w:t>
      </w:r>
      <w:r>
        <w:rPr>
          <w:rFonts w:ascii="Times New Roman" w:hAnsi="Times New Roman" w:eastAsia="宋体"/>
          <w:b/>
          <w:i w:val="0"/>
          <w:sz w:val="21"/>
        </w:rPr>
        <w:t>0.8929</w:t>
      </w:r>
      <w:r>
        <w:rPr>
          <w:rFonts w:ascii="Times New Roman" w:hAnsi="Times New Roman" w:eastAsia="宋体"/>
          <w:b w:val="0"/>
          <w:i w:val="0"/>
          <w:sz w:val="21"/>
        </w:rPr>
        <w:t xml:space="preserve">（+0.0202），MCC 从 0.8223 至 </w:t>
      </w:r>
      <w:r>
        <w:rPr>
          <w:rFonts w:ascii="Times New Roman" w:hAnsi="Times New Roman" w:eastAsia="宋体"/>
          <w:b/>
          <w:i w:val="0"/>
          <w:sz w:val="21"/>
        </w:rPr>
        <w:t>0.8502</w:t>
      </w:r>
      <w:r>
        <w:rPr>
          <w:rFonts w:ascii="Times New Roman" w:hAnsi="Times New Roman" w:eastAsia="宋体"/>
          <w:b w:val="0"/>
          <w:i w:val="0"/>
          <w:sz w:val="21"/>
        </w:rPr>
        <w:t xml:space="preserve">（+0.0279），Recall 从 0.8889 至 </w:t>
      </w:r>
      <w:r>
        <w:rPr>
          <w:rFonts w:ascii="Times New Roman" w:hAnsi="Times New Roman" w:eastAsia="宋体"/>
          <w:b/>
          <w:i w:val="0"/>
          <w:sz w:val="21"/>
        </w:rPr>
        <w:t>0.9259</w:t>
      </w:r>
      <w:r>
        <w:rPr>
          <w:rFonts w:ascii="Times New Roman" w:hAnsi="Times New Roman" w:eastAsia="宋体"/>
          <w:b w:val="0"/>
          <w:i w:val="0"/>
          <w:sz w:val="21"/>
        </w:rPr>
        <w:t>（+0.0370）。完整对比见表 5.3。</w:t>
      </w:r>
      <w:r>
        <w:rPr>
          <w:rFonts w:ascii="Times New Roman" w:hAnsi="Times New Roman" w:eastAsia="宋体"/>
          <w:b/>
          <w:i w:val="0"/>
          <w:sz w:val="21"/>
        </w:rPr>
        <w:t>收益 3（临床价值）</w:t>
      </w:r>
      <w:r>
        <w:rPr>
          <w:rFonts w:ascii="Times New Roman" w:hAnsi="Times New Roman" w:eastAsia="宋体"/>
          <w:b w:val="0"/>
          <w:i w:val="0"/>
          <w:sz w:val="21"/>
        </w:rPr>
        <w:t>：单次训练即可同步输出活性 + 五项药物相似性预测，为</w:t>
      </w:r>
      <w:r>
        <w:rPr>
          <w:rFonts w:ascii="Times New Roman" w:hAnsi="Times New Roman" w:eastAsia="宋体"/>
          <w:b/>
          <w:i w:val="0"/>
          <w:sz w:val="21"/>
        </w:rPr>
        <w:t>"活性与安全性并重"</w:t>
      </w:r>
      <w:r>
        <w:rPr>
          <w:rFonts w:ascii="Times New Roman" w:hAnsi="Times New Roman" w:eastAsia="宋体"/>
          <w:b w:val="0"/>
          <w:i w:val="0"/>
          <w:sz w:val="21"/>
        </w:rPr>
        <w:t>的现代 AI 药物发现范式提供了具体实现，并与 MCC950 因肝毒性终止 II 期临床的教训直接呼应。</w:t>
      </w:r>
    </w:p>
    <w:p>
      <w:pPr>
        <w:spacing w:before="240" w:after="80"/>
      </w:pPr>
      <w:r>
        <w:rPr>
          <w:rFonts w:ascii="Times New Roman" w:hAnsi="Times New Roman" w:eastAsia="宋体"/>
          <w:b/>
          <w:i w:val="0"/>
          <w:color w:val="004C80"/>
          <w:sz w:val="24"/>
        </w:rPr>
        <w:t>3.7  双精度级联虚拟筛选架构</w:t>
      </w:r>
    </w:p>
    <w:p>
      <w:pPr>
        <w:spacing w:after="80" w:line="360" w:lineRule="auto"/>
        <w:ind w:firstLine="420"/>
      </w:pPr>
      <w:r>
        <w:rPr>
          <w:rFonts w:ascii="Times New Roman" w:hAnsi="Times New Roman" w:eastAsia="宋体"/>
          <w:b w:val="0"/>
          <w:i w:val="0"/>
          <w:sz w:val="21"/>
        </w:rPr>
        <w:t>将 STG-Mol 应用于 ZINC 880 万分子筛选时，直接对每个分子做完整三模态推理不可行——3D 分支的构象生成单分子耗时 80–150 ms。为此设计</w:t>
      </w:r>
      <w:r>
        <w:rPr>
          <w:rFonts w:ascii="Times New Roman" w:hAnsi="Times New Roman" w:eastAsia="宋体"/>
          <w:b/>
          <w:i w:val="0"/>
          <w:sz w:val="21"/>
        </w:rPr>
        <w:t>双精度级联架构</w:t>
      </w:r>
      <w:r>
        <w:rPr>
          <w:rFonts w:ascii="Times New Roman" w:hAnsi="Times New Roman" w:eastAsia="宋体"/>
          <w:b w:val="0"/>
          <w:i w:val="0"/>
          <w:sz w:val="21"/>
        </w:rPr>
        <w:t>：</w:t>
      </w:r>
    </w:p>
    <w:p>
      <w:pPr>
        <w:spacing w:after="80" w:line="360" w:lineRule="auto"/>
        <w:ind w:firstLine="420"/>
      </w:pPr>
      <w:r>
        <w:rPr>
          <w:rFonts w:ascii="Times New Roman" w:hAnsi="Times New Roman" w:eastAsia="宋体"/>
          <w:b/>
          <w:i w:val="0"/>
          <w:sz w:val="21"/>
        </w:rPr>
        <w:t>Stage 0（药性预过滤）</w:t>
      </w:r>
      <w:r>
        <w:rPr>
          <w:rFonts w:ascii="Times New Roman" w:hAnsi="Times New Roman" w:eastAsia="宋体"/>
          <w:b w:val="0"/>
          <w:i w:val="0"/>
          <w:sz w:val="21"/>
        </w:rPr>
        <w:t>：Lipinski + Veber + PAINS/DILI 规则过滤，CPU 并行。</w:t>
      </w:r>
    </w:p>
    <w:p>
      <w:pPr>
        <w:spacing w:after="80" w:line="360" w:lineRule="auto"/>
        <w:ind w:firstLine="420"/>
      </w:pPr>
      <w:r>
        <w:rPr>
          <w:rFonts w:ascii="Times New Roman" w:hAnsi="Times New Roman" w:eastAsia="宋体"/>
          <w:b/>
          <w:i w:val="0"/>
          <w:sz w:val="21"/>
        </w:rPr>
        <w:t>Stage 1（双模态快速粗筛）</w:t>
      </w:r>
      <w:r>
        <w:rPr>
          <w:rFonts w:ascii="Times New Roman" w:hAnsi="Times New Roman" w:eastAsia="宋体"/>
          <w:b w:val="0"/>
          <w:i w:val="0"/>
          <w:sz w:val="21"/>
        </w:rPr>
        <w:t>：仅使用 1D + 2D 编码器的轻量级模型（Concat 融合），省略 3D 构象生成，单分子推理约 5 ms。</w:t>
      </w:r>
    </w:p>
    <w:p>
      <w:pPr>
        <w:spacing w:after="80" w:line="360" w:lineRule="auto"/>
        <w:ind w:firstLine="420"/>
      </w:pPr>
      <w:r>
        <w:rPr>
          <w:rFonts w:ascii="Times New Roman" w:hAnsi="Times New Roman" w:eastAsia="宋体"/>
          <w:b/>
          <w:i w:val="0"/>
          <w:sz w:val="21"/>
        </w:rPr>
        <w:t>Stage 2（三模态精细筛选）</w:t>
      </w:r>
      <w:r>
        <w:rPr>
          <w:rFonts w:ascii="Times New Roman" w:hAnsi="Times New Roman" w:eastAsia="宋体"/>
          <w:b w:val="0"/>
          <w:i w:val="0"/>
          <w:sz w:val="21"/>
        </w:rPr>
        <w:t>：对 Stage 1 输出使用完整 STG-Mol 三模态多任务模型。</w:t>
      </w:r>
    </w:p>
    <w:p>
      <w:pPr>
        <w:spacing w:after="80" w:line="360" w:lineRule="auto"/>
        <w:ind w:firstLine="420"/>
      </w:pPr>
      <w:r>
        <w:rPr>
          <w:rFonts w:ascii="Times New Roman" w:hAnsi="Times New Roman" w:eastAsia="宋体"/>
          <w:b/>
          <w:i w:val="0"/>
          <w:sz w:val="21"/>
        </w:rPr>
        <w:t>Stage 3（多样性去冗余）</w:t>
      </w:r>
      <w:r>
        <w:rPr>
          <w:rFonts w:ascii="Times New Roman" w:hAnsi="Times New Roman" w:eastAsia="宋体"/>
          <w:b w:val="0"/>
          <w:i w:val="0"/>
          <w:sz w:val="21"/>
        </w:rPr>
        <w:t>：Butina [76] 层次聚类（Morgan FP，Tanimoto 阈值 0.80）取代表性分子。</w:t>
      </w:r>
    </w:p>
    <w:p>
      <w:pPr>
        <w:spacing w:after="80" w:line="360" w:lineRule="auto"/>
        <w:ind w:firstLine="420"/>
      </w:pPr>
      <w:r>
        <w:rPr>
          <w:rFonts w:ascii="Times New Roman" w:hAnsi="Times New Roman" w:eastAsia="宋体"/>
          <w:b w:val="0"/>
          <w:i w:val="0"/>
          <w:sz w:val="21"/>
        </w:rPr>
        <w:t xml:space="preserve">实测加速比约 </w:t>
      </w:r>
      <w:r>
        <w:rPr>
          <w:rFonts w:ascii="Times New Roman" w:hAnsi="Times New Roman" w:eastAsia="宋体"/>
          <w:b/>
          <w:i w:val="0"/>
          <w:sz w:val="21"/>
        </w:rPr>
        <w:t>12×</w:t>
      </w:r>
      <w:r>
        <w:rPr>
          <w:rFonts w:ascii="Times New Roman" w:hAnsi="Times New Roman" w:eastAsia="宋体"/>
          <w:b w:val="0"/>
          <w:i w:val="0"/>
          <w:sz w:val="21"/>
        </w:rPr>
        <w:t>，端到端召回率损失 &lt; 3%。</w:t>
      </w:r>
    </w:p>
    <w:p>
      <w:pPr>
        <w:spacing w:before="360" w:after="120"/>
      </w:pPr>
      <w:r>
        <w:rPr>
          <w:rFonts w:ascii="Times New Roman" w:hAnsi="Times New Roman" w:eastAsia="宋体"/>
          <w:b/>
          <w:i w:val="0"/>
          <w:color w:val="003366"/>
          <w:sz w:val="28"/>
        </w:rPr>
        <w:t>4  实验设置</w:t>
      </w:r>
    </w:p>
    <w:p>
      <w:pPr>
        <w:spacing w:before="240" w:after="80"/>
      </w:pPr>
      <w:r>
        <w:rPr>
          <w:rFonts w:ascii="Times New Roman" w:hAnsi="Times New Roman" w:eastAsia="宋体"/>
          <w:b/>
          <w:i w:val="0"/>
          <w:color w:val="004C80"/>
          <w:sz w:val="24"/>
        </w:rPr>
        <w:t>4.1  数据集</w:t>
      </w:r>
    </w:p>
    <w:p>
      <w:pPr>
        <w:spacing w:after="80" w:line="360" w:lineRule="auto"/>
        <w:ind w:firstLine="420"/>
      </w:pPr>
      <w:r>
        <w:rPr>
          <w:rFonts w:ascii="Times New Roman" w:hAnsi="Times New Roman" w:eastAsia="宋体"/>
          <w:b/>
          <w:i w:val="0"/>
          <w:sz w:val="21"/>
        </w:rPr>
        <w:t>NLRP3 数据集</w:t>
      </w:r>
      <w:r>
        <w:rPr>
          <w:rFonts w:ascii="Times New Roman" w:hAnsi="Times New Roman" w:eastAsia="宋体"/>
          <w:b w:val="0"/>
          <w:i w:val="0"/>
          <w:sz w:val="21"/>
        </w:rPr>
        <w:t xml:space="preserve">：从 ChEMBL v33 [64]、PubChem [65]、BindingDB [66] 检索。以 IC₅₀ = 1 μM 为阈值并结合规则化置信度协议，构建 </w:t>
      </w:r>
      <w:r>
        <w:rPr>
          <w:rFonts w:ascii="Times New Roman" w:hAnsi="Times New Roman" w:eastAsia="宋体"/>
          <w:b/>
          <w:i w:val="0"/>
          <w:sz w:val="21"/>
        </w:rPr>
        <w:t>2521 分子</w:t>
      </w:r>
      <w:r>
        <w:rPr>
          <w:rFonts w:ascii="Times New Roman" w:hAnsi="Times New Roman" w:eastAsia="宋体"/>
          <w:b w:val="0"/>
          <w:i w:val="0"/>
          <w:sz w:val="21"/>
        </w:rPr>
        <w:t>数据集（活性 648，非活性 1873，比例约 1:2.9）。</w:t>
      </w:r>
      <w:r>
        <w:rPr>
          <w:rFonts w:ascii="Times New Roman" w:hAnsi="Times New Roman" w:eastAsia="宋体"/>
          <w:b/>
          <w:i w:val="0"/>
          <w:sz w:val="21"/>
        </w:rPr>
        <w:t>数据决策协议</w:t>
      </w:r>
      <w:r>
        <w:rPr>
          <w:rFonts w:ascii="Times New Roman" w:hAnsi="Times New Roman" w:eastAsia="宋体"/>
          <w:b w:val="0"/>
          <w:i w:val="0"/>
          <w:sz w:val="21"/>
        </w:rPr>
        <w:t>：所有数据策划标准（活性阈值、诱饵集 DUD-E [52]、5 个已发表 NLRP3 抑制剂 MCC950、CY-09、OLT1177、Oridonin、Tranilast 及其 Tanimoto ≥ 0.7 邻居的显式移除）均在任何模型训练之前</w:t>
      </w:r>
      <w:r>
        <w:rPr>
          <w:rFonts w:ascii="Times New Roman" w:hAnsi="Times New Roman" w:eastAsia="宋体"/>
          <w:b/>
          <w:i w:val="0"/>
          <w:sz w:val="21"/>
        </w:rPr>
        <w:t>预先确定</w:t>
      </w:r>
      <w:r>
        <w:rPr>
          <w:rFonts w:ascii="Times New Roman" w:hAnsi="Times New Roman" w:eastAsia="宋体"/>
          <w:b w:val="0"/>
          <w:i w:val="0"/>
          <w:sz w:val="21"/>
        </w:rPr>
        <w:t>，其依据是第 5.4 节的外部 hold-out 设计。测试集指标未参与任何数据版本、编码器组合或超参数的选择；补充材料 S1 中报告的数据版本敏感性分析是事后稳健性检查，而非模型选择流程。</w:t>
      </w:r>
    </w:p>
    <w:p>
      <w:pPr>
        <w:spacing w:after="80" w:line="360" w:lineRule="auto"/>
        <w:ind w:firstLine="420"/>
      </w:pPr>
      <w:r>
        <w:rPr>
          <w:rFonts w:ascii="Times New Roman" w:hAnsi="Times New Roman" w:eastAsia="宋体"/>
          <w:b/>
          <w:i w:val="0"/>
          <w:sz w:val="21"/>
        </w:rPr>
        <w:t>划分协议</w:t>
      </w:r>
      <w:r>
        <w:rPr>
          <w:rFonts w:ascii="Times New Roman" w:hAnsi="Times New Roman" w:eastAsia="宋体"/>
          <w:b w:val="0"/>
          <w:i w:val="0"/>
          <w:sz w:val="21"/>
        </w:rPr>
        <w:t>：在同一策划数据集上，我们采用两种互补划分。</w:t>
      </w:r>
      <w:r>
        <w:rPr>
          <w:rFonts w:ascii="Times New Roman" w:hAnsi="Times New Roman" w:eastAsia="宋体"/>
          <w:b/>
          <w:i w:val="0"/>
          <w:sz w:val="21"/>
        </w:rPr>
        <w:t>(i) Bemis–Murcko scaffold split（V3-scaffold，主协议）</w:t>
      </w:r>
      <w:r>
        <w:rPr>
          <w:rFonts w:ascii="Times New Roman" w:hAnsi="Times New Roman" w:eastAsia="宋体"/>
          <w:b w:val="0"/>
          <w:i w:val="0"/>
          <w:sz w:val="21"/>
        </w:rPr>
        <w:t>——按 Bemis–Murcko 通用骨架对分子分组，8:1:1 划分且任一骨架不跨集合出现，得到 train 2076 / val 252 / test 193（54 活性、139 非活性；活性占比 27.98%；EF 理论上限 N/P = 193/54 ≈ 3.574）。</w:t>
      </w:r>
      <w:r>
        <w:rPr>
          <w:rFonts w:ascii="Times New Roman" w:hAnsi="Times New Roman" w:eastAsia="宋体"/>
          <w:b/>
          <w:i w:val="0"/>
          <w:sz w:val="21"/>
        </w:rPr>
        <w:t>(ii) Random split（V3-random，参考协议）</w:t>
      </w:r>
      <w:r>
        <w:rPr>
          <w:rFonts w:ascii="Times New Roman" w:hAnsi="Times New Roman" w:eastAsia="宋体"/>
          <w:b w:val="0"/>
          <w:i w:val="0"/>
          <w:sz w:val="21"/>
        </w:rPr>
        <w:t>——同 8:1:1 比例，按活性标签分层随机划分，得到 train 2016 / val 253 / test 252（67 活性、185 非活性；活性占比 26.59%；EF 理论上限 N/P = 252/67 ≈ 3.7612）。</w:t>
      </w:r>
      <w:r>
        <w:rPr>
          <w:rFonts w:ascii="Times New Roman" w:hAnsi="Times New Roman" w:eastAsia="宋体"/>
          <w:b/>
          <w:i w:val="0"/>
          <w:sz w:val="21"/>
        </w:rPr>
        <w:t>主协议 scaffold split 作为 headline 评估；random split 并列报告以量化骨架重叠对指标的贡献</w:t>
      </w:r>
      <w:r>
        <w:rPr>
          <w:rFonts w:ascii="Times New Roman" w:hAnsi="Times New Roman" w:eastAsia="宋体"/>
          <w:b w:val="0"/>
          <w:i w:val="0"/>
          <w:sz w:val="21"/>
        </w:rPr>
        <w:t>。</w:t>
      </w:r>
      <w:r>
        <w:rPr>
          <w:rFonts w:ascii="Times New Roman" w:hAnsi="Times New Roman" w:eastAsia="宋体"/>
          <w:b/>
          <w:i w:val="0"/>
          <w:sz w:val="21"/>
        </w:rPr>
        <w:t>ADMET 辅助标签</w:t>
      </w:r>
      <w:r>
        <w:rPr>
          <w:rFonts w:ascii="Times New Roman" w:hAnsi="Times New Roman" w:eastAsia="宋体"/>
          <w:b w:val="0"/>
          <w:i w:val="0"/>
          <w:sz w:val="21"/>
        </w:rPr>
        <w:t>通过 RDKit [73] 规则生成五项二分类标签（Lipinski [68] / QED [69] / PAINS [70] / SA [71] / LogP moderation）。</w:t>
      </w:r>
    </w:p>
    <w:p>
      <w:pPr>
        <w:spacing w:before="240" w:after="80"/>
      </w:pPr>
      <w:r>
        <w:rPr>
          <w:rFonts w:ascii="Times New Roman" w:hAnsi="Times New Roman" w:eastAsia="宋体"/>
          <w:b/>
          <w:i w:val="0"/>
          <w:color w:val="004C80"/>
          <w:sz w:val="24"/>
        </w:rPr>
        <w:t>4.2  实现细节</w:t>
      </w:r>
    </w:p>
    <w:p>
      <w:pPr>
        <w:spacing w:after="80" w:line="360" w:lineRule="auto"/>
        <w:ind w:firstLine="420"/>
      </w:pPr>
      <w:r>
        <w:rPr>
          <w:rFonts w:ascii="Times New Roman" w:hAnsi="Times New Roman" w:eastAsia="宋体"/>
          <w:b/>
          <w:i w:val="0"/>
          <w:sz w:val="21"/>
        </w:rPr>
        <w:t>编码器</w:t>
      </w:r>
      <w:r>
        <w:rPr>
          <w:rFonts w:ascii="Times New Roman" w:hAnsi="Times New Roman" w:eastAsia="宋体"/>
          <w:b w:val="0"/>
          <w:i w:val="0"/>
          <w:sz w:val="21"/>
        </w:rPr>
        <w:t>：1D Mol2Vec（embedding_dim=300, radius=1，投影至 112 维）；2D D-MPNN（T=3，隐藏 112 维，dropout=0.54）；3D SphereNet（T=3，num_radial=6，num_spherical=7，cutoff=8.0 Å，dropout=0.3）。</w:t>
      </w:r>
    </w:p>
    <w:p>
      <w:pPr>
        <w:spacing w:after="80" w:line="360" w:lineRule="auto"/>
        <w:ind w:firstLine="420"/>
      </w:pPr>
      <w:r>
        <w:rPr>
          <w:rFonts w:ascii="Times New Roman" w:hAnsi="Times New Roman" w:eastAsia="宋体"/>
          <w:b/>
          <w:i w:val="0"/>
          <w:sz w:val="21"/>
        </w:rPr>
        <w:t>融合模块</w:t>
      </w:r>
      <w:r>
        <w:rPr>
          <w:rFonts w:ascii="Times New Roman" w:hAnsi="Times New Roman" w:eastAsia="宋体"/>
          <w:b w:val="0"/>
          <w:i w:val="0"/>
          <w:sz w:val="21"/>
        </w:rPr>
        <w:t>：分层三模态融合（Cross-Attention + Gated + Bilinear + Importance Network），融合维度 112。</w:t>
      </w:r>
    </w:p>
    <w:p>
      <w:pPr>
        <w:spacing w:after="80" w:line="360" w:lineRule="auto"/>
        <w:ind w:firstLine="420"/>
      </w:pPr>
      <w:r>
        <w:rPr>
          <w:rFonts w:ascii="Times New Roman" w:hAnsi="Times New Roman" w:eastAsia="宋体"/>
          <w:b/>
          <w:i w:val="0"/>
          <w:sz w:val="21"/>
        </w:rPr>
        <w:t>多任务分类头</w:t>
      </w:r>
      <w:r>
        <w:rPr>
          <w:rFonts w:ascii="Times New Roman" w:hAnsi="Times New Roman" w:eastAsia="宋体"/>
          <w:b w:val="0"/>
          <w:i w:val="0"/>
          <w:sz w:val="21"/>
        </w:rPr>
        <w:t>：主任务 2 维，辅助 ADMET 5 头 × 2 维。</w:t>
      </w:r>
    </w:p>
    <w:p>
      <w:pPr>
        <w:spacing w:after="80" w:line="360" w:lineRule="auto"/>
        <w:ind w:firstLine="420"/>
      </w:pPr>
      <w:r>
        <w:rPr>
          <w:rFonts w:ascii="Times New Roman" w:hAnsi="Times New Roman" w:eastAsia="宋体"/>
          <w:b/>
          <w:i w:val="0"/>
          <w:sz w:val="21"/>
        </w:rPr>
        <w:t>训练</w:t>
      </w:r>
      <w:r>
        <w:rPr>
          <w:rFonts w:ascii="Times New Roman" w:hAnsi="Times New Roman" w:eastAsia="宋体"/>
          <w:b w:val="0"/>
          <w:i w:val="0"/>
          <w:sz w:val="21"/>
        </w:rPr>
        <w:t>：AdamW 优化器（weight_decay=0.015），OneCycleLR [78] 调度（peak_lr=3×10⁻⁴，pct_start=0.15，cos 退火）；分支差异化学习率倍率 encoder_1d=0.25, encoder_2d=0.8, encoder_3d=0.8, fusion=1.5, classifier=1.0；批大小 128，最多 300 epoch，早停 patience=100。</w:t>
      </w:r>
    </w:p>
    <w:p>
      <w:pPr>
        <w:spacing w:after="80" w:line="360" w:lineRule="auto"/>
        <w:ind w:firstLine="420"/>
      </w:pPr>
      <w:r>
        <w:rPr>
          <w:rFonts w:ascii="Times New Roman" w:hAnsi="Times New Roman" w:eastAsia="宋体"/>
          <w:b/>
          <w:i w:val="0"/>
          <w:sz w:val="21"/>
        </w:rPr>
        <w:t>损失</w:t>
      </w:r>
      <w:r>
        <w:rPr>
          <w:rFonts w:ascii="Times New Roman" w:hAnsi="Times New Roman" w:eastAsia="宋体"/>
          <w:b w:val="0"/>
          <w:i w:val="0"/>
          <w:sz w:val="21"/>
        </w:rPr>
        <w:t>：Focal Loss（γ=1.5，label_smoothing=0.05，class_weight=balanced，max_pos_weight=2.5）+ 多样性正则化（λ_div=0.15）+ 多任务辅助损失（λ_admet=0.2）。</w:t>
      </w:r>
    </w:p>
    <w:p>
      <w:pPr>
        <w:spacing w:after="80" w:line="360" w:lineRule="auto"/>
        <w:ind w:firstLine="420"/>
      </w:pPr>
      <w:r>
        <w:rPr>
          <w:rFonts w:ascii="Times New Roman" w:hAnsi="Times New Roman" w:eastAsia="宋体"/>
          <w:b/>
          <w:i w:val="0"/>
          <w:sz w:val="21"/>
        </w:rPr>
        <w:t>硬件与复现</w:t>
      </w:r>
      <w:r>
        <w:rPr>
          <w:rFonts w:ascii="Times New Roman" w:hAnsi="Times New Roman" w:eastAsia="宋体"/>
          <w:b w:val="0"/>
          <w:i w:val="0"/>
          <w:sz w:val="21"/>
        </w:rPr>
        <w:t>：NVIDIA RTX 4090 24GB GPU；5 个随机种子 {42, 123, 2024, 3407, 7} 独立训练，报告个体结果与集成（5 模型平均）结果。</w:t>
      </w:r>
    </w:p>
    <w:p>
      <w:pPr>
        <w:spacing w:before="240" w:after="80"/>
      </w:pPr>
      <w:r>
        <w:rPr>
          <w:rFonts w:ascii="Times New Roman" w:hAnsi="Times New Roman" w:eastAsia="宋体"/>
          <w:b/>
          <w:i w:val="0"/>
          <w:color w:val="004C80"/>
          <w:sz w:val="24"/>
        </w:rPr>
        <w:t>4.3  评估指标</w:t>
      </w:r>
    </w:p>
    <w:p>
      <w:pPr>
        <w:spacing w:after="80" w:line="360" w:lineRule="auto"/>
        <w:ind w:firstLine="420"/>
      </w:pPr>
      <w:r>
        <w:rPr>
          <w:rFonts w:ascii="Times New Roman" w:hAnsi="Times New Roman" w:eastAsia="宋体"/>
          <w:b w:val="0"/>
          <w:i w:val="0"/>
          <w:sz w:val="21"/>
        </w:rPr>
        <w:t>本文报告三类指标。</w:t>
      </w:r>
      <w:r>
        <w:rPr>
          <w:rFonts w:ascii="Times New Roman" w:hAnsi="Times New Roman" w:eastAsia="宋体"/>
          <w:b/>
          <w:i w:val="0"/>
          <w:sz w:val="21"/>
        </w:rPr>
        <w:t>(i) 整体判别能力</w:t>
      </w:r>
      <w:r>
        <w:rPr>
          <w:rFonts w:ascii="Times New Roman" w:hAnsi="Times New Roman" w:eastAsia="宋体"/>
          <w:b w:val="0"/>
          <w:i w:val="0"/>
          <w:sz w:val="21"/>
        </w:rPr>
        <w:t>：ROC-AUC、PR-AUC、Accuracy、Precision、Recall、F1、MCC。</w:t>
      </w:r>
    </w:p>
    <w:p>
      <w:pPr>
        <w:spacing w:before="80" w:after="120"/>
        <w:jc w:val="center"/>
      </w:pPr>
      <w:r>
        <w:rPr>
          <w:rFonts w:ascii="Cambria Math" w:hAnsi="Cambria Math"/>
          <w:sz w:val="22"/>
        </w:rPr>
        <w:t>MCC = (TP·TN − FP·FN) / √((TP+FP)(TP+FN)(TN+FP)(TN+FN))</w:t>
      </w:r>
    </w:p>
    <w:p>
      <w:pPr>
        <w:spacing w:after="80" w:line="360" w:lineRule="auto"/>
        <w:ind w:firstLine="420"/>
      </w:pPr>
      <w:r>
        <w:rPr>
          <w:rFonts w:ascii="Times New Roman" w:hAnsi="Times New Roman" w:eastAsia="宋体"/>
          <w:b/>
          <w:i w:val="0"/>
          <w:sz w:val="21"/>
        </w:rPr>
        <w:t>(ii) 早期识别能力</w:t>
      </w:r>
      <w:r>
        <w:rPr>
          <w:rFonts w:ascii="Times New Roman" w:hAnsi="Times New Roman" w:eastAsia="宋体"/>
          <w:b w:val="0"/>
          <w:i w:val="0"/>
          <w:sz w:val="21"/>
        </w:rPr>
        <w:t>（虚拟筛选核心）：BEDROC@α [51]，α ∈ {20, 80, 160}（α = 20 为主指标，遵循原始推荐；α = 80、160 作为极早期识别区间的稳健性补充）。BEDROC ∈ [0, 1]，理论上限 1.0。</w:t>
      </w:r>
    </w:p>
    <w:p>
      <w:pPr>
        <w:spacing w:after="80" w:line="360" w:lineRule="auto"/>
        <w:ind w:firstLine="420"/>
      </w:pPr>
      <w:r>
        <w:rPr>
          <w:rFonts w:ascii="Times New Roman" w:hAnsi="Times New Roman" w:eastAsia="宋体"/>
          <w:b/>
          <w:i w:val="0"/>
          <w:sz w:val="21"/>
        </w:rPr>
        <w:t>(iii) 富集因子</w:t>
      </w:r>
      <w:r>
        <w:rPr>
          <w:rFonts w:ascii="Times New Roman" w:hAnsi="Times New Roman" w:eastAsia="宋体"/>
          <w:b w:val="0"/>
          <w:i w:val="0"/>
          <w:sz w:val="21"/>
        </w:rPr>
        <w:t xml:space="preserve"> EF@k% = (TP@top-k% / k) / (P/N)。</w:t>
      </w:r>
      <w:r>
        <w:rPr>
          <w:rFonts w:ascii="Times New Roman" w:hAnsi="Times New Roman" w:eastAsia="宋体"/>
          <w:b/>
          <w:i w:val="0"/>
          <w:sz w:val="21"/>
        </w:rPr>
        <w:t>理论上限依赖于测试集划分</w:t>
      </w:r>
      <w:r>
        <w:rPr>
          <w:rFonts w:ascii="Times New Roman" w:hAnsi="Times New Roman" w:eastAsia="宋体"/>
          <w:b w:val="0"/>
          <w:i w:val="0"/>
          <w:sz w:val="21"/>
        </w:rPr>
        <w:t xml:space="preserve">：scaffold-split 测试集（活性占比 27.98%）上 EF_max = N/P = 193/54 ≈ </w:t>
      </w:r>
      <w:r>
        <w:rPr>
          <w:rFonts w:ascii="Times New Roman" w:hAnsi="Times New Roman" w:eastAsia="宋体"/>
          <w:b/>
          <w:i w:val="0"/>
          <w:sz w:val="21"/>
        </w:rPr>
        <w:t>3.574</w:t>
      </w:r>
      <w:r>
        <w:rPr>
          <w:rFonts w:ascii="Times New Roman" w:hAnsi="Times New Roman" w:eastAsia="宋体"/>
          <w:b w:val="0"/>
          <w:i w:val="0"/>
          <w:sz w:val="21"/>
        </w:rPr>
        <w:t xml:space="preserve">；random-split 测试集（活性占比 26.59%）上 EF_max = N/P = 252/67 ≈ </w:t>
      </w:r>
      <w:r>
        <w:rPr>
          <w:rFonts w:ascii="Times New Roman" w:hAnsi="Times New Roman" w:eastAsia="宋体"/>
          <w:b/>
          <w:i w:val="0"/>
          <w:sz w:val="21"/>
        </w:rPr>
        <w:t>3.7612</w:t>
      </w:r>
      <w:r>
        <w:rPr>
          <w:rFonts w:ascii="Times New Roman" w:hAnsi="Times New Roman" w:eastAsia="宋体"/>
          <w:b w:val="0"/>
          <w:i w:val="0"/>
          <w:sz w:val="21"/>
        </w:rPr>
        <w:t>。我们同时在两种划分上报告 EF@5%、EF@10%、EF@20%；EF@1% 对应我们小测试集上 top-k = 2–3 分子，受强离散化伪影影响（顶端多出一个真阳可能让 EF@1% 绝对值波动约 1.0），故不作为主指标报告。</w:t>
      </w:r>
      <w:r>
        <w:rPr>
          <w:rFonts w:ascii="Times New Roman" w:hAnsi="Times New Roman" w:eastAsia="宋体"/>
          <w:b/>
          <w:i w:val="0"/>
          <w:sz w:val="21"/>
        </w:rPr>
        <w:t>虚拟筛选场景中 Recall 与 BEDROC@α=20 是我们最核心的部署效用指标</w:t>
      </w:r>
      <w:r>
        <w:rPr>
          <w:rFonts w:ascii="Times New Roman" w:hAnsi="Times New Roman" w:eastAsia="宋体"/>
          <w:b w:val="0"/>
          <w:i w:val="0"/>
          <w:sz w:val="21"/>
        </w:rPr>
        <w:t>——高 Recall 意味着更少的真实活性化合物被漏筛；假阳性可由下游对接、MD、湿实验过滤，而假阴性无法在下游流程中恢复。</w:t>
      </w:r>
    </w:p>
    <w:p>
      <w:pPr>
        <w:spacing w:before="240" w:after="80"/>
      </w:pPr>
      <w:r>
        <w:rPr>
          <w:rFonts w:ascii="Times New Roman" w:hAnsi="Times New Roman" w:eastAsia="宋体"/>
          <w:b/>
          <w:i w:val="0"/>
          <w:color w:val="004C80"/>
          <w:sz w:val="24"/>
        </w:rPr>
        <w:t>4.4  基线方法</w:t>
      </w:r>
    </w:p>
    <w:p>
      <w:pPr>
        <w:spacing w:after="80" w:line="360" w:lineRule="auto"/>
        <w:ind w:firstLine="420"/>
      </w:pPr>
      <w:r>
        <w:rPr>
          <w:rFonts w:ascii="Times New Roman" w:hAnsi="Times New Roman" w:eastAsia="宋体"/>
          <w:b w:val="0"/>
          <w:i w:val="0"/>
          <w:sz w:val="21"/>
        </w:rPr>
        <w:t>选取覆盖三类研究路线的基线方法进行系统对比。</w:t>
      </w:r>
    </w:p>
    <w:p>
      <w:pPr>
        <w:spacing w:after="80" w:line="360" w:lineRule="auto"/>
        <w:ind w:firstLine="420"/>
      </w:pPr>
      <w:r>
        <w:rPr>
          <w:rFonts w:ascii="Times New Roman" w:hAnsi="Times New Roman" w:eastAsia="宋体"/>
          <w:b w:val="0"/>
          <w:i w:val="0"/>
          <w:sz w:val="21"/>
        </w:rPr>
        <w:t>第一类为</w:t>
      </w:r>
      <w:r>
        <w:rPr>
          <w:rFonts w:ascii="Times New Roman" w:hAnsi="Times New Roman" w:eastAsia="宋体"/>
          <w:b/>
          <w:i w:val="0"/>
          <w:sz w:val="21"/>
        </w:rPr>
        <w:t>传统 QSAR 方法</w:t>
      </w:r>
      <w:r>
        <w:rPr>
          <w:rFonts w:ascii="Times New Roman" w:hAnsi="Times New Roman" w:eastAsia="宋体"/>
          <w:b w:val="0"/>
          <w:i w:val="0"/>
          <w:sz w:val="21"/>
        </w:rPr>
        <w:t>，以 Morgan 圆形指纹（ECFP4）结合 SVM、RF、XGBoost 三种经典机器学习分类器。</w:t>
      </w:r>
    </w:p>
    <w:p>
      <w:pPr>
        <w:spacing w:after="80" w:line="360" w:lineRule="auto"/>
        <w:ind w:firstLine="420"/>
      </w:pPr>
      <w:r>
        <w:rPr>
          <w:rFonts w:ascii="Times New Roman" w:hAnsi="Times New Roman" w:eastAsia="宋体"/>
          <w:b w:val="0"/>
          <w:i w:val="0"/>
          <w:sz w:val="21"/>
        </w:rPr>
        <w:t>第二类为</w:t>
      </w:r>
      <w:r>
        <w:rPr>
          <w:rFonts w:ascii="Times New Roman" w:hAnsi="Times New Roman" w:eastAsia="宋体"/>
          <w:b/>
          <w:i w:val="0"/>
          <w:sz w:val="21"/>
        </w:rPr>
        <w:t>单模态深度学习方法</w:t>
      </w:r>
      <w:r>
        <w:rPr>
          <w:rFonts w:ascii="Times New Roman" w:hAnsi="Times New Roman" w:eastAsia="宋体"/>
          <w:b w:val="0"/>
          <w:i w:val="0"/>
          <w:sz w:val="21"/>
        </w:rPr>
        <w:t>，包括 ChemBERTa [17]、AttentiveFP [22]、D-MPNN [21]、SchNet [24]。</w:t>
      </w:r>
    </w:p>
    <w:p>
      <w:pPr>
        <w:spacing w:after="80" w:line="360" w:lineRule="auto"/>
        <w:ind w:firstLine="420"/>
      </w:pPr>
      <w:r>
        <w:rPr>
          <w:rFonts w:ascii="Times New Roman" w:hAnsi="Times New Roman" w:eastAsia="宋体"/>
          <w:b w:val="0"/>
          <w:i w:val="0"/>
          <w:sz w:val="21"/>
        </w:rPr>
        <w:t>第三类为</w:t>
      </w:r>
      <w:r>
        <w:rPr>
          <w:rFonts w:ascii="Times New Roman" w:hAnsi="Times New Roman" w:eastAsia="宋体"/>
          <w:b/>
          <w:i w:val="0"/>
          <w:sz w:val="21"/>
        </w:rPr>
        <w:t>多模态或大规模预训练方法</w:t>
      </w:r>
      <w:r>
        <w:rPr>
          <w:rFonts w:ascii="Times New Roman" w:hAnsi="Times New Roman" w:eastAsia="宋体"/>
          <w:b w:val="0"/>
          <w:i w:val="0"/>
          <w:sz w:val="21"/>
        </w:rPr>
        <w:t>，涵盖 MolCLR [31]、Uni-Mol [30]、GEM [32]、GROVER [38]。</w:t>
      </w:r>
    </w:p>
    <w:p>
      <w:pPr>
        <w:spacing w:after="80" w:line="360" w:lineRule="auto"/>
        <w:ind w:firstLine="420"/>
      </w:pPr>
      <w:r>
        <w:rPr>
          <w:rFonts w:ascii="Times New Roman" w:hAnsi="Times New Roman" w:eastAsia="宋体"/>
          <w:b w:val="0"/>
          <w:i w:val="0"/>
          <w:sz w:val="21"/>
        </w:rPr>
        <w:t>所有深度学习基线使用作者提供的官方实现或预训练权重进行训练/微调；传统 QSAR 基线采用 scikit-learn 默认超参数并通过验证集调优。</w:t>
      </w:r>
    </w:p>
    <w:p>
      <w:pPr>
        <w:spacing w:before="360" w:after="120"/>
      </w:pPr>
      <w:r>
        <w:rPr>
          <w:rFonts w:ascii="Times New Roman" w:hAnsi="Times New Roman" w:eastAsia="宋体"/>
          <w:b/>
          <w:i w:val="0"/>
          <w:color w:val="003366"/>
          <w:sz w:val="28"/>
        </w:rPr>
        <w:t>5  结果与分析</w:t>
      </w:r>
    </w:p>
    <w:p>
      <w:pPr>
        <w:spacing w:before="240" w:after="80"/>
      </w:pPr>
      <w:r>
        <w:rPr>
          <w:rFonts w:ascii="Times New Roman" w:hAnsi="Times New Roman" w:eastAsia="宋体"/>
          <w:b/>
          <w:i w:val="0"/>
          <w:color w:val="004C80"/>
          <w:sz w:val="24"/>
        </w:rPr>
        <w:t>5.1  主实验：STG-Mol 与基线方法的整体对比</w:t>
      </w:r>
    </w:p>
    <w:p>
      <w:pPr>
        <w:spacing w:after="80" w:line="360" w:lineRule="auto"/>
        <w:ind w:firstLine="420"/>
      </w:pPr>
      <w:r>
        <w:rPr>
          <w:rFonts w:ascii="Times New Roman" w:hAnsi="Times New Roman" w:eastAsia="宋体"/>
          <w:b w:val="0"/>
          <w:i w:val="0"/>
          <w:sz w:val="21"/>
        </w:rPr>
        <w:t>遵循 MoleculeNet 惯例 [67]，我们</w:t>
      </w:r>
      <w:r>
        <w:rPr>
          <w:rFonts w:ascii="Times New Roman" w:hAnsi="Times New Roman" w:eastAsia="宋体"/>
          <w:b/>
          <w:i w:val="0"/>
          <w:sz w:val="21"/>
        </w:rPr>
        <w:t>在同一策划的 2521 分子 NLRP3 数据集上并列报告两种互补协议</w:t>
      </w:r>
      <w:r>
        <w:rPr>
          <w:rFonts w:ascii="Times New Roman" w:hAnsi="Times New Roman" w:eastAsia="宋体"/>
          <w:b w:val="0"/>
          <w:i w:val="0"/>
          <w:sz w:val="21"/>
        </w:rPr>
        <w:t xml:space="preserve">：(i) </w:t>
      </w:r>
      <w:r>
        <w:rPr>
          <w:rFonts w:ascii="Times New Roman" w:hAnsi="Times New Roman" w:eastAsia="宋体"/>
          <w:b/>
          <w:i w:val="0"/>
          <w:sz w:val="21"/>
        </w:rPr>
        <w:t>Bemis–Murcko scaffold split（V3-scaffold，主协议）</w:t>
      </w:r>
      <w:r>
        <w:rPr>
          <w:rFonts w:ascii="Times New Roman" w:hAnsi="Times New Roman" w:eastAsia="宋体"/>
          <w:b w:val="0"/>
          <w:i w:val="0"/>
          <w:sz w:val="21"/>
        </w:rPr>
        <w:t xml:space="preserve">——对新颖化学骨架泛化能力的严格测试，作为 headline 评估基准；(ii) </w:t>
      </w:r>
      <w:r>
        <w:rPr>
          <w:rFonts w:ascii="Times New Roman" w:hAnsi="Times New Roman" w:eastAsia="宋体"/>
          <w:b/>
          <w:i w:val="0"/>
          <w:sz w:val="21"/>
        </w:rPr>
        <w:t>Random split（V3-random，参考协议）</w:t>
      </w:r>
      <w:r>
        <w:rPr>
          <w:rFonts w:ascii="Times New Roman" w:hAnsi="Times New Roman" w:eastAsia="宋体"/>
          <w:b w:val="0"/>
          <w:i w:val="0"/>
          <w:sz w:val="21"/>
        </w:rPr>
        <w:t>——量化在分布内性能上限，同时便于与采用随机划分的既有工作对齐。两种协议共用相同的数据策划流程（移除 5 个外部抑制剂及其 Tanimoto ≥ 0.7 邻居）与相同的模型/训练超参数。</w:t>
      </w:r>
      <w:r>
        <w:rPr>
          <w:rFonts w:ascii="Times New Roman" w:hAnsi="Times New Roman" w:eastAsia="宋体"/>
          <w:b/>
          <w:i w:val="0"/>
          <w:sz w:val="21"/>
        </w:rPr>
        <w:t>模型选择（5-seed 集成权重、决策阈值）分别在两种协议的验证集上独立完成；测试集未参与任何模型或数据决策</w:t>
      </w:r>
      <w:r>
        <w:rPr>
          <w:rFonts w:ascii="Times New Roman" w:hAnsi="Times New Roman" w:eastAsia="宋体"/>
          <w:b w:val="0"/>
          <w:i w:val="0"/>
          <w:sz w:val="21"/>
        </w:rPr>
        <w:t>。表 5.1 给出各类别基线与 STG-Mol 的对比。</w:t>
      </w:r>
    </w:p>
    <w:p>
      <w:pPr>
        <w:spacing w:before="60" w:after="160"/>
        <w:jc w:val="center"/>
      </w:pPr>
      <w:r>
        <w:rPr>
          <w:rFonts w:ascii="Times New Roman" w:hAnsi="Times New Roman" w:eastAsia="宋体"/>
          <w:b/>
          <w:i w:val="0"/>
          <w:color w:val="323232"/>
          <w:sz w:val="19"/>
        </w:rPr>
        <w:t>表 5.1a  STG-Mol 与基线方法在 NLRP3 测试集上的对比——主协议：scaffold split（5-seed mean ± std）</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i w:val="0"/>
                <w:sz w:val="18"/>
              </w:rPr>
              <w:t>类别</w:t>
            </w:r>
          </w:p>
        </w:tc>
        <w:tc>
          <w:tcPr>
            <w:tcW w:type="dxa" w:w="1344"/>
          </w:tcPr>
          <w:p>
            <w:pPr>
              <w:jc w:val="center"/>
            </w:pPr>
            <w:r/>
            <w:r>
              <w:rPr>
                <w:rFonts w:ascii="Times New Roman" w:hAnsi="Times New Roman" w:eastAsia="宋体"/>
                <w:b/>
                <w:i w:val="0"/>
                <w:sz w:val="18"/>
              </w:rPr>
              <w:t>方法</w:t>
            </w:r>
          </w:p>
        </w:tc>
        <w:tc>
          <w:tcPr>
            <w:tcW w:type="dxa" w:w="1344"/>
          </w:tcPr>
          <w:p>
            <w:pPr>
              <w:jc w:val="center"/>
            </w:pPr>
            <w:r/>
            <w:r>
              <w:rPr>
                <w:rFonts w:ascii="Times New Roman" w:hAnsi="Times New Roman" w:eastAsia="宋体"/>
                <w:b/>
                <w:i w:val="0"/>
                <w:sz w:val="18"/>
              </w:rPr>
              <w:t>ROC-AUC ↑</w:t>
            </w:r>
          </w:p>
        </w:tc>
        <w:tc>
          <w:tcPr>
            <w:tcW w:type="dxa" w:w="1344"/>
          </w:tcPr>
          <w:p>
            <w:pPr>
              <w:jc w:val="center"/>
            </w:pPr>
            <w:r/>
            <w:r>
              <w:rPr>
                <w:rFonts w:ascii="Times New Roman" w:hAnsi="Times New Roman" w:eastAsia="宋体"/>
                <w:b/>
                <w:i w:val="0"/>
                <w:sz w:val="18"/>
              </w:rPr>
              <w:t>F1 ↑</w:t>
            </w:r>
          </w:p>
        </w:tc>
        <w:tc>
          <w:tcPr>
            <w:tcW w:type="dxa" w:w="1344"/>
          </w:tcPr>
          <w:p>
            <w:pPr>
              <w:jc w:val="center"/>
            </w:pPr>
            <w:r/>
            <w:r>
              <w:rPr>
                <w:rFonts w:ascii="Times New Roman" w:hAnsi="Times New Roman" w:eastAsia="宋体"/>
                <w:b/>
                <w:i w:val="0"/>
                <w:sz w:val="18"/>
              </w:rPr>
              <w:t>MCC ↑</w:t>
            </w:r>
          </w:p>
        </w:tc>
        <w:tc>
          <w:tcPr>
            <w:tcW w:type="dxa" w:w="1344"/>
          </w:tcPr>
          <w:p>
            <w:pPr>
              <w:jc w:val="center"/>
            </w:pPr>
            <w:r/>
            <w:r>
              <w:rPr>
                <w:rFonts w:ascii="Times New Roman" w:hAnsi="Times New Roman" w:eastAsia="宋体"/>
                <w:b/>
                <w:i w:val="0"/>
                <w:sz w:val="18"/>
              </w:rPr>
              <w:t>Recall ↑</w:t>
            </w:r>
          </w:p>
        </w:tc>
        <w:tc>
          <w:tcPr>
            <w:tcW w:type="dxa" w:w="1344"/>
          </w:tcPr>
          <w:p>
            <w:pPr>
              <w:jc w:val="center"/>
            </w:pPr>
            <w:r/>
            <w:r>
              <w:rPr>
                <w:rFonts w:ascii="Times New Roman" w:hAnsi="Times New Roman" w:eastAsia="宋体"/>
                <w:b/>
                <w:i w:val="0"/>
                <w:sz w:val="18"/>
              </w:rPr>
              <w:t>Precision ↑</w:t>
            </w:r>
          </w:p>
        </w:tc>
      </w:tr>
      <w:tr>
        <w:tc>
          <w:tcPr>
            <w:tcW w:type="dxa" w:w="1344"/>
          </w:tcPr>
          <w:p>
            <w:pPr>
              <w:jc w:val="center"/>
            </w:pPr>
            <w:r/>
            <w:r>
              <w:rPr>
                <w:rFonts w:ascii="Times New Roman" w:hAnsi="Times New Roman" w:eastAsia="宋体"/>
                <w:b w:val="0"/>
                <w:i w:val="0"/>
                <w:sz w:val="18"/>
              </w:rPr>
              <w:t>传统 QSAR</w:t>
            </w:r>
          </w:p>
        </w:tc>
        <w:tc>
          <w:tcPr>
            <w:tcW w:type="dxa" w:w="1344"/>
          </w:tcPr>
          <w:p>
            <w:pPr>
              <w:jc w:val="center"/>
            </w:pPr>
            <w:r/>
            <w:r>
              <w:rPr>
                <w:rFonts w:ascii="Times New Roman" w:hAnsi="Times New Roman" w:eastAsia="宋体"/>
                <w:b w:val="0"/>
                <w:i w:val="0"/>
                <w:sz w:val="18"/>
              </w:rPr>
              <w:t>ECFP4 + SVM</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ECFP4 + RF</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ECFP4 + XGBoost</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r>
              <w:rPr>
                <w:rFonts w:ascii="Times New Roman" w:hAnsi="Times New Roman" w:eastAsia="宋体"/>
                <w:b w:val="0"/>
                <w:i w:val="0"/>
                <w:sz w:val="18"/>
              </w:rPr>
              <w:t>单模态深度</w:t>
            </w:r>
          </w:p>
        </w:tc>
        <w:tc>
          <w:tcPr>
            <w:tcW w:type="dxa" w:w="1344"/>
          </w:tcPr>
          <w:p>
            <w:pPr>
              <w:jc w:val="center"/>
            </w:pPr>
            <w:r/>
            <w:r>
              <w:rPr>
                <w:rFonts w:ascii="Times New Roman" w:hAnsi="Times New Roman" w:eastAsia="宋体"/>
                <w:b w:val="0"/>
                <w:i w:val="0"/>
                <w:sz w:val="18"/>
              </w:rPr>
              <w:t>ChemBERTa</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D-MPNN</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SchNet</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AttentiveFP</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r>
              <w:rPr>
                <w:rFonts w:ascii="Times New Roman" w:hAnsi="Times New Roman" w:eastAsia="宋体"/>
                <w:b w:val="0"/>
                <w:i w:val="0"/>
                <w:sz w:val="18"/>
              </w:rPr>
              <w:t>多模态/预训练</w:t>
            </w:r>
          </w:p>
        </w:tc>
        <w:tc>
          <w:tcPr>
            <w:tcW w:type="dxa" w:w="1344"/>
          </w:tcPr>
          <w:p>
            <w:pPr>
              <w:jc w:val="center"/>
            </w:pPr>
            <w:r/>
            <w:r>
              <w:rPr>
                <w:rFonts w:ascii="Times New Roman" w:hAnsi="Times New Roman" w:eastAsia="宋体"/>
                <w:b w:val="0"/>
                <w:i w:val="0"/>
                <w:sz w:val="18"/>
              </w:rPr>
              <w:t>MolCLR</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Uni-Mol</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GEM</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p>
        </w:tc>
        <w:tc>
          <w:tcPr>
            <w:tcW w:type="dxa" w:w="1344"/>
          </w:tcPr>
          <w:p>
            <w:pPr>
              <w:jc w:val="center"/>
            </w:pPr>
            <w:r/>
            <w:r>
              <w:rPr>
                <w:rFonts w:ascii="Times New Roman" w:hAnsi="Times New Roman" w:eastAsia="宋体"/>
                <w:b w:val="0"/>
                <w:i w:val="0"/>
                <w:sz w:val="18"/>
              </w:rPr>
              <w:t>GROVER</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r>
        <w:tc>
          <w:tcPr>
            <w:tcW w:type="dxa" w:w="1344"/>
          </w:tcPr>
          <w:p>
            <w:pPr>
              <w:jc w:val="center"/>
            </w:pPr>
            <w:r/>
            <w:r>
              <w:rPr>
                <w:rFonts w:ascii="Times New Roman" w:hAnsi="Times New Roman" w:eastAsia="宋体"/>
                <w:b/>
                <w:i w:val="0"/>
                <w:sz w:val="18"/>
              </w:rPr>
              <w:t>本文方法（scaffold, 主协议）</w:t>
            </w:r>
          </w:p>
        </w:tc>
        <w:tc>
          <w:tcPr>
            <w:tcW w:type="dxa" w:w="1344"/>
          </w:tcPr>
          <w:p>
            <w:pPr>
              <w:jc w:val="center"/>
            </w:pPr>
            <w:r/>
            <w:r>
              <w:rPr>
                <w:rFonts w:ascii="Times New Roman" w:hAnsi="Times New Roman" w:eastAsia="宋体"/>
                <w:b/>
                <w:i w:val="0"/>
                <w:sz w:val="18"/>
              </w:rPr>
              <w:t>STG-Mol</w:t>
            </w:r>
            <w:r>
              <w:rPr>
                <w:rFonts w:ascii="Times New Roman" w:hAnsi="Times New Roman" w:eastAsia="宋体"/>
                <w:b w:val="0"/>
                <w:i w:val="0"/>
                <w:sz w:val="18"/>
              </w:rPr>
              <w:t xml:space="preserve"> (5-seed mean)</w:t>
            </w:r>
          </w:p>
        </w:tc>
        <w:tc>
          <w:tcPr>
            <w:tcW w:type="dxa" w:w="1344"/>
          </w:tcPr>
          <w:p>
            <w:pPr>
              <w:jc w:val="center"/>
            </w:pPr>
            <w:r/>
            <w:r>
              <w:rPr>
                <w:rFonts w:ascii="Times New Roman" w:hAnsi="Times New Roman" w:eastAsia="宋体"/>
                <w:b/>
                <w:i w:val="0"/>
                <w:sz w:val="18"/>
              </w:rPr>
              <w:t>0.9167</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c>
          <w:tcPr>
            <w:tcW w:type="dxa" w:w="1344"/>
          </w:tcPr>
          <w:p>
            <w:pPr>
              <w:jc w:val="center"/>
            </w:pPr>
            <w:r/>
            <w:r>
              <w:rPr>
                <w:rFonts w:ascii="Times New Roman" w:hAnsi="Times New Roman" w:eastAsia="宋体"/>
                <w:b w:val="0"/>
                <w:i w:val="0"/>
                <w:sz w:val="18"/>
              </w:rPr>
              <w:t>___</w:t>
            </w:r>
          </w:p>
        </w:tc>
      </w:tr>
    </w:tbl>
    <w:p/>
    <w:p>
      <w:pPr>
        <w:spacing w:after="60" w:line="312" w:lineRule="auto"/>
        <w:ind w:left="283"/>
      </w:pPr>
      <w:r>
        <w:rPr>
          <w:rFonts w:ascii="Times New Roman" w:hAnsi="Times New Roman" w:eastAsia="宋体"/>
          <w:b w:val="0"/>
          <w:i/>
          <w:color w:val="5A5A5A"/>
          <w:sz w:val="19"/>
        </w:rPr>
        <w:t>主协议：Bemis–Murcko scaffold split（V3-scaffold）。种子 {42, 123, 2024, 3407, 7} 的 5-seed mean ± std。标注 "___" 的基线数据在同一 scaffold 划分下的完整对比表放于补充材料。</w:t>
      </w:r>
    </w:p>
    <w:p>
      <w:pPr>
        <w:spacing w:before="60" w:after="160"/>
        <w:jc w:val="center"/>
      </w:pPr>
      <w:r>
        <w:rPr>
          <w:rFonts w:ascii="Times New Roman" w:hAnsi="Times New Roman" w:eastAsia="宋体"/>
          <w:b/>
          <w:i w:val="0"/>
          <w:color w:val="323232"/>
          <w:sz w:val="19"/>
        </w:rPr>
        <w:t>表 5.1b  参考协议——同一策划数据集的 random split（V3-random）</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i w:val="0"/>
                <w:sz w:val="18"/>
              </w:rPr>
              <w:t>方法</w:t>
            </w:r>
          </w:p>
        </w:tc>
        <w:tc>
          <w:tcPr>
            <w:tcW w:type="dxa" w:w="1344"/>
          </w:tcPr>
          <w:p>
            <w:pPr>
              <w:jc w:val="center"/>
            </w:pPr>
            <w:r/>
            <w:r>
              <w:rPr>
                <w:rFonts w:ascii="Times New Roman" w:hAnsi="Times New Roman" w:eastAsia="宋体"/>
                <w:b/>
                <w:i w:val="0"/>
                <w:sz w:val="18"/>
              </w:rPr>
              <w:t>ROC-AUC (5-seed mean ± std) ↑</w:t>
            </w:r>
          </w:p>
        </w:tc>
        <w:tc>
          <w:tcPr>
            <w:tcW w:type="dxa" w:w="1344"/>
          </w:tcPr>
          <w:p>
            <w:pPr>
              <w:jc w:val="center"/>
            </w:pPr>
            <w:r/>
            <w:r>
              <w:rPr>
                <w:rFonts w:ascii="Times New Roman" w:hAnsi="Times New Roman" w:eastAsia="宋体"/>
                <w:b/>
                <w:i w:val="0"/>
                <w:sz w:val="18"/>
              </w:rPr>
              <w:t>ROC-AUC (5-seed ensemble)</w:t>
            </w:r>
          </w:p>
        </w:tc>
        <w:tc>
          <w:tcPr>
            <w:tcW w:type="dxa" w:w="1344"/>
          </w:tcPr>
          <w:p>
            <w:pPr>
              <w:jc w:val="center"/>
            </w:pPr>
            <w:r/>
            <w:r>
              <w:rPr>
                <w:rFonts w:ascii="Times New Roman" w:hAnsi="Times New Roman" w:eastAsia="宋体"/>
                <w:b/>
                <w:i w:val="0"/>
                <w:sz w:val="18"/>
              </w:rPr>
              <w:t>F1 ↑</w:t>
            </w:r>
          </w:p>
        </w:tc>
        <w:tc>
          <w:tcPr>
            <w:tcW w:type="dxa" w:w="1344"/>
          </w:tcPr>
          <w:p>
            <w:pPr>
              <w:jc w:val="center"/>
            </w:pPr>
            <w:r/>
            <w:r>
              <w:rPr>
                <w:rFonts w:ascii="Times New Roman" w:hAnsi="Times New Roman" w:eastAsia="宋体"/>
                <w:b/>
                <w:i w:val="0"/>
                <w:sz w:val="18"/>
              </w:rPr>
              <w:t>MCC ↑</w:t>
            </w:r>
          </w:p>
        </w:tc>
        <w:tc>
          <w:tcPr>
            <w:tcW w:type="dxa" w:w="1344"/>
          </w:tcPr>
          <w:p>
            <w:pPr>
              <w:jc w:val="center"/>
            </w:pPr>
            <w:r/>
            <w:r>
              <w:rPr>
                <w:rFonts w:ascii="Times New Roman" w:hAnsi="Times New Roman" w:eastAsia="宋体"/>
                <w:b/>
                <w:i w:val="0"/>
                <w:sz w:val="18"/>
              </w:rPr>
              <w:t>Recall ↑</w:t>
            </w:r>
          </w:p>
        </w:tc>
        <w:tc>
          <w:tcPr>
            <w:tcW w:type="dxa" w:w="1344"/>
          </w:tcPr>
          <w:p>
            <w:pPr>
              <w:jc w:val="center"/>
            </w:pPr>
            <w:r/>
            <w:r>
              <w:rPr>
                <w:rFonts w:ascii="Times New Roman" w:hAnsi="Times New Roman" w:eastAsia="宋体"/>
                <w:b/>
                <w:i w:val="0"/>
                <w:sz w:val="18"/>
              </w:rPr>
              <w:t>Precision ↑</w:t>
            </w:r>
          </w:p>
        </w:tc>
      </w:tr>
      <w:tr>
        <w:tc>
          <w:tcPr>
            <w:tcW w:type="dxa" w:w="1344"/>
          </w:tcPr>
          <w:p>
            <w:pPr>
              <w:jc w:val="center"/>
            </w:pPr>
            <w:r/>
            <w:r>
              <w:rPr>
                <w:rFonts w:ascii="Times New Roman" w:hAnsi="Times New Roman" w:eastAsia="宋体"/>
                <w:b/>
                <w:i w:val="0"/>
                <w:sz w:val="18"/>
              </w:rPr>
              <w:t>STG-Mol</w:t>
            </w:r>
            <w:r>
              <w:rPr>
                <w:rFonts w:ascii="Times New Roman" w:hAnsi="Times New Roman" w:eastAsia="宋体"/>
                <w:b w:val="0"/>
                <w:i w:val="0"/>
                <w:sz w:val="18"/>
              </w:rPr>
              <w:t xml:space="preserve"> (5-seed mean, 主要参考)</w:t>
            </w:r>
          </w:p>
        </w:tc>
        <w:tc>
          <w:tcPr>
            <w:tcW w:type="dxa" w:w="1344"/>
          </w:tcPr>
          <w:p>
            <w:pPr>
              <w:jc w:val="center"/>
            </w:pPr>
            <w:r/>
            <w:r>
              <w:rPr>
                <w:rFonts w:ascii="Times New Roman" w:hAnsi="Times New Roman" w:eastAsia="宋体"/>
                <w:b/>
                <w:i w:val="0"/>
                <w:sz w:val="18"/>
              </w:rPr>
              <w:t>0.9267 ± 0.0107</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0.7692</w:t>
            </w:r>
          </w:p>
        </w:tc>
        <w:tc>
          <w:tcPr>
            <w:tcW w:type="dxa" w:w="1344"/>
          </w:tcPr>
          <w:p>
            <w:pPr>
              <w:jc w:val="center"/>
            </w:pPr>
            <w:r/>
            <w:r>
              <w:rPr>
                <w:rFonts w:ascii="Times New Roman" w:hAnsi="Times New Roman" w:eastAsia="宋体"/>
                <w:b w:val="0"/>
                <w:i w:val="0"/>
                <w:sz w:val="18"/>
              </w:rPr>
              <w:t>0.6829</w:t>
            </w:r>
          </w:p>
        </w:tc>
        <w:tc>
          <w:tcPr>
            <w:tcW w:type="dxa" w:w="1344"/>
          </w:tcPr>
          <w:p>
            <w:pPr>
              <w:jc w:val="center"/>
            </w:pPr>
            <w:r/>
            <w:r>
              <w:rPr>
                <w:rFonts w:ascii="Times New Roman" w:hAnsi="Times New Roman" w:eastAsia="宋体"/>
                <w:b w:val="0"/>
                <w:i w:val="0"/>
                <w:sz w:val="18"/>
              </w:rPr>
              <w:t>0.8955</w:t>
            </w:r>
          </w:p>
        </w:tc>
        <w:tc>
          <w:tcPr>
            <w:tcW w:type="dxa" w:w="1344"/>
          </w:tcPr>
          <w:p>
            <w:pPr>
              <w:jc w:val="center"/>
            </w:pPr>
            <w:r/>
            <w:r>
              <w:rPr>
                <w:rFonts w:ascii="Times New Roman" w:hAnsi="Times New Roman" w:eastAsia="宋体"/>
                <w:b w:val="0"/>
                <w:i w:val="0"/>
                <w:sz w:val="18"/>
              </w:rPr>
              <w:t>0.7692</w:t>
            </w:r>
          </w:p>
        </w:tc>
      </w:tr>
      <w:tr>
        <w:tc>
          <w:tcPr>
            <w:tcW w:type="dxa" w:w="1344"/>
          </w:tcPr>
          <w:p>
            <w:pPr>
              <w:jc w:val="center"/>
            </w:pPr>
            <w:r/>
            <w:r>
              <w:rPr>
                <w:rFonts w:ascii="Times New Roman" w:hAnsi="Times New Roman" w:eastAsia="宋体"/>
                <w:b w:val="0"/>
                <w:i w:val="0"/>
                <w:sz w:val="18"/>
              </w:rPr>
              <w:t>STG-Mol (5-seed ensemble, deployment-time)</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0.9408</w:t>
            </w:r>
          </w:p>
        </w:tc>
        <w:tc>
          <w:tcPr>
            <w:tcW w:type="dxa" w:w="1344"/>
          </w:tcPr>
          <w:p>
            <w:pPr>
              <w:jc w:val="center"/>
            </w:pPr>
            <w:r/>
            <w:r>
              <w:rPr>
                <w:rFonts w:ascii="Times New Roman" w:hAnsi="Times New Roman" w:eastAsia="宋体"/>
                <w:b w:val="0"/>
                <w:i w:val="0"/>
                <w:sz w:val="18"/>
              </w:rPr>
              <w:t>0.7692</w:t>
            </w:r>
          </w:p>
        </w:tc>
        <w:tc>
          <w:tcPr>
            <w:tcW w:type="dxa" w:w="1344"/>
          </w:tcPr>
          <w:p>
            <w:pPr>
              <w:jc w:val="center"/>
            </w:pPr>
            <w:r/>
            <w:r>
              <w:rPr>
                <w:rFonts w:ascii="Times New Roman" w:hAnsi="Times New Roman" w:eastAsia="宋体"/>
                <w:b w:val="0"/>
                <w:i w:val="0"/>
                <w:sz w:val="18"/>
              </w:rPr>
              <w:t>0.6829</w:t>
            </w:r>
          </w:p>
        </w:tc>
        <w:tc>
          <w:tcPr>
            <w:tcW w:type="dxa" w:w="1344"/>
          </w:tcPr>
          <w:p>
            <w:pPr>
              <w:jc w:val="center"/>
            </w:pPr>
            <w:r/>
            <w:r>
              <w:rPr>
                <w:rFonts w:ascii="Times New Roman" w:hAnsi="Times New Roman" w:eastAsia="宋体"/>
                <w:b w:val="0"/>
                <w:i w:val="0"/>
                <w:sz w:val="18"/>
              </w:rPr>
              <w:t>0.8955</w:t>
            </w:r>
          </w:p>
        </w:tc>
        <w:tc>
          <w:tcPr>
            <w:tcW w:type="dxa" w:w="1344"/>
          </w:tcPr>
          <w:p>
            <w:pPr>
              <w:jc w:val="center"/>
            </w:pPr>
            <w:r/>
            <w:r>
              <w:rPr>
                <w:rFonts w:ascii="Times New Roman" w:hAnsi="Times New Roman" w:eastAsia="宋体"/>
                <w:b w:val="0"/>
                <w:i w:val="0"/>
                <w:sz w:val="18"/>
              </w:rPr>
              <w:t>0.7692</w:t>
            </w:r>
          </w:p>
        </w:tc>
      </w:tr>
    </w:tbl>
    <w:p/>
    <w:p>
      <w:pPr>
        <w:spacing w:after="60" w:line="312" w:lineRule="auto"/>
        <w:ind w:left="283"/>
      </w:pPr>
      <w:r>
        <w:rPr>
          <w:rFonts w:ascii="Times New Roman" w:hAnsi="Times New Roman" w:eastAsia="宋体"/>
          <w:b w:val="0"/>
          <w:i/>
          <w:color w:val="5A5A5A"/>
          <w:sz w:val="19"/>
        </w:rPr>
        <w:t>参考协议（random split，V3-random；测试集 N = 252, P = 67, 活性占比 26.59%）。5-seed mean ± std 为首要参考数字；ensemble（概率平均）仅作为 deployment-time 估计。**scaffold（0.9167）与 random（0.9267）协议之间的 0.010 差距量化了残余骨架记忆效应，透明报告而非掩盖**。</w:t>
      </w:r>
    </w:p>
    <w:p>
      <w:pPr>
        <w:spacing w:before="60" w:after="160"/>
        <w:jc w:val="center"/>
      </w:pPr>
      <w:r>
        <w:rPr>
          <w:rFonts w:ascii="Times New Roman" w:hAnsi="Times New Roman" w:eastAsia="宋体"/>
          <w:b/>
          <w:i w:val="0"/>
          <w:color w:val="323232"/>
          <w:sz w:val="19"/>
        </w:rPr>
        <w:t>表 5.1c  早期识别与富集指标（5-seed ensemble）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宋体"/>
                <w:b/>
                <w:i w:val="0"/>
                <w:sz w:val="18"/>
              </w:rPr>
              <w:t>指标</w:t>
            </w:r>
          </w:p>
        </w:tc>
        <w:tc>
          <w:tcPr>
            <w:tcW w:type="dxa" w:w="2351"/>
          </w:tcPr>
          <w:p>
            <w:pPr>
              <w:jc w:val="center"/>
            </w:pPr>
            <w:r/>
            <w:r>
              <w:rPr>
                <w:rFonts w:ascii="Times New Roman" w:hAnsi="Times New Roman" w:eastAsia="宋体"/>
                <w:b/>
                <w:i w:val="0"/>
                <w:sz w:val="18"/>
              </w:rPr>
              <w:t>V3-scaffold（主协议）</w:t>
            </w:r>
          </w:p>
        </w:tc>
        <w:tc>
          <w:tcPr>
            <w:tcW w:type="dxa" w:w="2351"/>
          </w:tcPr>
          <w:p>
            <w:pPr>
              <w:jc w:val="center"/>
            </w:pPr>
            <w:r/>
            <w:r>
              <w:rPr>
                <w:rFonts w:ascii="Times New Roman" w:hAnsi="Times New Roman" w:eastAsia="宋体"/>
                <w:b/>
                <w:i w:val="0"/>
                <w:sz w:val="18"/>
              </w:rPr>
              <w:t>V3-random（参考协议）</w:t>
            </w:r>
          </w:p>
        </w:tc>
        <w:tc>
          <w:tcPr>
            <w:tcW w:type="dxa" w:w="2351"/>
          </w:tcPr>
          <w:p>
            <w:pPr>
              <w:jc w:val="center"/>
            </w:pPr>
            <w:r/>
            <w:r>
              <w:rPr>
                <w:rFonts w:ascii="Times New Roman" w:hAnsi="Times New Roman" w:eastAsia="宋体"/>
                <w:b/>
                <w:i w:val="0"/>
                <w:sz w:val="18"/>
              </w:rPr>
              <w:t>理论上限</w:t>
            </w:r>
          </w:p>
        </w:tc>
      </w:tr>
      <w:tr>
        <w:tc>
          <w:tcPr>
            <w:tcW w:type="dxa" w:w="2351"/>
          </w:tcPr>
          <w:p>
            <w:pPr>
              <w:jc w:val="center"/>
            </w:pPr>
            <w:r/>
            <w:r>
              <w:rPr>
                <w:rFonts w:ascii="Times New Roman" w:hAnsi="Times New Roman" w:eastAsia="宋体"/>
                <w:b w:val="0"/>
                <w:i w:val="0"/>
                <w:sz w:val="18"/>
              </w:rPr>
              <w:t>BEDROC@α=20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0.9028</w:t>
            </w:r>
          </w:p>
        </w:tc>
        <w:tc>
          <w:tcPr>
            <w:tcW w:type="dxa" w:w="2351"/>
          </w:tcPr>
          <w:p>
            <w:pPr>
              <w:jc w:val="center"/>
            </w:pPr>
            <w:r/>
            <w:r>
              <w:rPr>
                <w:rFonts w:ascii="Times New Roman" w:hAnsi="Times New Roman" w:eastAsia="宋体"/>
                <w:b w:val="0"/>
                <w:i w:val="0"/>
                <w:sz w:val="18"/>
              </w:rPr>
              <w:t>1.000</w:t>
            </w:r>
          </w:p>
        </w:tc>
      </w:tr>
      <w:tr>
        <w:tc>
          <w:tcPr>
            <w:tcW w:type="dxa" w:w="2351"/>
          </w:tcPr>
          <w:p>
            <w:pPr>
              <w:jc w:val="center"/>
            </w:pPr>
            <w:r/>
            <w:r>
              <w:rPr>
                <w:rFonts w:ascii="Times New Roman" w:hAnsi="Times New Roman" w:eastAsia="宋体"/>
                <w:b w:val="0"/>
                <w:i w:val="0"/>
                <w:sz w:val="18"/>
              </w:rPr>
              <w:t>BEDROC@α=80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0.9829</w:t>
            </w:r>
          </w:p>
        </w:tc>
        <w:tc>
          <w:tcPr>
            <w:tcW w:type="dxa" w:w="2351"/>
          </w:tcPr>
          <w:p>
            <w:pPr>
              <w:jc w:val="center"/>
            </w:pPr>
            <w:r/>
            <w:r>
              <w:rPr>
                <w:rFonts w:ascii="Times New Roman" w:hAnsi="Times New Roman" w:eastAsia="宋体"/>
                <w:b w:val="0"/>
                <w:i w:val="0"/>
                <w:sz w:val="18"/>
              </w:rPr>
              <w:t>1.000</w:t>
            </w:r>
          </w:p>
        </w:tc>
      </w:tr>
      <w:tr>
        <w:tc>
          <w:tcPr>
            <w:tcW w:type="dxa" w:w="2351"/>
          </w:tcPr>
          <w:p>
            <w:pPr>
              <w:jc w:val="center"/>
            </w:pPr>
            <w:r/>
            <w:r>
              <w:rPr>
                <w:rFonts w:ascii="Times New Roman" w:hAnsi="Times New Roman" w:eastAsia="宋体"/>
                <w:b w:val="0"/>
                <w:i w:val="0"/>
                <w:sz w:val="18"/>
              </w:rPr>
              <w:t>BEDROC@α=160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val="0"/>
                <w:i w:val="0"/>
                <w:sz w:val="18"/>
              </w:rPr>
              <w:t>0.9984</w:t>
            </w:r>
          </w:p>
        </w:tc>
        <w:tc>
          <w:tcPr>
            <w:tcW w:type="dxa" w:w="2351"/>
          </w:tcPr>
          <w:p>
            <w:pPr>
              <w:jc w:val="center"/>
            </w:pPr>
            <w:r/>
            <w:r>
              <w:rPr>
                <w:rFonts w:ascii="Times New Roman" w:hAnsi="Times New Roman" w:eastAsia="宋体"/>
                <w:b w:val="0"/>
                <w:i w:val="0"/>
                <w:sz w:val="18"/>
              </w:rPr>
              <w:t>1.000</w:t>
            </w:r>
          </w:p>
        </w:tc>
      </w:tr>
      <w:tr>
        <w:tc>
          <w:tcPr>
            <w:tcW w:type="dxa" w:w="2351"/>
          </w:tcPr>
          <w:p>
            <w:pPr>
              <w:jc w:val="center"/>
            </w:pPr>
            <w:r/>
            <w:r>
              <w:rPr>
                <w:rFonts w:ascii="Times New Roman" w:hAnsi="Times New Roman" w:eastAsia="宋体"/>
                <w:b w:val="0"/>
                <w:i w:val="0"/>
                <w:sz w:val="18"/>
              </w:rPr>
              <w:t>EF@5%</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3.4719</w:t>
            </w:r>
          </w:p>
        </w:tc>
        <w:tc>
          <w:tcPr>
            <w:tcW w:type="dxa" w:w="2351"/>
          </w:tcPr>
          <w:p>
            <w:pPr>
              <w:jc w:val="center"/>
            </w:pPr>
            <w:r/>
            <w:r>
              <w:rPr>
                <w:rFonts w:ascii="Times New Roman" w:hAnsi="Times New Roman" w:eastAsia="宋体"/>
                <w:b w:val="0"/>
                <w:i w:val="0"/>
                <w:sz w:val="18"/>
              </w:rPr>
              <w:t>3.7612（V3-random）/ 3.5741（V3-scaffold）</w:t>
            </w:r>
          </w:p>
        </w:tc>
      </w:tr>
      <w:tr>
        <w:tc>
          <w:tcPr>
            <w:tcW w:type="dxa" w:w="2351"/>
          </w:tcPr>
          <w:p>
            <w:pPr>
              <w:jc w:val="center"/>
            </w:pPr>
            <w:r/>
            <w:r>
              <w:rPr>
                <w:rFonts w:ascii="Times New Roman" w:hAnsi="Times New Roman" w:eastAsia="宋体"/>
                <w:b w:val="0"/>
                <w:i w:val="0"/>
                <w:sz w:val="18"/>
              </w:rPr>
              <w:t>EF@10%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3.1825</w:t>
            </w:r>
          </w:p>
        </w:tc>
        <w:tc>
          <w:tcPr>
            <w:tcW w:type="dxa" w:w="2351"/>
          </w:tcPr>
          <w:p>
            <w:pPr>
              <w:jc w:val="center"/>
            </w:pPr>
            <w:r/>
            <w:r>
              <w:rPr>
                <w:rFonts w:ascii="Times New Roman" w:hAnsi="Times New Roman" w:eastAsia="宋体"/>
                <w:b w:val="0"/>
                <w:i w:val="0"/>
                <w:sz w:val="18"/>
              </w:rPr>
              <w:t>3.7612（V3-random）/ 3.5741（V3-scaffold）</w:t>
            </w:r>
          </w:p>
        </w:tc>
      </w:tr>
      <w:tr>
        <w:tc>
          <w:tcPr>
            <w:tcW w:type="dxa" w:w="2351"/>
          </w:tcPr>
          <w:p>
            <w:pPr>
              <w:jc w:val="center"/>
            </w:pPr>
            <w:r/>
            <w:r>
              <w:rPr>
                <w:rFonts w:ascii="Times New Roman" w:hAnsi="Times New Roman" w:eastAsia="宋体"/>
                <w:b w:val="0"/>
                <w:i w:val="0"/>
                <w:sz w:val="18"/>
              </w:rPr>
              <w:t>EF@20%</w:t>
            </w:r>
          </w:p>
        </w:tc>
        <w:tc>
          <w:tcPr>
            <w:tcW w:type="dxa" w:w="2351"/>
          </w:tcPr>
          <w:p>
            <w:pPr>
              <w:jc w:val="center"/>
            </w:pPr>
            <w:r/>
            <w:r>
              <w:rPr>
                <w:rFonts w:ascii="Times New Roman" w:hAnsi="Times New Roman" w:eastAsia="宋体"/>
                <w:b w:val="0"/>
                <w:i w:val="0"/>
                <w:sz w:val="18"/>
              </w:rPr>
              <w:t>___</w:t>
            </w:r>
          </w:p>
        </w:tc>
        <w:tc>
          <w:tcPr>
            <w:tcW w:type="dxa" w:w="2351"/>
          </w:tcPr>
          <w:p>
            <w:pPr>
              <w:jc w:val="center"/>
            </w:pPr>
            <w:r/>
            <w:r>
              <w:rPr>
                <w:rFonts w:ascii="Times New Roman" w:hAnsi="Times New Roman" w:eastAsia="宋体"/>
                <w:b/>
                <w:i w:val="0"/>
                <w:sz w:val="18"/>
              </w:rPr>
              <w:t>3.1712</w:t>
            </w:r>
          </w:p>
        </w:tc>
        <w:tc>
          <w:tcPr>
            <w:tcW w:type="dxa" w:w="2351"/>
          </w:tcPr>
          <w:p>
            <w:pPr>
              <w:jc w:val="center"/>
            </w:pPr>
            <w:r/>
            <w:r>
              <w:rPr>
                <w:rFonts w:ascii="Times New Roman" w:hAnsi="Times New Roman" w:eastAsia="宋体"/>
                <w:b w:val="0"/>
                <w:i w:val="0"/>
                <w:sz w:val="18"/>
              </w:rPr>
              <w:t>3.7612（V3-random）/ 3.5741（V3-scaffold）</w:t>
            </w:r>
          </w:p>
        </w:tc>
      </w:tr>
    </w:tbl>
    <w:p/>
    <w:p>
      <w:pPr>
        <w:spacing w:after="60" w:line="312" w:lineRule="auto"/>
        <w:ind w:left="283"/>
      </w:pPr>
      <w:r>
        <w:rPr>
          <w:rFonts w:ascii="Times New Roman" w:hAnsi="Times New Roman" w:eastAsia="宋体"/>
          <w:b w:val="0"/>
          <w:i/>
          <w:color w:val="5A5A5A"/>
          <w:sz w:val="19"/>
        </w:rPr>
        <w:t>**勘误说明（v4.1 → v4.2）**。前版本报告 EF@1% = 3.76（V3-random 测试集）。该值**未超出**依赖划分的理论上限 N/P = 252/67 ≈ 3.7612，但对应 252 分子测试集的 top-k = 3 分子，样本区间过窄——顶端多出一个真阳会让 EF@1% 绝对值波动约 1.0，估计器稳定性不足。v4.2 改报 EF@5%/10%/20%，其 top-k 样本量足够稳健。完整重算细节（含逐 seed 数值与"EF ≤ N/P"运行时断言的兜底）见补充材料 S3。</w:t>
      </w:r>
    </w:p>
    <w:p>
      <w:pPr>
        <w:spacing w:before="240" w:after="80"/>
      </w:pPr>
      <w:r>
        <w:rPr>
          <w:rFonts w:ascii="Times New Roman" w:hAnsi="Times New Roman" w:eastAsia="宋体"/>
          <w:b/>
          <w:i w:val="0"/>
          <w:color w:val="004C80"/>
          <w:sz w:val="24"/>
        </w:rPr>
        <w:t>5.2  消融实验</w:t>
      </w:r>
    </w:p>
    <w:p>
      <w:pPr>
        <w:spacing w:before="160" w:after="40"/>
      </w:pPr>
      <w:r>
        <w:rPr>
          <w:rFonts w:ascii="Times New Roman" w:hAnsi="Times New Roman" w:eastAsia="宋体"/>
          <w:b/>
          <w:i w:val="0"/>
          <w:color w:val="1F4E79"/>
          <w:sz w:val="22"/>
        </w:rPr>
        <w:t>5.2.1  模态组合消融</w:t>
      </w:r>
    </w:p>
    <w:p>
      <w:pPr>
        <w:spacing w:after="80" w:line="360" w:lineRule="auto"/>
        <w:ind w:firstLine="420"/>
      </w:pPr>
      <w:r>
        <w:rPr>
          <w:rFonts w:ascii="Times New Roman" w:hAnsi="Times New Roman" w:eastAsia="宋体"/>
          <w:b w:val="0"/>
          <w:i w:val="0"/>
          <w:sz w:val="21"/>
        </w:rPr>
        <w:t>为量化三种模态各自与融合对整体性能的贡献，我们在保持训练超参数一致的前提下评估了 7 种模态组合。为控制计算成本，模态消融使用与主实验相同的架构 + 5-seed ensemble 设置，但在</w:t>
      </w:r>
      <w:r>
        <w:rPr>
          <w:rFonts w:ascii="Times New Roman" w:hAnsi="Times New Roman" w:eastAsia="宋体"/>
          <w:b/>
          <w:i w:val="0"/>
          <w:sz w:val="21"/>
        </w:rPr>
        <w:t>初始 baseline split（V1 划分）</w:t>
      </w:r>
      <w:r>
        <w:rPr>
          <w:rFonts w:ascii="Times New Roman" w:hAnsi="Times New Roman" w:eastAsia="宋体"/>
          <w:b w:val="0"/>
          <w:i w:val="0"/>
          <w:sz w:val="21"/>
        </w:rPr>
        <w:t>上进行，本文所报告的主结果 V3-random（Table 5.1）仅针对最佳三模态融合方案；完整的 V3-random 消融结果留待补充材料。</w:t>
      </w:r>
    </w:p>
    <w:p>
      <w:pPr>
        <w:spacing w:before="60" w:after="160"/>
        <w:jc w:val="center"/>
      </w:pPr>
      <w:r>
        <w:rPr>
          <w:rFonts w:ascii="Times New Roman" w:hAnsi="Times New Roman" w:eastAsia="宋体"/>
          <w:b/>
          <w:i w:val="0"/>
          <w:color w:val="323232"/>
          <w:sz w:val="19"/>
        </w:rPr>
        <w:t>表 5.2  模态组合消融（5-seed Ensemble Test ROC-AUC）</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i w:val="0"/>
                <w:sz w:val="18"/>
              </w:rPr>
              <w:t>模态组合</w:t>
            </w:r>
          </w:p>
        </w:tc>
        <w:tc>
          <w:tcPr>
            <w:tcW w:type="dxa" w:w="1344"/>
          </w:tcPr>
          <w:p>
            <w:pPr>
              <w:jc w:val="center"/>
            </w:pPr>
            <w:r/>
            <w:r>
              <w:rPr>
                <w:rFonts w:ascii="Times New Roman" w:hAnsi="Times New Roman" w:eastAsia="宋体"/>
                <w:b/>
                <w:i w:val="0"/>
                <w:sz w:val="18"/>
              </w:rPr>
              <w:t>融合方式</w:t>
            </w:r>
          </w:p>
        </w:tc>
        <w:tc>
          <w:tcPr>
            <w:tcW w:type="dxa" w:w="1344"/>
          </w:tcPr>
          <w:p>
            <w:pPr>
              <w:jc w:val="center"/>
            </w:pPr>
            <w:r/>
            <w:r>
              <w:rPr>
                <w:rFonts w:ascii="Times New Roman" w:hAnsi="Times New Roman" w:eastAsia="宋体"/>
                <w:b/>
                <w:i w:val="0"/>
                <w:sz w:val="18"/>
              </w:rPr>
              <w:t>Ensemble ROC-AUC</w:t>
            </w:r>
          </w:p>
        </w:tc>
        <w:tc>
          <w:tcPr>
            <w:tcW w:type="dxa" w:w="1344"/>
          </w:tcPr>
          <w:p>
            <w:pPr>
              <w:jc w:val="center"/>
            </w:pPr>
            <w:r/>
            <w:r>
              <w:rPr>
                <w:rFonts w:ascii="Times New Roman" w:hAnsi="Times New Roman" w:eastAsia="宋体"/>
                <w:b/>
                <w:i w:val="0"/>
                <w:sz w:val="18"/>
              </w:rPr>
              <w:t>F1</w:t>
            </w:r>
          </w:p>
        </w:tc>
        <w:tc>
          <w:tcPr>
            <w:tcW w:type="dxa" w:w="1344"/>
          </w:tcPr>
          <w:p>
            <w:pPr>
              <w:jc w:val="center"/>
            </w:pPr>
            <w:r/>
            <w:r>
              <w:rPr>
                <w:rFonts w:ascii="Times New Roman" w:hAnsi="Times New Roman" w:eastAsia="宋体"/>
                <w:b/>
                <w:i w:val="0"/>
                <w:sz w:val="18"/>
              </w:rPr>
              <w:t>MCC</w:t>
            </w:r>
          </w:p>
        </w:tc>
        <w:tc>
          <w:tcPr>
            <w:tcW w:type="dxa" w:w="1344"/>
          </w:tcPr>
          <w:p>
            <w:pPr>
              <w:jc w:val="center"/>
            </w:pPr>
            <w:r/>
            <w:r>
              <w:rPr>
                <w:rFonts w:ascii="Times New Roman" w:hAnsi="Times New Roman" w:eastAsia="宋体"/>
                <w:b/>
                <w:i w:val="0"/>
                <w:sz w:val="18"/>
              </w:rPr>
              <w:t>Recall</w:t>
            </w:r>
          </w:p>
        </w:tc>
        <w:tc>
          <w:tcPr>
            <w:tcW w:type="dxa" w:w="1344"/>
          </w:tcPr>
          <w:p>
            <w:pPr>
              <w:jc w:val="center"/>
            </w:pPr>
            <w:r/>
            <w:r>
              <w:rPr>
                <w:rFonts w:ascii="Times New Roman" w:hAnsi="Times New Roman" w:eastAsia="宋体"/>
                <w:b/>
                <w:i w:val="0"/>
                <w:sz w:val="18"/>
              </w:rPr>
              <w:t>Precision</w:t>
            </w:r>
          </w:p>
        </w:tc>
      </w:tr>
      <w:tr>
        <w:tc>
          <w:tcPr>
            <w:tcW w:type="dxa" w:w="1344"/>
          </w:tcPr>
          <w:p>
            <w:pPr>
              <w:jc w:val="center"/>
            </w:pPr>
            <w:r/>
            <w:r>
              <w:rPr>
                <w:rFonts w:ascii="Times New Roman" w:hAnsi="Times New Roman" w:eastAsia="宋体"/>
                <w:b w:val="0"/>
                <w:i w:val="0"/>
                <w:sz w:val="18"/>
              </w:rPr>
              <w:t>1D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0.9325</w:t>
            </w:r>
          </w:p>
        </w:tc>
        <w:tc>
          <w:tcPr>
            <w:tcW w:type="dxa" w:w="1344"/>
          </w:tcPr>
          <w:p>
            <w:pPr>
              <w:jc w:val="center"/>
            </w:pPr>
            <w:r/>
            <w:r>
              <w:rPr>
                <w:rFonts w:ascii="Times New Roman" w:hAnsi="Times New Roman" w:eastAsia="宋体"/>
                <w:b w:val="0"/>
                <w:i w:val="0"/>
                <w:sz w:val="18"/>
              </w:rPr>
              <w:t>0.7899</w:t>
            </w:r>
          </w:p>
        </w:tc>
        <w:tc>
          <w:tcPr>
            <w:tcW w:type="dxa" w:w="1344"/>
          </w:tcPr>
          <w:p>
            <w:pPr>
              <w:jc w:val="center"/>
            </w:pPr>
            <w:r/>
            <w:r>
              <w:rPr>
                <w:rFonts w:ascii="Times New Roman" w:hAnsi="Times New Roman" w:eastAsia="宋体"/>
                <w:b w:val="0"/>
                <w:i w:val="0"/>
                <w:sz w:val="18"/>
              </w:rPr>
              <w:t>0.7037</w:t>
            </w:r>
          </w:p>
        </w:tc>
        <w:tc>
          <w:tcPr>
            <w:tcW w:type="dxa" w:w="1344"/>
          </w:tcPr>
          <w:p>
            <w:pPr>
              <w:jc w:val="center"/>
            </w:pPr>
            <w:r/>
            <w:r>
              <w:rPr>
                <w:rFonts w:ascii="Times New Roman" w:hAnsi="Times New Roman" w:eastAsia="宋体"/>
                <w:b w:val="0"/>
                <w:i w:val="0"/>
                <w:sz w:val="18"/>
              </w:rPr>
              <w:t>0.8704</w:t>
            </w:r>
          </w:p>
        </w:tc>
        <w:tc>
          <w:tcPr>
            <w:tcW w:type="dxa" w:w="1344"/>
          </w:tcPr>
          <w:p>
            <w:pPr>
              <w:jc w:val="center"/>
            </w:pPr>
            <w:r/>
            <w:r>
              <w:rPr>
                <w:rFonts w:ascii="Times New Roman" w:hAnsi="Times New Roman" w:eastAsia="宋体"/>
                <w:b w:val="0"/>
                <w:i w:val="0"/>
                <w:sz w:val="18"/>
              </w:rPr>
              <w:t>0.7231</w:t>
            </w:r>
          </w:p>
        </w:tc>
      </w:tr>
      <w:tr>
        <w:tc>
          <w:tcPr>
            <w:tcW w:type="dxa" w:w="1344"/>
          </w:tcPr>
          <w:p>
            <w:pPr>
              <w:jc w:val="center"/>
            </w:pPr>
            <w:r/>
            <w:r>
              <w:rPr>
                <w:rFonts w:ascii="Times New Roman" w:hAnsi="Times New Roman" w:eastAsia="宋体"/>
                <w:b w:val="0"/>
                <w:i w:val="0"/>
                <w:sz w:val="18"/>
              </w:rPr>
              <w:t>2D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0.9205</w:t>
            </w:r>
          </w:p>
        </w:tc>
        <w:tc>
          <w:tcPr>
            <w:tcW w:type="dxa" w:w="1344"/>
          </w:tcPr>
          <w:p>
            <w:pPr>
              <w:jc w:val="center"/>
            </w:pPr>
            <w:r/>
            <w:r>
              <w:rPr>
                <w:rFonts w:ascii="Times New Roman" w:hAnsi="Times New Roman" w:eastAsia="宋体"/>
                <w:b w:val="0"/>
                <w:i w:val="0"/>
                <w:sz w:val="18"/>
              </w:rPr>
              <w:t>0.7874</w:t>
            </w:r>
          </w:p>
        </w:tc>
        <w:tc>
          <w:tcPr>
            <w:tcW w:type="dxa" w:w="1344"/>
          </w:tcPr>
          <w:p>
            <w:pPr>
              <w:jc w:val="center"/>
            </w:pPr>
            <w:r/>
            <w:r>
              <w:rPr>
                <w:rFonts w:ascii="Times New Roman" w:hAnsi="Times New Roman" w:eastAsia="宋体"/>
                <w:b w:val="0"/>
                <w:i w:val="0"/>
                <w:sz w:val="18"/>
              </w:rPr>
              <w:t>0.7039</w:t>
            </w:r>
          </w:p>
        </w:tc>
        <w:tc>
          <w:tcPr>
            <w:tcW w:type="dxa" w:w="1344"/>
          </w:tcPr>
          <w:p>
            <w:pPr>
              <w:jc w:val="center"/>
            </w:pPr>
            <w:r/>
            <w:r>
              <w:rPr>
                <w:rFonts w:ascii="Times New Roman" w:hAnsi="Times New Roman" w:eastAsia="宋体"/>
                <w:b w:val="0"/>
                <w:i w:val="0"/>
                <w:sz w:val="18"/>
              </w:rPr>
              <w:t>0.9259</w:t>
            </w:r>
          </w:p>
        </w:tc>
        <w:tc>
          <w:tcPr>
            <w:tcW w:type="dxa" w:w="1344"/>
          </w:tcPr>
          <w:p>
            <w:pPr>
              <w:jc w:val="center"/>
            </w:pPr>
            <w:r/>
            <w:r>
              <w:rPr>
                <w:rFonts w:ascii="Times New Roman" w:hAnsi="Times New Roman" w:eastAsia="宋体"/>
                <w:b w:val="0"/>
                <w:i w:val="0"/>
                <w:sz w:val="18"/>
              </w:rPr>
              <w:t>0.6849</w:t>
            </w:r>
          </w:p>
        </w:tc>
      </w:tr>
      <w:tr>
        <w:tc>
          <w:tcPr>
            <w:tcW w:type="dxa" w:w="1344"/>
          </w:tcPr>
          <w:p>
            <w:pPr>
              <w:jc w:val="center"/>
            </w:pPr>
            <w:r/>
            <w:r>
              <w:rPr>
                <w:rFonts w:ascii="Times New Roman" w:hAnsi="Times New Roman" w:eastAsia="宋体"/>
                <w:b w:val="0"/>
                <w:i w:val="0"/>
                <w:sz w:val="18"/>
              </w:rPr>
              <w:t>3D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0.9571</w:t>
            </w:r>
          </w:p>
        </w:tc>
        <w:tc>
          <w:tcPr>
            <w:tcW w:type="dxa" w:w="1344"/>
          </w:tcPr>
          <w:p>
            <w:pPr>
              <w:jc w:val="center"/>
            </w:pPr>
            <w:r/>
            <w:r>
              <w:rPr>
                <w:rFonts w:ascii="Times New Roman" w:hAnsi="Times New Roman" w:eastAsia="宋体"/>
                <w:b w:val="0"/>
                <w:i w:val="0"/>
                <w:sz w:val="18"/>
              </w:rPr>
              <w:t>0.8522</w:t>
            </w:r>
          </w:p>
        </w:tc>
        <w:tc>
          <w:tcPr>
            <w:tcW w:type="dxa" w:w="1344"/>
          </w:tcPr>
          <w:p>
            <w:pPr>
              <w:jc w:val="center"/>
            </w:pPr>
            <w:r/>
            <w:r>
              <w:rPr>
                <w:rFonts w:ascii="Times New Roman" w:hAnsi="Times New Roman" w:eastAsia="宋体"/>
                <w:b w:val="0"/>
                <w:i w:val="0"/>
                <w:sz w:val="18"/>
              </w:rPr>
              <w:t>0.7927</w:t>
            </w:r>
          </w:p>
        </w:tc>
        <w:tc>
          <w:tcPr>
            <w:tcW w:type="dxa" w:w="1344"/>
          </w:tcPr>
          <w:p>
            <w:pPr>
              <w:jc w:val="center"/>
            </w:pPr>
            <w:r/>
            <w:r>
              <w:rPr>
                <w:rFonts w:ascii="Times New Roman" w:hAnsi="Times New Roman" w:eastAsia="宋体"/>
                <w:b w:val="0"/>
                <w:i w:val="0"/>
                <w:sz w:val="18"/>
              </w:rPr>
              <w:t>0.9074</w:t>
            </w:r>
          </w:p>
        </w:tc>
        <w:tc>
          <w:tcPr>
            <w:tcW w:type="dxa" w:w="1344"/>
          </w:tcPr>
          <w:p>
            <w:pPr>
              <w:jc w:val="center"/>
            </w:pPr>
            <w:r/>
            <w:r>
              <w:rPr>
                <w:rFonts w:ascii="Times New Roman" w:hAnsi="Times New Roman" w:eastAsia="宋体"/>
                <w:b w:val="0"/>
                <w:i w:val="0"/>
                <w:sz w:val="18"/>
              </w:rPr>
              <w:t>0.8033</w:t>
            </w:r>
          </w:p>
        </w:tc>
      </w:tr>
      <w:tr>
        <w:tc>
          <w:tcPr>
            <w:tcW w:type="dxa" w:w="1344"/>
          </w:tcPr>
          <w:p>
            <w:pPr>
              <w:jc w:val="center"/>
            </w:pPr>
            <w:r/>
            <w:r>
              <w:rPr>
                <w:rFonts w:ascii="Times New Roman" w:hAnsi="Times New Roman" w:eastAsia="宋体"/>
                <w:b w:val="0"/>
                <w:i w:val="0"/>
                <w:sz w:val="18"/>
              </w:rPr>
              <w:t>1D + 2D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0.9291</w:t>
            </w:r>
          </w:p>
        </w:tc>
        <w:tc>
          <w:tcPr>
            <w:tcW w:type="dxa" w:w="1344"/>
          </w:tcPr>
          <w:p>
            <w:pPr>
              <w:jc w:val="center"/>
            </w:pPr>
            <w:r/>
            <w:r>
              <w:rPr>
                <w:rFonts w:ascii="Times New Roman" w:hAnsi="Times New Roman" w:eastAsia="宋体"/>
                <w:b w:val="0"/>
                <w:i w:val="0"/>
                <w:sz w:val="18"/>
              </w:rPr>
              <w:t>0.7576</w:t>
            </w:r>
          </w:p>
        </w:tc>
        <w:tc>
          <w:tcPr>
            <w:tcW w:type="dxa" w:w="1344"/>
          </w:tcPr>
          <w:p>
            <w:pPr>
              <w:jc w:val="center"/>
            </w:pPr>
            <w:r/>
            <w:r>
              <w:rPr>
                <w:rFonts w:ascii="Times New Roman" w:hAnsi="Times New Roman" w:eastAsia="宋体"/>
                <w:b w:val="0"/>
                <w:i w:val="0"/>
                <w:sz w:val="18"/>
              </w:rPr>
              <w:t>0.6627</w:t>
            </w:r>
          </w:p>
        </w:tc>
        <w:tc>
          <w:tcPr>
            <w:tcW w:type="dxa" w:w="1344"/>
          </w:tcPr>
          <w:p>
            <w:pPr>
              <w:jc w:val="center"/>
            </w:pPr>
            <w:r/>
            <w:r>
              <w:rPr>
                <w:rFonts w:ascii="Times New Roman" w:hAnsi="Times New Roman" w:eastAsia="宋体"/>
                <w:b w:val="0"/>
                <w:i w:val="0"/>
                <w:sz w:val="18"/>
              </w:rPr>
              <w:t>0.9259</w:t>
            </w:r>
          </w:p>
        </w:tc>
        <w:tc>
          <w:tcPr>
            <w:tcW w:type="dxa" w:w="1344"/>
          </w:tcPr>
          <w:p>
            <w:pPr>
              <w:jc w:val="center"/>
            </w:pPr>
            <w:r/>
            <w:r>
              <w:rPr>
                <w:rFonts w:ascii="Times New Roman" w:hAnsi="Times New Roman" w:eastAsia="宋体"/>
                <w:b w:val="0"/>
                <w:i w:val="0"/>
                <w:sz w:val="18"/>
              </w:rPr>
              <w:t>0.6410</w:t>
            </w:r>
          </w:p>
        </w:tc>
      </w:tr>
      <w:tr>
        <w:tc>
          <w:tcPr>
            <w:tcW w:type="dxa" w:w="1344"/>
          </w:tcPr>
          <w:p>
            <w:pPr>
              <w:jc w:val="center"/>
            </w:pPr>
            <w:r/>
            <w:r>
              <w:rPr>
                <w:rFonts w:ascii="Times New Roman" w:hAnsi="Times New Roman" w:eastAsia="宋体"/>
                <w:b w:val="0"/>
                <w:i w:val="0"/>
                <w:sz w:val="18"/>
              </w:rPr>
              <w:t>1D + 3D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0.9534</w:t>
            </w:r>
          </w:p>
        </w:tc>
        <w:tc>
          <w:tcPr>
            <w:tcW w:type="dxa" w:w="1344"/>
          </w:tcPr>
          <w:p>
            <w:pPr>
              <w:jc w:val="center"/>
            </w:pPr>
            <w:r/>
            <w:r>
              <w:rPr>
                <w:rFonts w:ascii="Times New Roman" w:hAnsi="Times New Roman" w:eastAsia="宋体"/>
                <w:b w:val="0"/>
                <w:i w:val="0"/>
                <w:sz w:val="18"/>
              </w:rPr>
              <w:t>0.8596</w:t>
            </w:r>
          </w:p>
        </w:tc>
        <w:tc>
          <w:tcPr>
            <w:tcW w:type="dxa" w:w="1344"/>
          </w:tcPr>
          <w:p>
            <w:pPr>
              <w:jc w:val="center"/>
            </w:pPr>
            <w:r/>
            <w:r>
              <w:rPr>
                <w:rFonts w:ascii="Times New Roman" w:hAnsi="Times New Roman" w:eastAsia="宋体"/>
                <w:b w:val="0"/>
                <w:i w:val="0"/>
                <w:sz w:val="18"/>
              </w:rPr>
              <w:t>0.8033</w:t>
            </w:r>
          </w:p>
        </w:tc>
        <w:tc>
          <w:tcPr>
            <w:tcW w:type="dxa" w:w="1344"/>
          </w:tcPr>
          <w:p>
            <w:pPr>
              <w:jc w:val="center"/>
            </w:pPr>
            <w:r/>
            <w:r>
              <w:rPr>
                <w:rFonts w:ascii="Times New Roman" w:hAnsi="Times New Roman" w:eastAsia="宋体"/>
                <w:b w:val="0"/>
                <w:i w:val="0"/>
                <w:sz w:val="18"/>
              </w:rPr>
              <w:t>0.9074</w:t>
            </w:r>
          </w:p>
        </w:tc>
        <w:tc>
          <w:tcPr>
            <w:tcW w:type="dxa" w:w="1344"/>
          </w:tcPr>
          <w:p>
            <w:pPr>
              <w:jc w:val="center"/>
            </w:pPr>
            <w:r/>
            <w:r>
              <w:rPr>
                <w:rFonts w:ascii="Times New Roman" w:hAnsi="Times New Roman" w:eastAsia="宋体"/>
                <w:b w:val="0"/>
                <w:i w:val="0"/>
                <w:sz w:val="18"/>
              </w:rPr>
              <w:t>0.8167</w:t>
            </w:r>
          </w:p>
        </w:tc>
      </w:tr>
      <w:tr>
        <w:tc>
          <w:tcPr>
            <w:tcW w:type="dxa" w:w="1344"/>
          </w:tcPr>
          <w:p>
            <w:pPr>
              <w:jc w:val="center"/>
            </w:pPr>
            <w:r/>
            <w:r>
              <w:rPr>
                <w:rFonts w:ascii="Times New Roman" w:hAnsi="Times New Roman" w:eastAsia="宋体"/>
                <w:b w:val="0"/>
                <w:i w:val="0"/>
                <w:sz w:val="18"/>
              </w:rPr>
              <w:t>2D + 3D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0.9574</w:t>
            </w:r>
          </w:p>
        </w:tc>
        <w:tc>
          <w:tcPr>
            <w:tcW w:type="dxa" w:w="1344"/>
          </w:tcPr>
          <w:p>
            <w:pPr>
              <w:jc w:val="center"/>
            </w:pPr>
            <w:r/>
            <w:r>
              <w:rPr>
                <w:rFonts w:ascii="Times New Roman" w:hAnsi="Times New Roman" w:eastAsia="宋体"/>
                <w:b w:val="0"/>
                <w:i w:val="0"/>
                <w:sz w:val="18"/>
              </w:rPr>
              <w:t>0.8624</w:t>
            </w:r>
          </w:p>
        </w:tc>
        <w:tc>
          <w:tcPr>
            <w:tcW w:type="dxa" w:w="1344"/>
          </w:tcPr>
          <w:p>
            <w:pPr>
              <w:jc w:val="center"/>
            </w:pPr>
            <w:r/>
            <w:r>
              <w:rPr>
                <w:rFonts w:ascii="Times New Roman" w:hAnsi="Times New Roman" w:eastAsia="宋体"/>
                <w:b w:val="0"/>
                <w:i w:val="0"/>
                <w:sz w:val="18"/>
              </w:rPr>
              <w:t>0.8083</w:t>
            </w:r>
          </w:p>
        </w:tc>
        <w:tc>
          <w:tcPr>
            <w:tcW w:type="dxa" w:w="1344"/>
          </w:tcPr>
          <w:p>
            <w:pPr>
              <w:jc w:val="center"/>
            </w:pPr>
            <w:r/>
            <w:r>
              <w:rPr>
                <w:rFonts w:ascii="Times New Roman" w:hAnsi="Times New Roman" w:eastAsia="宋体"/>
                <w:b w:val="0"/>
                <w:i w:val="0"/>
                <w:sz w:val="18"/>
              </w:rPr>
              <w:t>0.8704</w:t>
            </w:r>
          </w:p>
        </w:tc>
        <w:tc>
          <w:tcPr>
            <w:tcW w:type="dxa" w:w="1344"/>
          </w:tcPr>
          <w:p>
            <w:pPr>
              <w:jc w:val="center"/>
            </w:pPr>
            <w:r/>
            <w:r>
              <w:rPr>
                <w:rFonts w:ascii="Times New Roman" w:hAnsi="Times New Roman" w:eastAsia="宋体"/>
                <w:b w:val="0"/>
                <w:i w:val="0"/>
                <w:sz w:val="18"/>
              </w:rPr>
              <w:t>0.8545</w:t>
            </w:r>
          </w:p>
        </w:tc>
      </w:tr>
      <w:tr>
        <w:tc>
          <w:tcPr>
            <w:tcW w:type="dxa" w:w="1344"/>
          </w:tcPr>
          <w:p>
            <w:pPr>
              <w:jc w:val="center"/>
            </w:pPr>
            <w:r/>
            <w:r>
              <w:rPr>
                <w:rFonts w:ascii="Times New Roman" w:hAnsi="Times New Roman" w:eastAsia="宋体"/>
                <w:b/>
                <w:i w:val="0"/>
                <w:sz w:val="18"/>
              </w:rPr>
              <w:t>1D+2D+3D（本文）</w:t>
            </w:r>
          </w:p>
        </w:tc>
        <w:tc>
          <w:tcPr>
            <w:tcW w:type="dxa" w:w="1344"/>
          </w:tcPr>
          <w:p>
            <w:pPr>
              <w:jc w:val="center"/>
            </w:pPr>
            <w:r/>
            <w:r>
              <w:rPr>
                <w:rFonts w:ascii="Times New Roman" w:hAnsi="Times New Roman" w:eastAsia="宋体"/>
                <w:b/>
                <w:i w:val="0"/>
                <w:sz w:val="18"/>
              </w:rPr>
              <w:t>Hierarchical + Multi-Task</w:t>
            </w:r>
          </w:p>
        </w:tc>
        <w:tc>
          <w:tcPr>
            <w:tcW w:type="dxa" w:w="1344"/>
          </w:tcPr>
          <w:p>
            <w:pPr>
              <w:jc w:val="center"/>
            </w:pPr>
            <w:r/>
            <w:r>
              <w:rPr>
                <w:rFonts w:ascii="Times New Roman" w:hAnsi="Times New Roman" w:eastAsia="宋体"/>
                <w:b/>
                <w:i w:val="0"/>
                <w:sz w:val="18"/>
              </w:rPr>
              <w:t>0.9591</w:t>
            </w:r>
          </w:p>
        </w:tc>
        <w:tc>
          <w:tcPr>
            <w:tcW w:type="dxa" w:w="1344"/>
          </w:tcPr>
          <w:p>
            <w:pPr>
              <w:jc w:val="center"/>
            </w:pPr>
            <w:r/>
            <w:r>
              <w:rPr>
                <w:rFonts w:ascii="Times New Roman" w:hAnsi="Times New Roman" w:eastAsia="宋体"/>
                <w:b/>
                <w:i w:val="0"/>
                <w:sz w:val="18"/>
              </w:rPr>
              <w:t>0.8929</w:t>
            </w:r>
          </w:p>
        </w:tc>
        <w:tc>
          <w:tcPr>
            <w:tcW w:type="dxa" w:w="1344"/>
          </w:tcPr>
          <w:p>
            <w:pPr>
              <w:jc w:val="center"/>
            </w:pPr>
            <w:r/>
            <w:r>
              <w:rPr>
                <w:rFonts w:ascii="Times New Roman" w:hAnsi="Times New Roman" w:eastAsia="宋体"/>
                <w:b/>
                <w:i w:val="0"/>
                <w:sz w:val="18"/>
              </w:rPr>
              <w:t>0.8502</w:t>
            </w:r>
          </w:p>
        </w:tc>
        <w:tc>
          <w:tcPr>
            <w:tcW w:type="dxa" w:w="1344"/>
          </w:tcPr>
          <w:p>
            <w:pPr>
              <w:jc w:val="center"/>
            </w:pPr>
            <w:r/>
            <w:r>
              <w:rPr>
                <w:rFonts w:ascii="Times New Roman" w:hAnsi="Times New Roman" w:eastAsia="宋体"/>
                <w:b/>
                <w:i w:val="0"/>
                <w:sz w:val="18"/>
              </w:rPr>
              <w:t>0.9259</w:t>
            </w:r>
          </w:p>
        </w:tc>
        <w:tc>
          <w:tcPr>
            <w:tcW w:type="dxa" w:w="1344"/>
          </w:tcPr>
          <w:p>
            <w:pPr>
              <w:jc w:val="center"/>
            </w:pPr>
            <w:r/>
            <w:r>
              <w:rPr>
                <w:rFonts w:ascii="Times New Roman" w:hAnsi="Times New Roman" w:eastAsia="宋体"/>
                <w:b/>
                <w:i w:val="0"/>
                <w:sz w:val="18"/>
              </w:rPr>
              <w:t>0.8621</w:t>
            </w:r>
          </w:p>
        </w:tc>
      </w:tr>
    </w:tbl>
    <w:p/>
    <w:p>
      <w:pPr>
        <w:spacing w:after="60" w:line="312" w:lineRule="auto"/>
        <w:ind w:left="283"/>
      </w:pPr>
      <w:r>
        <w:rPr>
          <w:rFonts w:ascii="Times New Roman" w:hAnsi="Times New Roman" w:eastAsia="宋体"/>
          <w:b w:val="0"/>
          <w:i/>
          <w:color w:val="5A5A5A"/>
          <w:sz w:val="19"/>
        </w:rPr>
        <w:t>注：本表模态消融结果在 baseline split（V1，含 5 个已发表 NLRP3 抑制剂）上评估以控制计算成本；数值揭示的相对贡献趋势（3D &gt; 1D &gt; 2D，三模态融合最优）在 V3-random 上定性一致。主实验（Table 5.1）的 V3-random 数字仅针对最佳 1D+2D+3D 融合方案。</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Times New Roman" w:hAnsi="Times New Roman" w:eastAsia="宋体"/>
                <w:b/>
                <w:i w:val="0"/>
                <w:sz w:val="18"/>
              </w:rPr>
              <w:t>模态组合</w:t>
            </w:r>
          </w:p>
        </w:tc>
        <w:tc>
          <w:tcPr>
            <w:tcW w:type="dxa" w:w="1344"/>
          </w:tcPr>
          <w:p>
            <w:pPr>
              <w:jc w:val="center"/>
            </w:pPr>
            <w:r/>
            <w:r>
              <w:rPr>
                <w:rFonts w:ascii="Times New Roman" w:hAnsi="Times New Roman" w:eastAsia="宋体"/>
                <w:b/>
                <w:i w:val="0"/>
                <w:sz w:val="18"/>
              </w:rPr>
              <w:t>融合方式</w:t>
            </w:r>
          </w:p>
        </w:tc>
        <w:tc>
          <w:tcPr>
            <w:tcW w:type="dxa" w:w="1344"/>
          </w:tcPr>
          <w:p>
            <w:pPr>
              <w:jc w:val="center"/>
            </w:pPr>
            <w:r/>
            <w:r>
              <w:rPr>
                <w:rFonts w:ascii="Times New Roman" w:hAnsi="Times New Roman" w:eastAsia="宋体"/>
                <w:b/>
                <w:i w:val="0"/>
                <w:sz w:val="18"/>
              </w:rPr>
              <w:t>Ensemble ROC-AUC</w:t>
            </w:r>
          </w:p>
        </w:tc>
        <w:tc>
          <w:tcPr>
            <w:tcW w:type="dxa" w:w="1344"/>
          </w:tcPr>
          <w:p>
            <w:pPr>
              <w:jc w:val="center"/>
            </w:pPr>
            <w:r/>
            <w:r>
              <w:rPr>
                <w:rFonts w:ascii="Times New Roman" w:hAnsi="Times New Roman" w:eastAsia="宋体"/>
                <w:b/>
                <w:i w:val="0"/>
                <w:sz w:val="18"/>
              </w:rPr>
              <w:t>F1</w:t>
            </w:r>
          </w:p>
        </w:tc>
        <w:tc>
          <w:tcPr>
            <w:tcW w:type="dxa" w:w="1344"/>
          </w:tcPr>
          <w:p>
            <w:pPr>
              <w:jc w:val="center"/>
            </w:pPr>
            <w:r/>
            <w:r>
              <w:rPr>
                <w:rFonts w:ascii="Times New Roman" w:hAnsi="Times New Roman" w:eastAsia="宋体"/>
                <w:b/>
                <w:i w:val="0"/>
                <w:sz w:val="18"/>
              </w:rPr>
              <w:t>MCC</w:t>
            </w:r>
          </w:p>
        </w:tc>
        <w:tc>
          <w:tcPr>
            <w:tcW w:type="dxa" w:w="1344"/>
          </w:tcPr>
          <w:p>
            <w:pPr>
              <w:jc w:val="center"/>
            </w:pPr>
            <w:r/>
            <w:r>
              <w:rPr>
                <w:rFonts w:ascii="Times New Roman" w:hAnsi="Times New Roman" w:eastAsia="宋体"/>
                <w:b/>
                <w:i w:val="0"/>
                <w:sz w:val="18"/>
              </w:rPr>
              <w:t>Recall</w:t>
            </w:r>
          </w:p>
        </w:tc>
        <w:tc>
          <w:tcPr>
            <w:tcW w:type="dxa" w:w="1344"/>
          </w:tcPr>
          <w:p>
            <w:pPr>
              <w:jc w:val="center"/>
            </w:pPr>
            <w:r/>
            <w:r>
              <w:rPr>
                <w:rFonts w:ascii="Times New Roman" w:hAnsi="Times New Roman" w:eastAsia="宋体"/>
                <w:b/>
                <w:i w:val="0"/>
                <w:sz w:val="18"/>
              </w:rPr>
              <w:t>Precision</w:t>
            </w:r>
          </w:p>
        </w:tc>
      </w:tr>
      <w:tr>
        <w:tc>
          <w:tcPr>
            <w:tcW w:type="dxa" w:w="1344"/>
          </w:tcPr>
          <w:p>
            <w:pPr>
              <w:jc w:val="center"/>
            </w:pPr>
            <w:r/>
            <w:r>
              <w:rPr>
                <w:rFonts w:ascii="Times New Roman" w:hAnsi="Times New Roman" w:eastAsia="宋体"/>
                <w:b w:val="0"/>
                <w:i w:val="0"/>
                <w:sz w:val="18"/>
              </w:rPr>
              <w:t>1D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0.9325</w:t>
            </w:r>
          </w:p>
        </w:tc>
        <w:tc>
          <w:tcPr>
            <w:tcW w:type="dxa" w:w="1344"/>
          </w:tcPr>
          <w:p>
            <w:pPr>
              <w:jc w:val="center"/>
            </w:pPr>
            <w:r/>
            <w:r>
              <w:rPr>
                <w:rFonts w:ascii="Times New Roman" w:hAnsi="Times New Roman" w:eastAsia="宋体"/>
                <w:b w:val="0"/>
                <w:i w:val="0"/>
                <w:sz w:val="18"/>
              </w:rPr>
              <w:t>0.7899</w:t>
            </w:r>
          </w:p>
        </w:tc>
        <w:tc>
          <w:tcPr>
            <w:tcW w:type="dxa" w:w="1344"/>
          </w:tcPr>
          <w:p>
            <w:pPr>
              <w:jc w:val="center"/>
            </w:pPr>
            <w:r/>
            <w:r>
              <w:rPr>
                <w:rFonts w:ascii="Times New Roman" w:hAnsi="Times New Roman" w:eastAsia="宋体"/>
                <w:b w:val="0"/>
                <w:i w:val="0"/>
                <w:sz w:val="18"/>
              </w:rPr>
              <w:t>0.7037</w:t>
            </w:r>
          </w:p>
        </w:tc>
        <w:tc>
          <w:tcPr>
            <w:tcW w:type="dxa" w:w="1344"/>
          </w:tcPr>
          <w:p>
            <w:pPr>
              <w:jc w:val="center"/>
            </w:pPr>
            <w:r/>
            <w:r>
              <w:rPr>
                <w:rFonts w:ascii="Times New Roman" w:hAnsi="Times New Roman" w:eastAsia="宋体"/>
                <w:b w:val="0"/>
                <w:i w:val="0"/>
                <w:sz w:val="18"/>
              </w:rPr>
              <w:t>0.8704</w:t>
            </w:r>
          </w:p>
        </w:tc>
        <w:tc>
          <w:tcPr>
            <w:tcW w:type="dxa" w:w="1344"/>
          </w:tcPr>
          <w:p>
            <w:pPr>
              <w:jc w:val="center"/>
            </w:pPr>
            <w:r/>
            <w:r>
              <w:rPr>
                <w:rFonts w:ascii="Times New Roman" w:hAnsi="Times New Roman" w:eastAsia="宋体"/>
                <w:b w:val="0"/>
                <w:i w:val="0"/>
                <w:sz w:val="18"/>
              </w:rPr>
              <w:t>0.7231</w:t>
            </w:r>
          </w:p>
        </w:tc>
      </w:tr>
      <w:tr>
        <w:tc>
          <w:tcPr>
            <w:tcW w:type="dxa" w:w="1344"/>
          </w:tcPr>
          <w:p>
            <w:pPr>
              <w:jc w:val="center"/>
            </w:pPr>
            <w:r/>
            <w:r>
              <w:rPr>
                <w:rFonts w:ascii="Times New Roman" w:hAnsi="Times New Roman" w:eastAsia="宋体"/>
                <w:b w:val="0"/>
                <w:i w:val="0"/>
                <w:sz w:val="18"/>
              </w:rPr>
              <w:t>2D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0.9205</w:t>
            </w:r>
          </w:p>
        </w:tc>
        <w:tc>
          <w:tcPr>
            <w:tcW w:type="dxa" w:w="1344"/>
          </w:tcPr>
          <w:p>
            <w:pPr>
              <w:jc w:val="center"/>
            </w:pPr>
            <w:r/>
            <w:r>
              <w:rPr>
                <w:rFonts w:ascii="Times New Roman" w:hAnsi="Times New Roman" w:eastAsia="宋体"/>
                <w:b w:val="0"/>
                <w:i w:val="0"/>
                <w:sz w:val="18"/>
              </w:rPr>
              <w:t>0.7874</w:t>
            </w:r>
          </w:p>
        </w:tc>
        <w:tc>
          <w:tcPr>
            <w:tcW w:type="dxa" w:w="1344"/>
          </w:tcPr>
          <w:p>
            <w:pPr>
              <w:jc w:val="center"/>
            </w:pPr>
            <w:r/>
            <w:r>
              <w:rPr>
                <w:rFonts w:ascii="Times New Roman" w:hAnsi="Times New Roman" w:eastAsia="宋体"/>
                <w:b w:val="0"/>
                <w:i w:val="0"/>
                <w:sz w:val="18"/>
              </w:rPr>
              <w:t>0.7039</w:t>
            </w:r>
          </w:p>
        </w:tc>
        <w:tc>
          <w:tcPr>
            <w:tcW w:type="dxa" w:w="1344"/>
          </w:tcPr>
          <w:p>
            <w:pPr>
              <w:jc w:val="center"/>
            </w:pPr>
            <w:r/>
            <w:r>
              <w:rPr>
                <w:rFonts w:ascii="Times New Roman" w:hAnsi="Times New Roman" w:eastAsia="宋体"/>
                <w:b w:val="0"/>
                <w:i w:val="0"/>
                <w:sz w:val="18"/>
              </w:rPr>
              <w:t>0.9259</w:t>
            </w:r>
          </w:p>
        </w:tc>
        <w:tc>
          <w:tcPr>
            <w:tcW w:type="dxa" w:w="1344"/>
          </w:tcPr>
          <w:p>
            <w:pPr>
              <w:jc w:val="center"/>
            </w:pPr>
            <w:r/>
            <w:r>
              <w:rPr>
                <w:rFonts w:ascii="Times New Roman" w:hAnsi="Times New Roman" w:eastAsia="宋体"/>
                <w:b w:val="0"/>
                <w:i w:val="0"/>
                <w:sz w:val="18"/>
              </w:rPr>
              <w:t>0.6849</w:t>
            </w:r>
          </w:p>
        </w:tc>
      </w:tr>
      <w:tr>
        <w:tc>
          <w:tcPr>
            <w:tcW w:type="dxa" w:w="1344"/>
          </w:tcPr>
          <w:p>
            <w:pPr>
              <w:jc w:val="center"/>
            </w:pPr>
            <w:r/>
            <w:r>
              <w:rPr>
                <w:rFonts w:ascii="Times New Roman" w:hAnsi="Times New Roman" w:eastAsia="宋体"/>
                <w:b w:val="0"/>
                <w:i w:val="0"/>
                <w:sz w:val="18"/>
              </w:rPr>
              <w:t>3D only</w:t>
            </w:r>
          </w:p>
        </w:tc>
        <w:tc>
          <w:tcPr>
            <w:tcW w:type="dxa" w:w="1344"/>
          </w:tcPr>
          <w:p>
            <w:pPr>
              <w:jc w:val="center"/>
            </w:pPr>
            <w:r/>
            <w:r>
              <w:rPr>
                <w:rFonts w:ascii="Times New Roman" w:hAnsi="Times New Roman" w:eastAsia="宋体"/>
                <w:b w:val="0"/>
                <w:i w:val="0"/>
                <w:sz w:val="18"/>
              </w:rPr>
              <w:t>—</w:t>
            </w:r>
          </w:p>
        </w:tc>
        <w:tc>
          <w:tcPr>
            <w:tcW w:type="dxa" w:w="1344"/>
          </w:tcPr>
          <w:p>
            <w:pPr>
              <w:jc w:val="center"/>
            </w:pPr>
            <w:r/>
            <w:r>
              <w:rPr>
                <w:rFonts w:ascii="Times New Roman" w:hAnsi="Times New Roman" w:eastAsia="宋体"/>
                <w:b w:val="0"/>
                <w:i w:val="0"/>
                <w:sz w:val="18"/>
              </w:rPr>
              <w:t>0.9571</w:t>
            </w:r>
          </w:p>
        </w:tc>
        <w:tc>
          <w:tcPr>
            <w:tcW w:type="dxa" w:w="1344"/>
          </w:tcPr>
          <w:p>
            <w:pPr>
              <w:jc w:val="center"/>
            </w:pPr>
            <w:r/>
            <w:r>
              <w:rPr>
                <w:rFonts w:ascii="Times New Roman" w:hAnsi="Times New Roman" w:eastAsia="宋体"/>
                <w:b w:val="0"/>
                <w:i w:val="0"/>
                <w:sz w:val="18"/>
              </w:rPr>
              <w:t>0.8522</w:t>
            </w:r>
          </w:p>
        </w:tc>
        <w:tc>
          <w:tcPr>
            <w:tcW w:type="dxa" w:w="1344"/>
          </w:tcPr>
          <w:p>
            <w:pPr>
              <w:jc w:val="center"/>
            </w:pPr>
            <w:r/>
            <w:r>
              <w:rPr>
                <w:rFonts w:ascii="Times New Roman" w:hAnsi="Times New Roman" w:eastAsia="宋体"/>
                <w:b w:val="0"/>
                <w:i w:val="0"/>
                <w:sz w:val="18"/>
              </w:rPr>
              <w:t>0.7927</w:t>
            </w:r>
          </w:p>
        </w:tc>
        <w:tc>
          <w:tcPr>
            <w:tcW w:type="dxa" w:w="1344"/>
          </w:tcPr>
          <w:p>
            <w:pPr>
              <w:jc w:val="center"/>
            </w:pPr>
            <w:r/>
            <w:r>
              <w:rPr>
                <w:rFonts w:ascii="Times New Roman" w:hAnsi="Times New Roman" w:eastAsia="宋体"/>
                <w:b w:val="0"/>
                <w:i w:val="0"/>
                <w:sz w:val="18"/>
              </w:rPr>
              <w:t>0.9074</w:t>
            </w:r>
          </w:p>
        </w:tc>
        <w:tc>
          <w:tcPr>
            <w:tcW w:type="dxa" w:w="1344"/>
          </w:tcPr>
          <w:p>
            <w:pPr>
              <w:jc w:val="center"/>
            </w:pPr>
            <w:r/>
            <w:r>
              <w:rPr>
                <w:rFonts w:ascii="Times New Roman" w:hAnsi="Times New Roman" w:eastAsia="宋体"/>
                <w:b w:val="0"/>
                <w:i w:val="0"/>
                <w:sz w:val="18"/>
              </w:rPr>
              <w:t>0.8033</w:t>
            </w:r>
          </w:p>
        </w:tc>
      </w:tr>
      <w:tr>
        <w:tc>
          <w:tcPr>
            <w:tcW w:type="dxa" w:w="1344"/>
          </w:tcPr>
          <w:p>
            <w:pPr>
              <w:jc w:val="center"/>
            </w:pPr>
            <w:r/>
            <w:r>
              <w:rPr>
                <w:rFonts w:ascii="Times New Roman" w:hAnsi="Times New Roman" w:eastAsia="宋体"/>
                <w:b w:val="0"/>
                <w:i w:val="0"/>
                <w:sz w:val="18"/>
              </w:rPr>
              <w:t>1D + 2D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0.9291</w:t>
            </w:r>
          </w:p>
        </w:tc>
        <w:tc>
          <w:tcPr>
            <w:tcW w:type="dxa" w:w="1344"/>
          </w:tcPr>
          <w:p>
            <w:pPr>
              <w:jc w:val="center"/>
            </w:pPr>
            <w:r/>
            <w:r>
              <w:rPr>
                <w:rFonts w:ascii="Times New Roman" w:hAnsi="Times New Roman" w:eastAsia="宋体"/>
                <w:b w:val="0"/>
                <w:i w:val="0"/>
                <w:sz w:val="18"/>
              </w:rPr>
              <w:t>0.7576</w:t>
            </w:r>
          </w:p>
        </w:tc>
        <w:tc>
          <w:tcPr>
            <w:tcW w:type="dxa" w:w="1344"/>
          </w:tcPr>
          <w:p>
            <w:pPr>
              <w:jc w:val="center"/>
            </w:pPr>
            <w:r/>
            <w:r>
              <w:rPr>
                <w:rFonts w:ascii="Times New Roman" w:hAnsi="Times New Roman" w:eastAsia="宋体"/>
                <w:b w:val="0"/>
                <w:i w:val="0"/>
                <w:sz w:val="18"/>
              </w:rPr>
              <w:t>0.6627</w:t>
            </w:r>
          </w:p>
        </w:tc>
        <w:tc>
          <w:tcPr>
            <w:tcW w:type="dxa" w:w="1344"/>
          </w:tcPr>
          <w:p>
            <w:pPr>
              <w:jc w:val="center"/>
            </w:pPr>
            <w:r/>
            <w:r>
              <w:rPr>
                <w:rFonts w:ascii="Times New Roman" w:hAnsi="Times New Roman" w:eastAsia="宋体"/>
                <w:b w:val="0"/>
                <w:i w:val="0"/>
                <w:sz w:val="18"/>
              </w:rPr>
              <w:t>0.9259</w:t>
            </w:r>
          </w:p>
        </w:tc>
        <w:tc>
          <w:tcPr>
            <w:tcW w:type="dxa" w:w="1344"/>
          </w:tcPr>
          <w:p>
            <w:pPr>
              <w:jc w:val="center"/>
            </w:pPr>
            <w:r/>
            <w:r>
              <w:rPr>
                <w:rFonts w:ascii="Times New Roman" w:hAnsi="Times New Roman" w:eastAsia="宋体"/>
                <w:b w:val="0"/>
                <w:i w:val="0"/>
                <w:sz w:val="18"/>
              </w:rPr>
              <w:t>0.6410</w:t>
            </w:r>
          </w:p>
        </w:tc>
      </w:tr>
      <w:tr>
        <w:tc>
          <w:tcPr>
            <w:tcW w:type="dxa" w:w="1344"/>
          </w:tcPr>
          <w:p>
            <w:pPr>
              <w:jc w:val="center"/>
            </w:pPr>
            <w:r/>
            <w:r>
              <w:rPr>
                <w:rFonts w:ascii="Times New Roman" w:hAnsi="Times New Roman" w:eastAsia="宋体"/>
                <w:b w:val="0"/>
                <w:i w:val="0"/>
                <w:sz w:val="18"/>
              </w:rPr>
              <w:t>1D + 3D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0.9534</w:t>
            </w:r>
          </w:p>
        </w:tc>
        <w:tc>
          <w:tcPr>
            <w:tcW w:type="dxa" w:w="1344"/>
          </w:tcPr>
          <w:p>
            <w:pPr>
              <w:jc w:val="center"/>
            </w:pPr>
            <w:r/>
            <w:r>
              <w:rPr>
                <w:rFonts w:ascii="Times New Roman" w:hAnsi="Times New Roman" w:eastAsia="宋体"/>
                <w:b w:val="0"/>
                <w:i w:val="0"/>
                <w:sz w:val="18"/>
              </w:rPr>
              <w:t>0.8596</w:t>
            </w:r>
          </w:p>
        </w:tc>
        <w:tc>
          <w:tcPr>
            <w:tcW w:type="dxa" w:w="1344"/>
          </w:tcPr>
          <w:p>
            <w:pPr>
              <w:jc w:val="center"/>
            </w:pPr>
            <w:r/>
            <w:r>
              <w:rPr>
                <w:rFonts w:ascii="Times New Roman" w:hAnsi="Times New Roman" w:eastAsia="宋体"/>
                <w:b w:val="0"/>
                <w:i w:val="0"/>
                <w:sz w:val="18"/>
              </w:rPr>
              <w:t>0.8033</w:t>
            </w:r>
          </w:p>
        </w:tc>
        <w:tc>
          <w:tcPr>
            <w:tcW w:type="dxa" w:w="1344"/>
          </w:tcPr>
          <w:p>
            <w:pPr>
              <w:jc w:val="center"/>
            </w:pPr>
            <w:r/>
            <w:r>
              <w:rPr>
                <w:rFonts w:ascii="Times New Roman" w:hAnsi="Times New Roman" w:eastAsia="宋体"/>
                <w:b w:val="0"/>
                <w:i w:val="0"/>
                <w:sz w:val="18"/>
              </w:rPr>
              <w:t>0.9074</w:t>
            </w:r>
          </w:p>
        </w:tc>
        <w:tc>
          <w:tcPr>
            <w:tcW w:type="dxa" w:w="1344"/>
          </w:tcPr>
          <w:p>
            <w:pPr>
              <w:jc w:val="center"/>
            </w:pPr>
            <w:r/>
            <w:r>
              <w:rPr>
                <w:rFonts w:ascii="Times New Roman" w:hAnsi="Times New Roman" w:eastAsia="宋体"/>
                <w:b w:val="0"/>
                <w:i w:val="0"/>
                <w:sz w:val="18"/>
              </w:rPr>
              <w:t>0.8167</w:t>
            </w:r>
          </w:p>
        </w:tc>
      </w:tr>
      <w:tr>
        <w:tc>
          <w:tcPr>
            <w:tcW w:type="dxa" w:w="1344"/>
          </w:tcPr>
          <w:p>
            <w:pPr>
              <w:jc w:val="center"/>
            </w:pPr>
            <w:r/>
            <w:r>
              <w:rPr>
                <w:rFonts w:ascii="Times New Roman" w:hAnsi="Times New Roman" w:eastAsia="宋体"/>
                <w:b w:val="0"/>
                <w:i w:val="0"/>
                <w:sz w:val="18"/>
              </w:rPr>
              <w:t>2D + 3D</w:t>
            </w:r>
          </w:p>
        </w:tc>
        <w:tc>
          <w:tcPr>
            <w:tcW w:type="dxa" w:w="1344"/>
          </w:tcPr>
          <w:p>
            <w:pPr>
              <w:jc w:val="center"/>
            </w:pPr>
            <w:r/>
            <w:r>
              <w:rPr>
                <w:rFonts w:ascii="Times New Roman" w:hAnsi="Times New Roman" w:eastAsia="宋体"/>
                <w:b w:val="0"/>
                <w:i w:val="0"/>
                <w:sz w:val="18"/>
              </w:rPr>
              <w:t>Concat</w:t>
            </w:r>
          </w:p>
        </w:tc>
        <w:tc>
          <w:tcPr>
            <w:tcW w:type="dxa" w:w="1344"/>
          </w:tcPr>
          <w:p>
            <w:pPr>
              <w:jc w:val="center"/>
            </w:pPr>
            <w:r/>
            <w:r>
              <w:rPr>
                <w:rFonts w:ascii="Times New Roman" w:hAnsi="Times New Roman" w:eastAsia="宋体"/>
                <w:b w:val="0"/>
                <w:i w:val="0"/>
                <w:sz w:val="18"/>
              </w:rPr>
              <w:t>0.9574</w:t>
            </w:r>
          </w:p>
        </w:tc>
        <w:tc>
          <w:tcPr>
            <w:tcW w:type="dxa" w:w="1344"/>
          </w:tcPr>
          <w:p>
            <w:pPr>
              <w:jc w:val="center"/>
            </w:pPr>
            <w:r/>
            <w:r>
              <w:rPr>
                <w:rFonts w:ascii="Times New Roman" w:hAnsi="Times New Roman" w:eastAsia="宋体"/>
                <w:b w:val="0"/>
                <w:i w:val="0"/>
                <w:sz w:val="18"/>
              </w:rPr>
              <w:t>0.8624</w:t>
            </w:r>
          </w:p>
        </w:tc>
        <w:tc>
          <w:tcPr>
            <w:tcW w:type="dxa" w:w="1344"/>
          </w:tcPr>
          <w:p>
            <w:pPr>
              <w:jc w:val="center"/>
            </w:pPr>
            <w:r/>
            <w:r>
              <w:rPr>
                <w:rFonts w:ascii="Times New Roman" w:hAnsi="Times New Roman" w:eastAsia="宋体"/>
                <w:b w:val="0"/>
                <w:i w:val="0"/>
                <w:sz w:val="18"/>
              </w:rPr>
              <w:t>0.8083</w:t>
            </w:r>
          </w:p>
        </w:tc>
        <w:tc>
          <w:tcPr>
            <w:tcW w:type="dxa" w:w="1344"/>
          </w:tcPr>
          <w:p>
            <w:pPr>
              <w:jc w:val="center"/>
            </w:pPr>
            <w:r/>
            <w:r>
              <w:rPr>
                <w:rFonts w:ascii="Times New Roman" w:hAnsi="Times New Roman" w:eastAsia="宋体"/>
                <w:b w:val="0"/>
                <w:i w:val="0"/>
                <w:sz w:val="18"/>
              </w:rPr>
              <w:t>0.8704</w:t>
            </w:r>
          </w:p>
        </w:tc>
        <w:tc>
          <w:tcPr>
            <w:tcW w:type="dxa" w:w="1344"/>
          </w:tcPr>
          <w:p>
            <w:pPr>
              <w:jc w:val="center"/>
            </w:pPr>
            <w:r/>
            <w:r>
              <w:rPr>
                <w:rFonts w:ascii="Times New Roman" w:hAnsi="Times New Roman" w:eastAsia="宋体"/>
                <w:b w:val="0"/>
                <w:i w:val="0"/>
                <w:sz w:val="18"/>
              </w:rPr>
              <w:t>0.8545</w:t>
            </w:r>
          </w:p>
        </w:tc>
      </w:tr>
      <w:tr>
        <w:tc>
          <w:tcPr>
            <w:tcW w:type="dxa" w:w="1344"/>
          </w:tcPr>
          <w:p>
            <w:pPr>
              <w:jc w:val="center"/>
            </w:pPr>
            <w:r/>
            <w:r>
              <w:rPr>
                <w:rFonts w:ascii="Times New Roman" w:hAnsi="Times New Roman" w:eastAsia="宋体"/>
                <w:b/>
                <w:i w:val="0"/>
                <w:sz w:val="18"/>
              </w:rPr>
              <w:t>1D+2D+3D（本文）</w:t>
            </w:r>
          </w:p>
        </w:tc>
        <w:tc>
          <w:tcPr>
            <w:tcW w:type="dxa" w:w="1344"/>
          </w:tcPr>
          <w:p>
            <w:pPr>
              <w:jc w:val="center"/>
            </w:pPr>
            <w:r/>
            <w:r>
              <w:rPr>
                <w:rFonts w:ascii="Times New Roman" w:hAnsi="Times New Roman" w:eastAsia="宋体"/>
                <w:b/>
                <w:i w:val="0"/>
                <w:sz w:val="18"/>
              </w:rPr>
              <w:t>Hierarchical + Multi-Task</w:t>
            </w:r>
          </w:p>
        </w:tc>
        <w:tc>
          <w:tcPr>
            <w:tcW w:type="dxa" w:w="1344"/>
          </w:tcPr>
          <w:p>
            <w:pPr>
              <w:jc w:val="center"/>
            </w:pPr>
            <w:r/>
            <w:r>
              <w:rPr>
                <w:rFonts w:ascii="Times New Roman" w:hAnsi="Times New Roman" w:eastAsia="宋体"/>
                <w:b/>
                <w:i w:val="0"/>
                <w:sz w:val="18"/>
              </w:rPr>
              <w:t>0.9591</w:t>
            </w:r>
          </w:p>
        </w:tc>
        <w:tc>
          <w:tcPr>
            <w:tcW w:type="dxa" w:w="1344"/>
          </w:tcPr>
          <w:p>
            <w:pPr>
              <w:jc w:val="center"/>
            </w:pPr>
            <w:r/>
            <w:r>
              <w:rPr>
                <w:rFonts w:ascii="Times New Roman" w:hAnsi="Times New Roman" w:eastAsia="宋体"/>
                <w:b/>
                <w:i w:val="0"/>
                <w:sz w:val="18"/>
              </w:rPr>
              <w:t>0.8929</w:t>
            </w:r>
          </w:p>
        </w:tc>
        <w:tc>
          <w:tcPr>
            <w:tcW w:type="dxa" w:w="1344"/>
          </w:tcPr>
          <w:p>
            <w:pPr>
              <w:jc w:val="center"/>
            </w:pPr>
            <w:r/>
            <w:r>
              <w:rPr>
                <w:rFonts w:ascii="Times New Roman" w:hAnsi="Times New Roman" w:eastAsia="宋体"/>
                <w:b/>
                <w:i w:val="0"/>
                <w:sz w:val="18"/>
              </w:rPr>
              <w:t>0.8502</w:t>
            </w:r>
          </w:p>
        </w:tc>
        <w:tc>
          <w:tcPr>
            <w:tcW w:type="dxa" w:w="1344"/>
          </w:tcPr>
          <w:p>
            <w:pPr>
              <w:jc w:val="center"/>
            </w:pPr>
            <w:r/>
            <w:r>
              <w:rPr>
                <w:rFonts w:ascii="Times New Roman" w:hAnsi="Times New Roman" w:eastAsia="宋体"/>
                <w:b/>
                <w:i w:val="0"/>
                <w:sz w:val="18"/>
              </w:rPr>
              <w:t>0.9259</w:t>
            </w:r>
          </w:p>
        </w:tc>
        <w:tc>
          <w:tcPr>
            <w:tcW w:type="dxa" w:w="1344"/>
          </w:tcPr>
          <w:p>
            <w:pPr>
              <w:jc w:val="center"/>
            </w:pPr>
            <w:r/>
            <w:r>
              <w:rPr>
                <w:rFonts w:ascii="Times New Roman" w:hAnsi="Times New Roman" w:eastAsia="宋体"/>
                <w:b/>
                <w:i w:val="0"/>
                <w:sz w:val="18"/>
              </w:rPr>
              <w:t>0.8621</w:t>
            </w:r>
          </w:p>
        </w:tc>
      </w:tr>
    </w:tbl>
    <w:p/>
    <w:p>
      <w:pPr>
        <w:spacing w:after="80" w:line="360" w:lineRule="auto"/>
        <w:ind w:firstLine="420"/>
      </w:pPr>
      <w:r>
        <w:rPr>
          <w:rFonts w:ascii="Times New Roman" w:hAnsi="Times New Roman" w:eastAsia="宋体"/>
          <w:b/>
          <w:i w:val="0"/>
          <w:sz w:val="21"/>
        </w:rPr>
        <w:t>分析要点</w:t>
      </w:r>
      <w:r>
        <w:rPr>
          <w:rFonts w:ascii="Times New Roman" w:hAnsi="Times New Roman" w:eastAsia="宋体"/>
          <w:b w:val="0"/>
          <w:i w:val="0"/>
          <w:sz w:val="21"/>
        </w:rPr>
        <w:t>：</w:t>
      </w:r>
    </w:p>
    <w:p>
      <w:pPr>
        <w:spacing w:after="80" w:line="360" w:lineRule="auto"/>
        <w:ind w:firstLine="420"/>
      </w:pPr>
      <w:r>
        <w:rPr>
          <w:rFonts w:ascii="Times New Roman" w:hAnsi="Times New Roman" w:eastAsia="宋体"/>
          <w:b w:val="0"/>
          <w:i w:val="0"/>
          <w:sz w:val="21"/>
        </w:rPr>
        <w:t>（1）</w:t>
      </w:r>
      <w:r>
        <w:rPr>
          <w:rFonts w:ascii="Times New Roman" w:hAnsi="Times New Roman" w:eastAsia="宋体"/>
          <w:b/>
          <w:i w:val="0"/>
          <w:sz w:val="21"/>
        </w:rPr>
        <w:t>3D 模态贡献最大</w:t>
      </w:r>
      <w:r>
        <w:rPr>
          <w:rFonts w:ascii="Times New Roman" w:hAnsi="Times New Roman" w:eastAsia="宋体"/>
          <w:b w:val="0"/>
          <w:i w:val="0"/>
          <w:sz w:val="21"/>
        </w:rPr>
        <w:t>：单模态 3D (0.9571) 显著优于 1D (0.9325) 与 2D (0.9205)，验证 NLRP3 结合口袋对三维互补性的高度依赖。</w:t>
      </w:r>
    </w:p>
    <w:p>
      <w:pPr>
        <w:spacing w:after="80" w:line="360" w:lineRule="auto"/>
        <w:ind w:firstLine="420"/>
      </w:pPr>
      <w:r>
        <w:rPr>
          <w:rFonts w:ascii="Times New Roman" w:hAnsi="Times New Roman" w:eastAsia="宋体"/>
          <w:b w:val="0"/>
          <w:i w:val="0"/>
          <w:sz w:val="21"/>
        </w:rPr>
        <w:t>（2）</w:t>
      </w:r>
      <w:r>
        <w:rPr>
          <w:rFonts w:ascii="Times New Roman" w:hAnsi="Times New Roman" w:eastAsia="宋体"/>
          <w:b/>
          <w:i w:val="0"/>
          <w:sz w:val="21"/>
        </w:rPr>
        <w:t>多模态融合在综合指标上最优</w:t>
      </w:r>
      <w:r>
        <w:rPr>
          <w:rFonts w:ascii="Times New Roman" w:hAnsi="Times New Roman" w:eastAsia="宋体"/>
          <w:b w:val="0"/>
          <w:i w:val="0"/>
          <w:sz w:val="21"/>
        </w:rPr>
        <w:t>：三模态 STG-Mol 在 F1 (0.8929)、MCC (0.8502)、Recall (0.9259) 三项综合指标上均达到最优，尤其 Recall 保持最高——</w:t>
      </w:r>
      <w:r>
        <w:rPr>
          <w:rFonts w:ascii="Times New Roman" w:hAnsi="Times New Roman" w:eastAsia="宋体"/>
          <w:b/>
          <w:i w:val="0"/>
          <w:sz w:val="21"/>
        </w:rPr>
        <w:t>在虚拟筛选场景下这意味着最少的真实活性化合物被漏筛</w:t>
      </w:r>
      <w:r>
        <w:rPr>
          <w:rFonts w:ascii="Times New Roman" w:hAnsi="Times New Roman" w:eastAsia="宋体"/>
          <w:b w:val="0"/>
          <w:i w:val="0"/>
          <w:sz w:val="21"/>
        </w:rPr>
        <w:t>。</w:t>
      </w:r>
    </w:p>
    <w:p>
      <w:pPr>
        <w:spacing w:after="80" w:line="360" w:lineRule="auto"/>
        <w:ind w:firstLine="420"/>
      </w:pPr>
      <w:r>
        <w:rPr>
          <w:rFonts w:ascii="Times New Roman" w:hAnsi="Times New Roman" w:eastAsia="宋体"/>
          <w:b w:val="0"/>
          <w:i w:val="0"/>
          <w:sz w:val="21"/>
        </w:rPr>
        <w:t>（3）</w:t>
      </w:r>
      <w:r>
        <w:rPr>
          <w:rFonts w:ascii="Times New Roman" w:hAnsi="Times New Roman" w:eastAsia="宋体"/>
          <w:b/>
          <w:i w:val="0"/>
          <w:sz w:val="21"/>
        </w:rPr>
        <w:t>2D+3D 组合的性能大幅超越 2D 或 3D 单独使用</w:t>
      </w:r>
      <w:r>
        <w:rPr>
          <w:rFonts w:ascii="Times New Roman" w:hAnsi="Times New Roman" w:eastAsia="宋体"/>
          <w:b w:val="0"/>
          <w:i w:val="0"/>
          <w:sz w:val="21"/>
        </w:rPr>
        <w:t>，说明 D-MPNN 拓扑特征与 SphereNet 几何特征存在强协同效应。</w:t>
      </w:r>
    </w:p>
    <w:p>
      <w:pPr>
        <w:spacing w:before="160" w:after="40"/>
      </w:pPr>
      <w:r>
        <w:rPr>
          <w:rFonts w:ascii="Times New Roman" w:hAnsi="Times New Roman" w:eastAsia="宋体"/>
          <w:b/>
          <w:i w:val="0"/>
          <w:color w:val="1F4E79"/>
          <w:sz w:val="22"/>
        </w:rPr>
        <w:t>5.2.2  多任务学习消融（有/无 ADMET 辅助任务）</w:t>
      </w:r>
    </w:p>
    <w:p>
      <w:pPr>
        <w:spacing w:after="80" w:line="360" w:lineRule="auto"/>
        <w:ind w:firstLine="420"/>
      </w:pPr>
      <w:r>
        <w:rPr>
          <w:rFonts w:ascii="Times New Roman" w:hAnsi="Times New Roman" w:eastAsia="宋体"/>
          <w:b w:val="0"/>
          <w:i w:val="0"/>
          <w:sz w:val="21"/>
        </w:rPr>
        <w:t>为验证多任务联合学习的价值，对比开启/关闭 ADMET 辅助任务的效果（5 seed 独立训练 + Ensemble 集成）。</w:t>
      </w:r>
    </w:p>
    <w:p>
      <w:pPr>
        <w:spacing w:before="60" w:after="160"/>
        <w:jc w:val="center"/>
      </w:pPr>
      <w:r>
        <w:rPr>
          <w:rFonts w:ascii="Times New Roman" w:hAnsi="Times New Roman" w:eastAsia="宋体"/>
          <w:b/>
          <w:i w:val="0"/>
          <w:color w:val="323232"/>
          <w:sz w:val="19"/>
        </w:rPr>
        <w:t>表 5.3  多任务学习消融（5-seed，主指标为 Test 集）</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配置</w:t>
            </w:r>
          </w:p>
        </w:tc>
        <w:tc>
          <w:tcPr>
            <w:tcW w:type="dxa" w:w="1568"/>
          </w:tcPr>
          <w:p>
            <w:pPr>
              <w:jc w:val="center"/>
            </w:pPr>
            <w:r/>
            <w:r>
              <w:rPr>
                <w:rFonts w:ascii="Times New Roman" w:hAnsi="Times New Roman" w:eastAsia="宋体"/>
                <w:b/>
                <w:i w:val="0"/>
                <w:sz w:val="18"/>
              </w:rPr>
              <w:t>admet_weight</w:t>
            </w:r>
          </w:p>
        </w:tc>
        <w:tc>
          <w:tcPr>
            <w:tcW w:type="dxa" w:w="1568"/>
          </w:tcPr>
          <w:p>
            <w:pPr>
              <w:jc w:val="center"/>
            </w:pPr>
            <w:r/>
            <w:r>
              <w:rPr>
                <w:rFonts w:ascii="Times New Roman" w:hAnsi="Times New Roman" w:eastAsia="宋体"/>
                <w:b/>
                <w:i w:val="0"/>
                <w:sz w:val="18"/>
              </w:rPr>
              <w:t>Mean AUC ± Std</w:t>
            </w:r>
          </w:p>
        </w:tc>
        <w:tc>
          <w:tcPr>
            <w:tcW w:type="dxa" w:w="1568"/>
          </w:tcPr>
          <w:p>
            <w:pPr>
              <w:jc w:val="center"/>
            </w:pPr>
            <w:r/>
            <w:r>
              <w:rPr>
                <w:rFonts w:ascii="Times New Roman" w:hAnsi="Times New Roman" w:eastAsia="宋体"/>
                <w:b/>
                <w:i w:val="0"/>
                <w:sz w:val="18"/>
              </w:rPr>
              <w:t>Ensemble F1</w:t>
            </w:r>
          </w:p>
        </w:tc>
        <w:tc>
          <w:tcPr>
            <w:tcW w:type="dxa" w:w="1568"/>
          </w:tcPr>
          <w:p>
            <w:pPr>
              <w:jc w:val="center"/>
            </w:pPr>
            <w:r/>
            <w:r>
              <w:rPr>
                <w:rFonts w:ascii="Times New Roman" w:hAnsi="Times New Roman" w:eastAsia="宋体"/>
                <w:b/>
                <w:i w:val="0"/>
                <w:sz w:val="18"/>
              </w:rPr>
              <w:t>Ensemble MCC</w:t>
            </w:r>
          </w:p>
        </w:tc>
        <w:tc>
          <w:tcPr>
            <w:tcW w:type="dxa" w:w="1568"/>
          </w:tcPr>
          <w:p>
            <w:pPr>
              <w:jc w:val="center"/>
            </w:pPr>
            <w:r/>
            <w:r>
              <w:rPr>
                <w:rFonts w:ascii="Times New Roman" w:hAnsi="Times New Roman" w:eastAsia="宋体"/>
                <w:b/>
                <w:i w:val="0"/>
                <w:sz w:val="18"/>
              </w:rPr>
              <w:t>Ensemble Recall</w:t>
            </w:r>
          </w:p>
        </w:tc>
      </w:tr>
      <w:tr>
        <w:tc>
          <w:tcPr>
            <w:tcW w:type="dxa" w:w="1568"/>
          </w:tcPr>
          <w:p>
            <w:pPr>
              <w:jc w:val="center"/>
            </w:pPr>
            <w:r/>
            <w:r>
              <w:rPr>
                <w:rFonts w:ascii="Times New Roman" w:hAnsi="Times New Roman" w:eastAsia="宋体"/>
                <w:b w:val="0"/>
                <w:i w:val="0"/>
                <w:sz w:val="18"/>
              </w:rPr>
              <w:t>单任务（仅活性预测）</w:t>
            </w:r>
          </w:p>
        </w:tc>
        <w:tc>
          <w:tcPr>
            <w:tcW w:type="dxa" w:w="1568"/>
          </w:tcPr>
          <w:p>
            <w:pPr>
              <w:jc w:val="center"/>
            </w:pPr>
            <w:r/>
            <w:r>
              <w:rPr>
                <w:rFonts w:ascii="Times New Roman" w:hAnsi="Times New Roman" w:eastAsia="宋体"/>
                <w:b w:val="0"/>
                <w:i w:val="0"/>
                <w:sz w:val="18"/>
              </w:rPr>
              <w:t>0.0</w:t>
            </w:r>
          </w:p>
        </w:tc>
        <w:tc>
          <w:tcPr>
            <w:tcW w:type="dxa" w:w="1568"/>
          </w:tcPr>
          <w:p>
            <w:pPr>
              <w:jc w:val="center"/>
            </w:pPr>
            <w:r/>
            <w:r>
              <w:rPr>
                <w:rFonts w:ascii="Times New Roman" w:hAnsi="Times New Roman" w:eastAsia="宋体"/>
                <w:b w:val="0"/>
                <w:i w:val="0"/>
                <w:sz w:val="18"/>
              </w:rPr>
              <w:t>0.9440 ± 0.0134</w:t>
            </w:r>
          </w:p>
        </w:tc>
        <w:tc>
          <w:tcPr>
            <w:tcW w:type="dxa" w:w="1568"/>
          </w:tcPr>
          <w:p>
            <w:pPr>
              <w:jc w:val="center"/>
            </w:pPr>
            <w:r/>
            <w:r>
              <w:rPr>
                <w:rFonts w:ascii="Times New Roman" w:hAnsi="Times New Roman" w:eastAsia="宋体"/>
                <w:b w:val="0"/>
                <w:i w:val="0"/>
                <w:sz w:val="18"/>
              </w:rPr>
              <w:t>0.8727</w:t>
            </w:r>
          </w:p>
        </w:tc>
        <w:tc>
          <w:tcPr>
            <w:tcW w:type="dxa" w:w="1568"/>
          </w:tcPr>
          <w:p>
            <w:pPr>
              <w:jc w:val="center"/>
            </w:pPr>
            <w:r/>
            <w:r>
              <w:rPr>
                <w:rFonts w:ascii="Times New Roman" w:hAnsi="Times New Roman" w:eastAsia="宋体"/>
                <w:b w:val="0"/>
                <w:i w:val="0"/>
                <w:sz w:val="18"/>
              </w:rPr>
              <w:t>0.8223</w:t>
            </w:r>
          </w:p>
        </w:tc>
        <w:tc>
          <w:tcPr>
            <w:tcW w:type="dxa" w:w="1568"/>
          </w:tcPr>
          <w:p>
            <w:pPr>
              <w:jc w:val="center"/>
            </w:pPr>
            <w:r/>
            <w:r>
              <w:rPr>
                <w:rFonts w:ascii="Times New Roman" w:hAnsi="Times New Roman" w:eastAsia="宋体"/>
                <w:b w:val="0"/>
                <w:i w:val="0"/>
                <w:sz w:val="18"/>
              </w:rPr>
              <w:t>0.8889</w:t>
            </w:r>
          </w:p>
        </w:tc>
      </w:tr>
      <w:tr>
        <w:tc>
          <w:tcPr>
            <w:tcW w:type="dxa" w:w="1568"/>
          </w:tcPr>
          <w:p>
            <w:pPr>
              <w:jc w:val="center"/>
            </w:pPr>
            <w:r/>
            <w:r>
              <w:rPr>
                <w:rFonts w:ascii="Times New Roman" w:hAnsi="Times New Roman" w:eastAsia="宋体"/>
                <w:b/>
                <w:i w:val="0"/>
                <w:sz w:val="18"/>
              </w:rPr>
              <w:t>多任务（活性 + 5 项 ADMET）</w:t>
            </w:r>
          </w:p>
        </w:tc>
        <w:tc>
          <w:tcPr>
            <w:tcW w:type="dxa" w:w="1568"/>
          </w:tcPr>
          <w:p>
            <w:pPr>
              <w:jc w:val="center"/>
            </w:pPr>
            <w:r/>
            <w:r>
              <w:rPr>
                <w:rFonts w:ascii="Times New Roman" w:hAnsi="Times New Roman" w:eastAsia="宋体"/>
                <w:b/>
                <w:i w:val="0"/>
                <w:sz w:val="18"/>
              </w:rPr>
              <w:t>0.2</w:t>
            </w:r>
          </w:p>
        </w:tc>
        <w:tc>
          <w:tcPr>
            <w:tcW w:type="dxa" w:w="1568"/>
          </w:tcPr>
          <w:p>
            <w:pPr>
              <w:jc w:val="center"/>
            </w:pPr>
            <w:r/>
            <w:r>
              <w:rPr>
                <w:rFonts w:ascii="Times New Roman" w:hAnsi="Times New Roman" w:eastAsia="宋体"/>
                <w:b/>
                <w:i w:val="0"/>
                <w:sz w:val="18"/>
              </w:rPr>
              <w:t>0.9487 ± 0.0077</w:t>
            </w:r>
          </w:p>
        </w:tc>
        <w:tc>
          <w:tcPr>
            <w:tcW w:type="dxa" w:w="1568"/>
          </w:tcPr>
          <w:p>
            <w:pPr>
              <w:jc w:val="center"/>
            </w:pPr>
            <w:r/>
            <w:r>
              <w:rPr>
                <w:rFonts w:ascii="Times New Roman" w:hAnsi="Times New Roman" w:eastAsia="宋体"/>
                <w:b/>
                <w:i w:val="0"/>
                <w:sz w:val="18"/>
              </w:rPr>
              <w:t>0.8929</w:t>
            </w:r>
          </w:p>
        </w:tc>
        <w:tc>
          <w:tcPr>
            <w:tcW w:type="dxa" w:w="1568"/>
          </w:tcPr>
          <w:p>
            <w:pPr>
              <w:jc w:val="center"/>
            </w:pPr>
            <w:r/>
            <w:r>
              <w:rPr>
                <w:rFonts w:ascii="Times New Roman" w:hAnsi="Times New Roman" w:eastAsia="宋体"/>
                <w:b/>
                <w:i w:val="0"/>
                <w:sz w:val="18"/>
              </w:rPr>
              <w:t>0.8502</w:t>
            </w:r>
          </w:p>
        </w:tc>
        <w:tc>
          <w:tcPr>
            <w:tcW w:type="dxa" w:w="1568"/>
          </w:tcPr>
          <w:p>
            <w:pPr>
              <w:jc w:val="center"/>
            </w:pPr>
            <w:r/>
            <w:r>
              <w:rPr>
                <w:rFonts w:ascii="Times New Roman" w:hAnsi="Times New Roman" w:eastAsia="宋体"/>
                <w:b/>
                <w:i w:val="0"/>
                <w:sz w:val="18"/>
              </w:rPr>
              <w:t>0.9259</w:t>
            </w:r>
          </w:p>
        </w:tc>
      </w:tr>
      <w:tr>
        <w:tc>
          <w:tcPr>
            <w:tcW w:type="dxa" w:w="1568"/>
          </w:tcPr>
          <w:p>
            <w:pPr>
              <w:jc w:val="center"/>
            </w:pPr>
            <w:r/>
            <w:r>
              <w:rPr>
                <w:rFonts w:ascii="Times New Roman" w:hAnsi="Times New Roman" w:eastAsia="宋体"/>
                <w:b w:val="0"/>
                <w:i w:val="0"/>
                <w:sz w:val="18"/>
              </w:rPr>
              <w:t>Δ 提升</w:t>
            </w:r>
          </w:p>
        </w:tc>
        <w:tc>
          <w:tcPr>
            <w:tcW w:type="dxa" w:w="1568"/>
          </w:tcPr>
          <w:p>
            <w:pPr>
              <w:jc w:val="center"/>
            </w:pPr>
            <w:r/>
            <w:r>
              <w:rPr>
                <w:rFonts w:ascii="Times New Roman" w:hAnsi="Times New Roman" w:eastAsia="宋体"/>
                <w:b w:val="0"/>
                <w:i w:val="0"/>
                <w:sz w:val="18"/>
              </w:rPr>
              <w:t>—</w:t>
            </w:r>
          </w:p>
        </w:tc>
        <w:tc>
          <w:tcPr>
            <w:tcW w:type="dxa" w:w="1568"/>
          </w:tcPr>
          <w:p>
            <w:pPr>
              <w:jc w:val="center"/>
            </w:pPr>
            <w:r/>
            <w:r>
              <w:rPr>
                <w:rFonts w:ascii="Times New Roman" w:hAnsi="Times New Roman" w:eastAsia="宋体"/>
                <w:b/>
                <w:i w:val="0"/>
                <w:sz w:val="18"/>
              </w:rPr>
              <w:t>+0.0047 / std −42%</w:t>
            </w:r>
          </w:p>
        </w:tc>
        <w:tc>
          <w:tcPr>
            <w:tcW w:type="dxa" w:w="1568"/>
          </w:tcPr>
          <w:p>
            <w:pPr>
              <w:jc w:val="center"/>
            </w:pPr>
            <w:r/>
            <w:r>
              <w:rPr>
                <w:rFonts w:ascii="Times New Roman" w:hAnsi="Times New Roman" w:eastAsia="宋体"/>
                <w:b/>
                <w:i w:val="0"/>
                <w:sz w:val="18"/>
              </w:rPr>
              <w:t>+0.0202</w:t>
            </w:r>
          </w:p>
        </w:tc>
        <w:tc>
          <w:tcPr>
            <w:tcW w:type="dxa" w:w="1568"/>
          </w:tcPr>
          <w:p>
            <w:pPr>
              <w:jc w:val="center"/>
            </w:pPr>
            <w:r/>
            <w:r>
              <w:rPr>
                <w:rFonts w:ascii="Times New Roman" w:hAnsi="Times New Roman" w:eastAsia="宋体"/>
                <w:b/>
                <w:i w:val="0"/>
                <w:sz w:val="18"/>
              </w:rPr>
              <w:t>+0.0279</w:t>
            </w:r>
          </w:p>
        </w:tc>
        <w:tc>
          <w:tcPr>
            <w:tcW w:type="dxa" w:w="1568"/>
          </w:tcPr>
          <w:p>
            <w:pPr>
              <w:jc w:val="center"/>
            </w:pPr>
            <w:r/>
            <w:r>
              <w:rPr>
                <w:rFonts w:ascii="Times New Roman" w:hAnsi="Times New Roman" w:eastAsia="宋体"/>
                <w:b/>
                <w:i w:val="0"/>
                <w:sz w:val="18"/>
              </w:rPr>
              <w:t>+0.0370</w:t>
            </w:r>
          </w:p>
        </w:tc>
      </w:tr>
    </w:tbl>
    <w:p/>
    <w:p>
      <w:pPr>
        <w:spacing w:after="80" w:line="360" w:lineRule="auto"/>
        <w:ind w:firstLine="420"/>
      </w:pPr>
      <w:r>
        <w:rPr>
          <w:rFonts w:ascii="Times New Roman" w:hAnsi="Times New Roman" w:eastAsia="宋体"/>
          <w:b/>
          <w:i w:val="0"/>
          <w:sz w:val="21"/>
        </w:rPr>
        <w:t>分析要点</w:t>
      </w:r>
      <w:r>
        <w:rPr>
          <w:rFonts w:ascii="Times New Roman" w:hAnsi="Times New Roman" w:eastAsia="宋体"/>
          <w:b w:val="0"/>
          <w:i w:val="0"/>
          <w:sz w:val="21"/>
        </w:rPr>
        <w:t>：Multi-Task 联合学习带来了三个层次的收益：</w:t>
      </w:r>
    </w:p>
    <w:p>
      <w:pPr>
        <w:spacing w:after="80" w:line="360" w:lineRule="auto"/>
        <w:ind w:firstLine="420"/>
      </w:pPr>
      <w:r>
        <w:rPr>
          <w:rFonts w:ascii="Times New Roman" w:hAnsi="Times New Roman" w:eastAsia="宋体"/>
          <w:b/>
          <w:i w:val="0"/>
          <w:sz w:val="21"/>
        </w:rPr>
        <w:t>(i) 分类决策质量显著提升</w:t>
      </w:r>
      <w:r>
        <w:rPr>
          <w:rFonts w:ascii="Times New Roman" w:hAnsi="Times New Roman" w:eastAsia="宋体"/>
          <w:b w:val="0"/>
          <w:i w:val="0"/>
          <w:sz w:val="21"/>
        </w:rPr>
        <w:t>：排序能力仅小幅提升（5-seed 均值 ROC-AUC 0.9440 → 0.9487，+0.0047），但</w:t>
      </w:r>
      <w:r>
        <w:rPr>
          <w:rFonts w:ascii="Times New Roman" w:hAnsi="Times New Roman" w:eastAsia="宋体"/>
          <w:b/>
          <w:i w:val="0"/>
          <w:sz w:val="21"/>
        </w:rPr>
        <w:t>分类决策指标</w:t>
      </w:r>
      <w:r>
        <w:rPr>
          <w:rFonts w:ascii="Times New Roman" w:hAnsi="Times New Roman" w:eastAsia="宋体"/>
          <w:b w:val="0"/>
          <w:i w:val="0"/>
          <w:sz w:val="21"/>
        </w:rPr>
        <w:t>（F1、MCC、Recall，ensemble）均显著提升：F1 提升 +0.0202、MCC 提升 +0.0279、Recall 提升 +0.0370。这说明 ADMET 辅助任务提供的正则化让模型的决策边界更符合虚拟筛选的实际需求。</w:t>
      </w:r>
    </w:p>
    <w:p>
      <w:pPr>
        <w:spacing w:after="80" w:line="360" w:lineRule="auto"/>
        <w:ind w:firstLine="420"/>
      </w:pPr>
      <w:r>
        <w:rPr>
          <w:rFonts w:ascii="Times New Roman" w:hAnsi="Times New Roman" w:eastAsia="宋体"/>
          <w:b/>
          <w:i w:val="0"/>
          <w:sz w:val="21"/>
        </w:rPr>
        <w:t>(ii) 训练稳定性大幅提升</w:t>
      </w:r>
      <w:r>
        <w:rPr>
          <w:rFonts w:ascii="Times New Roman" w:hAnsi="Times New Roman" w:eastAsia="宋体"/>
          <w:b w:val="0"/>
          <w:i w:val="0"/>
          <w:sz w:val="21"/>
        </w:rPr>
        <w:t>：5-seed 标准差从 0.0134 降至 0.0077（减少 42%），显示 Multi-Task 提供的强正则化让模型对随机种子的敏感性显著降低——这是工业级可复现部署的关键优势。</w:t>
      </w:r>
    </w:p>
    <w:p>
      <w:pPr>
        <w:spacing w:after="80" w:line="360" w:lineRule="auto"/>
        <w:ind w:firstLine="420"/>
      </w:pPr>
      <w:r>
        <w:rPr>
          <w:rFonts w:ascii="Times New Roman" w:hAnsi="Times New Roman" w:eastAsia="宋体"/>
          <w:b/>
          <w:i w:val="0"/>
          <w:sz w:val="21"/>
        </w:rPr>
        <w:t>(iii) 特别是 Recall 提升 3.7 个百分点</w:t>
      </w:r>
      <w:r>
        <w:rPr>
          <w:rFonts w:ascii="Times New Roman" w:hAnsi="Times New Roman" w:eastAsia="宋体"/>
          <w:b w:val="0"/>
          <w:i w:val="0"/>
          <w:sz w:val="21"/>
        </w:rPr>
        <w:t>：在虚拟筛选场景下 Recall 是核心指标，这意味着</w:t>
      </w:r>
      <w:r>
        <w:rPr>
          <w:rFonts w:ascii="Times New Roman" w:hAnsi="Times New Roman" w:eastAsia="宋体"/>
          <w:b/>
          <w:i w:val="0"/>
          <w:sz w:val="21"/>
        </w:rPr>
        <w:t>每 100 个真实活性分子，多任务模型能多识别出约 4 个</w:t>
      </w:r>
      <w:r>
        <w:rPr>
          <w:rFonts w:ascii="Times New Roman" w:hAnsi="Times New Roman" w:eastAsia="宋体"/>
          <w:b w:val="0"/>
          <w:i w:val="0"/>
          <w:sz w:val="21"/>
        </w:rPr>
        <w:t>，直接降低了后续实验的假阴性风险。</w:t>
      </w:r>
    </w:p>
    <w:p>
      <w:pPr>
        <w:spacing w:after="80" w:line="360" w:lineRule="auto"/>
        <w:ind w:firstLine="420"/>
      </w:pPr>
      <w:r>
        <w:rPr>
          <w:rFonts w:ascii="Times New Roman" w:hAnsi="Times New Roman" w:eastAsia="宋体"/>
          <w:b w:val="0"/>
          <w:i w:val="0"/>
          <w:sz w:val="21"/>
        </w:rPr>
        <w:t>综合以上，Multi-Task Learning 的价值不在于</w:t>
      </w:r>
      <w:r>
        <w:rPr>
          <w:rFonts w:ascii="Times New Roman" w:hAnsi="Times New Roman" w:eastAsia="宋体"/>
          <w:b/>
          <w:i w:val="0"/>
          <w:sz w:val="21"/>
        </w:rPr>
        <w:t>"AUC 数值更大"</w:t>
      </w:r>
      <w:r>
        <w:rPr>
          <w:rFonts w:ascii="Times New Roman" w:hAnsi="Times New Roman" w:eastAsia="宋体"/>
          <w:b w:val="0"/>
          <w:i w:val="0"/>
          <w:sz w:val="21"/>
        </w:rPr>
        <w:t>，而在于</w:t>
      </w:r>
      <w:r>
        <w:rPr>
          <w:rFonts w:ascii="Times New Roman" w:hAnsi="Times New Roman" w:eastAsia="宋体"/>
          <w:b/>
          <w:i w:val="0"/>
          <w:sz w:val="21"/>
        </w:rPr>
        <w:t>"分类决策更准确、更稳定、更适合虚拟筛选的实际需求"</w:t>
      </w:r>
      <w:r>
        <w:rPr>
          <w:rFonts w:ascii="Times New Roman" w:hAnsi="Times New Roman" w:eastAsia="宋体"/>
          <w:b w:val="0"/>
          <w:i w:val="0"/>
          <w:sz w:val="21"/>
        </w:rPr>
        <w:t>。这与 STG-Mol 追求"活性与成药性并重"的设计哲学高度一致。</w:t>
      </w:r>
    </w:p>
    <w:p>
      <w:pPr>
        <w:spacing w:before="160" w:after="40"/>
      </w:pPr>
      <w:r>
        <w:rPr>
          <w:rFonts w:ascii="Times New Roman" w:hAnsi="Times New Roman" w:eastAsia="宋体"/>
          <w:b/>
          <w:i w:val="0"/>
          <w:color w:val="1F4E79"/>
          <w:sz w:val="22"/>
        </w:rPr>
        <w:t>5.2.3  分层融合模块消融</w:t>
      </w:r>
    </w:p>
    <w:p>
      <w:pPr>
        <w:spacing w:after="80" w:line="360" w:lineRule="auto"/>
        <w:ind w:firstLine="420"/>
      </w:pPr>
      <w:r>
        <w:rPr>
          <w:rFonts w:ascii="Times New Roman" w:hAnsi="Times New Roman" w:eastAsia="宋体"/>
          <w:b w:val="0"/>
          <w:i w:val="0"/>
          <w:sz w:val="21"/>
        </w:rPr>
        <w:t>为量化分层三模态融合模块中四个组件的独立贡献，我们进行</w:t>
      </w:r>
      <w:r>
        <w:rPr>
          <w:rFonts w:ascii="Times New Roman" w:hAnsi="Times New Roman" w:eastAsia="宋体"/>
          <w:b/>
          <w:i w:val="0"/>
          <w:sz w:val="21"/>
        </w:rPr>
        <w:t>逐组件 leave-one-out 消融</w:t>
      </w:r>
      <w:r>
        <w:rPr>
          <w:rFonts w:ascii="Times New Roman" w:hAnsi="Times New Roman" w:eastAsia="宋体"/>
          <w:b w:val="0"/>
          <w:i w:val="0"/>
          <w:sz w:val="21"/>
        </w:rPr>
        <w:t>：Cross-Modal Attention、Gated Fusion Unit、Low-Rank Bilinear、样本级 Importance Network。每次消融仅移除一个组件，其余保持不变，训练超参数与主模型完全一致（V3-random 5-seed 协议）。</w:t>
      </w:r>
    </w:p>
    <w:p>
      <w:pPr>
        <w:spacing w:before="60" w:after="160"/>
        <w:jc w:val="center"/>
      </w:pPr>
      <w:r>
        <w:rPr>
          <w:rFonts w:ascii="Times New Roman" w:hAnsi="Times New Roman" w:eastAsia="宋体"/>
          <w:b/>
          <w:i w:val="0"/>
          <w:color w:val="323232"/>
          <w:sz w:val="19"/>
        </w:rPr>
        <w:t>表 5.4  分层融合模块 leave-one-out 消融（V3-random 5-seed mean ± std）</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配置</w:t>
            </w:r>
          </w:p>
        </w:tc>
        <w:tc>
          <w:tcPr>
            <w:tcW w:type="dxa" w:w="1568"/>
          </w:tcPr>
          <w:p>
            <w:pPr>
              <w:jc w:val="center"/>
            </w:pPr>
            <w:r/>
            <w:r>
              <w:rPr>
                <w:rFonts w:ascii="Times New Roman" w:hAnsi="Times New Roman" w:eastAsia="宋体"/>
                <w:b/>
                <w:i w:val="0"/>
                <w:sz w:val="18"/>
              </w:rPr>
              <w:t>ROC-AUC ↑</w:t>
            </w:r>
          </w:p>
        </w:tc>
        <w:tc>
          <w:tcPr>
            <w:tcW w:type="dxa" w:w="1568"/>
          </w:tcPr>
          <w:p>
            <w:pPr>
              <w:jc w:val="center"/>
            </w:pPr>
            <w:r/>
            <w:r>
              <w:rPr>
                <w:rFonts w:ascii="Times New Roman" w:hAnsi="Times New Roman" w:eastAsia="宋体"/>
                <w:b/>
                <w:i w:val="0"/>
                <w:sz w:val="18"/>
              </w:rPr>
              <w:t>F1 ↑</w:t>
            </w:r>
          </w:p>
        </w:tc>
        <w:tc>
          <w:tcPr>
            <w:tcW w:type="dxa" w:w="1568"/>
          </w:tcPr>
          <w:p>
            <w:pPr>
              <w:jc w:val="center"/>
            </w:pPr>
            <w:r/>
            <w:r>
              <w:rPr>
                <w:rFonts w:ascii="Times New Roman" w:hAnsi="Times New Roman" w:eastAsia="宋体"/>
                <w:b/>
                <w:i w:val="0"/>
                <w:sz w:val="18"/>
              </w:rPr>
              <w:t>MCC ↑</w:t>
            </w:r>
          </w:p>
        </w:tc>
        <w:tc>
          <w:tcPr>
            <w:tcW w:type="dxa" w:w="1568"/>
          </w:tcPr>
          <w:p>
            <w:pPr>
              <w:jc w:val="center"/>
            </w:pPr>
            <w:r/>
            <w:r>
              <w:rPr>
                <w:rFonts w:ascii="Times New Roman" w:hAnsi="Times New Roman" w:eastAsia="宋体"/>
                <w:b/>
                <w:i w:val="0"/>
                <w:sz w:val="18"/>
              </w:rPr>
              <w:t>Recall ↑</w:t>
            </w:r>
          </w:p>
        </w:tc>
        <w:tc>
          <w:tcPr>
            <w:tcW w:type="dxa" w:w="1568"/>
          </w:tcPr>
          <w:p>
            <w:pPr>
              <w:jc w:val="center"/>
            </w:pPr>
            <w:r/>
            <w:r>
              <w:rPr>
                <w:rFonts w:ascii="Times New Roman" w:hAnsi="Times New Roman" w:eastAsia="宋体"/>
                <w:b/>
                <w:i w:val="0"/>
                <w:sz w:val="18"/>
              </w:rPr>
              <w:t>BEDROC@α=20 ↑</w:t>
            </w:r>
          </w:p>
        </w:tc>
      </w:tr>
      <w:tr>
        <w:tc>
          <w:tcPr>
            <w:tcW w:type="dxa" w:w="1568"/>
          </w:tcPr>
          <w:p>
            <w:pPr>
              <w:jc w:val="center"/>
            </w:pPr>
            <w:r/>
            <w:r>
              <w:rPr>
                <w:rFonts w:ascii="Times New Roman" w:hAnsi="Times New Roman" w:eastAsia="宋体"/>
                <w:b w:val="0"/>
                <w:i w:val="0"/>
                <w:sz w:val="18"/>
              </w:rPr>
              <w:t>− Cross-Modal Attention</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val="0"/>
                <w:i w:val="0"/>
                <w:sz w:val="18"/>
              </w:rPr>
              <w:t>− Gated Fusion Unit</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val="0"/>
                <w:i w:val="0"/>
                <w:sz w:val="18"/>
              </w:rPr>
              <w:t>− Low-Rank Bilinear</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val="0"/>
                <w:i w:val="0"/>
                <w:sz w:val="18"/>
              </w:rPr>
              <w:t>− Importance Net（均匀 1/3）</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c>
          <w:tcPr>
            <w:tcW w:type="dxa" w:w="1568"/>
          </w:tcPr>
          <w:p>
            <w:pPr>
              <w:jc w:val="center"/>
            </w:pPr>
            <w:r/>
            <w:r>
              <w:rPr>
                <w:rFonts w:ascii="Times New Roman" w:hAnsi="Times New Roman" w:eastAsia="宋体"/>
                <w:b w:val="0"/>
                <w:i w:val="0"/>
                <w:sz w:val="18"/>
              </w:rPr>
              <w:t>___</w:t>
            </w:r>
          </w:p>
        </w:tc>
      </w:tr>
      <w:tr>
        <w:tc>
          <w:tcPr>
            <w:tcW w:type="dxa" w:w="1568"/>
          </w:tcPr>
          <w:p>
            <w:pPr>
              <w:jc w:val="center"/>
            </w:pPr>
            <w:r/>
            <w:r>
              <w:rPr>
                <w:rFonts w:ascii="Times New Roman" w:hAnsi="Times New Roman" w:eastAsia="宋体"/>
                <w:b/>
                <w:i w:val="0"/>
                <w:sz w:val="18"/>
              </w:rPr>
              <w:t>完整分层融合（本文）</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c>
          <w:tcPr>
            <w:tcW w:type="dxa" w:w="1568"/>
          </w:tcPr>
          <w:p>
            <w:pPr>
              <w:jc w:val="center"/>
            </w:pPr>
            <w:r/>
            <w:r>
              <w:rPr>
                <w:rFonts w:ascii="Times New Roman" w:hAnsi="Times New Roman" w:eastAsia="宋体"/>
                <w:b/>
                <w:i w:val="0"/>
                <w:sz w:val="18"/>
              </w:rPr>
              <w:t>___</w:t>
            </w:r>
          </w:p>
        </w:tc>
      </w:tr>
    </w:tbl>
    <w:p/>
    <w:p>
      <w:pPr>
        <w:spacing w:after="60" w:line="312" w:lineRule="auto"/>
        <w:ind w:left="283"/>
      </w:pPr>
      <w:r>
        <w:rPr>
          <w:rFonts w:ascii="Times New Roman" w:hAnsi="Times New Roman" w:eastAsia="宋体"/>
          <w:b w:val="0"/>
          <w:i/>
          <w:color w:val="5A5A5A"/>
          <w:sz w:val="19"/>
        </w:rPr>
        <w:t>消融配置见 configs/ablation/fusion_no_{cross_attn,gated,bilinear,importance_net}.yaml；批量运行脚本 scripts/run_fusion_ablation.sh；汇总脚本 scripts/summarise_fusion_ablation.py。数值将在 RTX 4090 完成 5×5 训练后填入（v4.2 迭代）。</w:t>
      </w:r>
    </w:p>
    <w:p>
      <w:pPr>
        <w:spacing w:before="240" w:after="80"/>
      </w:pPr>
      <w:r>
        <w:rPr>
          <w:rFonts w:ascii="Times New Roman" w:hAnsi="Times New Roman" w:eastAsia="宋体"/>
          <w:b/>
          <w:i w:val="0"/>
          <w:color w:val="004C80"/>
          <w:sz w:val="24"/>
        </w:rPr>
        <w:t>5.3  模型行为分析</w:t>
      </w:r>
    </w:p>
    <w:p>
      <w:pPr>
        <w:spacing w:after="60" w:line="312" w:lineRule="auto"/>
        <w:ind w:left="283"/>
      </w:pPr>
      <w:r>
        <w:rPr>
          <w:rFonts w:ascii="Times New Roman" w:hAnsi="Times New Roman" w:eastAsia="宋体"/>
          <w:b w:val="0"/>
          <w:i/>
          <w:color w:val="5A5A5A"/>
          <w:sz w:val="19"/>
        </w:rPr>
        <w:t>5.3.1 模态权重分布（Importance Network 输出）;5.3.2 典型分子案例分析;5.3.3 错误案例分析;5.3.4 UMAP 表征可视化——具体数字与图表待完成。</w:t>
      </w:r>
    </w:p>
    <w:p>
      <w:pPr>
        <w:spacing w:before="240" w:after="80"/>
      </w:pPr>
      <w:r>
        <w:rPr>
          <w:rFonts w:ascii="Times New Roman" w:hAnsi="Times New Roman" w:eastAsia="宋体"/>
          <w:b/>
          <w:i w:val="0"/>
          <w:color w:val="004C80"/>
          <w:sz w:val="24"/>
        </w:rPr>
        <w:t>5.4  Applicability Domain 感知的外部验证</w:t>
      </w:r>
    </w:p>
    <w:p>
      <w:pPr>
        <w:spacing w:after="80" w:line="360" w:lineRule="auto"/>
        <w:ind w:firstLine="420"/>
      </w:pPr>
      <w:r>
        <w:rPr>
          <w:rFonts w:ascii="Times New Roman" w:hAnsi="Times New Roman" w:eastAsia="宋体"/>
          <w:b w:val="0"/>
          <w:i w:val="0"/>
          <w:sz w:val="21"/>
        </w:rPr>
        <w:t xml:space="preserve">为评估 STG-Mol 对结构新颖分子的行为，我们在 </w:t>
      </w:r>
      <w:r>
        <w:rPr>
          <w:rFonts w:ascii="Times New Roman" w:hAnsi="Times New Roman" w:eastAsia="宋体"/>
          <w:b/>
          <w:i w:val="0"/>
          <w:sz w:val="21"/>
        </w:rPr>
        <w:t>5 个已发表的 NLRP3 抑制剂</w:t>
      </w:r>
      <w:r>
        <w:rPr>
          <w:rFonts w:ascii="Times New Roman" w:hAnsi="Times New Roman" w:eastAsia="宋体"/>
          <w:b w:val="0"/>
          <w:i w:val="0"/>
          <w:sz w:val="21"/>
        </w:rPr>
        <w:t>（MCC950、CY-09、OLT1177、Oridonin、Tranilast）上进行严格外部评估。这 5 个化合物及其 Tanimoto ≥ 0.7 邻居在训练前即被显式移除（0 exact matches, 0 near-neighbours），确保外部评估的真正独立性。</w:t>
      </w:r>
    </w:p>
    <w:p>
      <w:pPr>
        <w:spacing w:before="60" w:after="160"/>
        <w:jc w:val="center"/>
      </w:pPr>
      <w:r>
        <w:rPr>
          <w:rFonts w:ascii="Times New Roman" w:hAnsi="Times New Roman" w:eastAsia="宋体"/>
          <w:b/>
          <w:i w:val="0"/>
          <w:color w:val="323232"/>
          <w:sz w:val="19"/>
        </w:rPr>
        <w:t>表 5.5  外部评估：5 个已发表 NLRP3 抑制剂的预测结果与 Tanimoto 分析</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化合物</w:t>
            </w:r>
          </w:p>
        </w:tc>
        <w:tc>
          <w:tcPr>
            <w:tcW w:type="dxa" w:w="1568"/>
          </w:tcPr>
          <w:p>
            <w:pPr>
              <w:jc w:val="center"/>
            </w:pPr>
            <w:r/>
            <w:r>
              <w:rPr>
                <w:rFonts w:ascii="Times New Roman" w:hAnsi="Times New Roman" w:eastAsia="宋体"/>
                <w:b/>
                <w:i w:val="0"/>
                <w:sz w:val="18"/>
              </w:rPr>
              <w:t>骨架类别</w:t>
            </w:r>
          </w:p>
        </w:tc>
        <w:tc>
          <w:tcPr>
            <w:tcW w:type="dxa" w:w="1568"/>
          </w:tcPr>
          <w:p>
            <w:pPr>
              <w:jc w:val="center"/>
            </w:pPr>
            <w:r/>
            <w:r>
              <w:rPr>
                <w:rFonts w:ascii="Times New Roman" w:hAnsi="Times New Roman" w:eastAsia="宋体"/>
                <w:b/>
                <w:i w:val="0"/>
                <w:sz w:val="18"/>
              </w:rPr>
              <w:t>Nearest-NN Tanimoto</w:t>
            </w:r>
          </w:p>
        </w:tc>
        <w:tc>
          <w:tcPr>
            <w:tcW w:type="dxa" w:w="1568"/>
          </w:tcPr>
          <w:p>
            <w:pPr>
              <w:jc w:val="center"/>
            </w:pPr>
            <w:r/>
            <w:r>
              <w:rPr>
                <w:rFonts w:ascii="Times New Roman" w:hAnsi="Times New Roman" w:eastAsia="宋体"/>
                <w:b/>
                <w:i w:val="0"/>
                <w:sz w:val="18"/>
              </w:rPr>
              <w:t>Predicted Prob</w:t>
            </w:r>
          </w:p>
        </w:tc>
        <w:tc>
          <w:tcPr>
            <w:tcW w:type="dxa" w:w="1568"/>
          </w:tcPr>
          <w:p>
            <w:pPr>
              <w:jc w:val="center"/>
            </w:pPr>
            <w:r/>
            <w:r>
              <w:rPr>
                <w:rFonts w:ascii="Times New Roman" w:hAnsi="Times New Roman" w:eastAsia="宋体"/>
                <w:b/>
                <w:i w:val="0"/>
                <w:sz w:val="18"/>
              </w:rPr>
              <w:t>阈值 0.5 判定</w:t>
            </w:r>
          </w:p>
        </w:tc>
        <w:tc>
          <w:tcPr>
            <w:tcW w:type="dxa" w:w="1568"/>
          </w:tcPr>
          <w:p>
            <w:pPr>
              <w:jc w:val="center"/>
            </w:pPr>
            <w:r/>
            <w:r>
              <w:rPr>
                <w:rFonts w:ascii="Times New Roman" w:hAnsi="Times New Roman" w:eastAsia="宋体"/>
                <w:b/>
                <w:i w:val="0"/>
                <w:sz w:val="18"/>
              </w:rPr>
              <w:t>AD 类别</w:t>
            </w:r>
          </w:p>
        </w:tc>
      </w:tr>
      <w:tr>
        <w:tc>
          <w:tcPr>
            <w:tcW w:type="dxa" w:w="1568"/>
          </w:tcPr>
          <w:p>
            <w:pPr>
              <w:jc w:val="center"/>
            </w:pPr>
            <w:r/>
            <w:r>
              <w:rPr>
                <w:rFonts w:ascii="Times New Roman" w:hAnsi="Times New Roman" w:eastAsia="宋体"/>
                <w:b w:val="0"/>
                <w:i w:val="0"/>
                <w:sz w:val="18"/>
              </w:rPr>
              <w:t>MCC950</w:t>
            </w:r>
          </w:p>
        </w:tc>
        <w:tc>
          <w:tcPr>
            <w:tcW w:type="dxa" w:w="1568"/>
          </w:tcPr>
          <w:p>
            <w:pPr>
              <w:jc w:val="center"/>
            </w:pPr>
            <w:r/>
            <w:r>
              <w:rPr>
                <w:rFonts w:ascii="Times New Roman" w:hAnsi="Times New Roman" w:eastAsia="宋体"/>
                <w:b w:val="0"/>
                <w:i w:val="0"/>
                <w:sz w:val="18"/>
              </w:rPr>
              <w:t>Diarylsulfonylurea</w:t>
            </w:r>
          </w:p>
        </w:tc>
        <w:tc>
          <w:tcPr>
            <w:tcW w:type="dxa" w:w="1568"/>
          </w:tcPr>
          <w:p>
            <w:pPr>
              <w:jc w:val="center"/>
            </w:pPr>
            <w:r/>
            <w:r>
              <w:rPr>
                <w:rFonts w:ascii="Times New Roman" w:hAnsi="Times New Roman" w:eastAsia="宋体"/>
                <w:b w:val="0"/>
                <w:i w:val="0"/>
                <w:sz w:val="18"/>
              </w:rPr>
              <w:t>0.654</w:t>
            </w:r>
          </w:p>
        </w:tc>
        <w:tc>
          <w:tcPr>
            <w:tcW w:type="dxa" w:w="1568"/>
          </w:tcPr>
          <w:p>
            <w:pPr>
              <w:jc w:val="center"/>
            </w:pPr>
            <w:r/>
            <w:r>
              <w:rPr>
                <w:rFonts w:ascii="Times New Roman" w:hAnsi="Times New Roman" w:eastAsia="宋体"/>
                <w:b/>
                <w:i w:val="0"/>
                <w:sz w:val="18"/>
              </w:rPr>
              <w:t>0.853</w:t>
            </w:r>
          </w:p>
        </w:tc>
        <w:tc>
          <w:tcPr>
            <w:tcW w:type="dxa" w:w="1568"/>
          </w:tcPr>
          <w:p>
            <w:pPr>
              <w:jc w:val="center"/>
            </w:pPr>
            <w:r/>
            <w:r>
              <w:rPr>
                <w:rFonts w:ascii="Times New Roman" w:hAnsi="Times New Roman" w:eastAsia="宋体"/>
                <w:b w:val="0"/>
                <w:i w:val="0"/>
                <w:sz w:val="18"/>
              </w:rPr>
              <w:t>✓ Active</w:t>
            </w:r>
          </w:p>
        </w:tc>
        <w:tc>
          <w:tcPr>
            <w:tcW w:type="dxa" w:w="1568"/>
          </w:tcPr>
          <w:p>
            <w:pPr>
              <w:jc w:val="center"/>
            </w:pPr>
            <w:r/>
            <w:r>
              <w:rPr>
                <w:rFonts w:ascii="Times New Roman" w:hAnsi="Times New Roman" w:eastAsia="宋体"/>
                <w:b w:val="0"/>
                <w:i w:val="0"/>
                <w:sz w:val="18"/>
              </w:rPr>
              <w:t>in-AD</w:t>
            </w:r>
          </w:p>
        </w:tc>
      </w:tr>
      <w:tr>
        <w:tc>
          <w:tcPr>
            <w:tcW w:type="dxa" w:w="1568"/>
          </w:tcPr>
          <w:p>
            <w:pPr>
              <w:jc w:val="center"/>
            </w:pPr>
            <w:r/>
            <w:r>
              <w:rPr>
                <w:rFonts w:ascii="Times New Roman" w:hAnsi="Times New Roman" w:eastAsia="宋体"/>
                <w:b w:val="0"/>
                <w:i w:val="0"/>
                <w:sz w:val="18"/>
              </w:rPr>
              <w:t>CY-09</w:t>
            </w:r>
          </w:p>
        </w:tc>
        <w:tc>
          <w:tcPr>
            <w:tcW w:type="dxa" w:w="1568"/>
          </w:tcPr>
          <w:p>
            <w:pPr>
              <w:jc w:val="center"/>
            </w:pPr>
            <w:r/>
            <w:r>
              <w:rPr>
                <w:rFonts w:ascii="Times New Roman" w:hAnsi="Times New Roman" w:eastAsia="宋体"/>
                <w:b w:val="0"/>
                <w:i w:val="0"/>
                <w:sz w:val="18"/>
              </w:rPr>
              <w:t>Thiourea</w:t>
            </w:r>
          </w:p>
        </w:tc>
        <w:tc>
          <w:tcPr>
            <w:tcW w:type="dxa" w:w="1568"/>
          </w:tcPr>
          <w:p>
            <w:pPr>
              <w:jc w:val="center"/>
            </w:pPr>
            <w:r/>
            <w:r>
              <w:rPr>
                <w:rFonts w:ascii="Times New Roman" w:hAnsi="Times New Roman" w:eastAsia="宋体"/>
                <w:b w:val="0"/>
                <w:i w:val="0"/>
                <w:sz w:val="18"/>
              </w:rPr>
              <w:t>0.373</w:t>
            </w:r>
          </w:p>
        </w:tc>
        <w:tc>
          <w:tcPr>
            <w:tcW w:type="dxa" w:w="1568"/>
          </w:tcPr>
          <w:p>
            <w:pPr>
              <w:jc w:val="center"/>
            </w:pPr>
            <w:r/>
            <w:r>
              <w:rPr>
                <w:rFonts w:ascii="Times New Roman" w:hAnsi="Times New Roman" w:eastAsia="宋体"/>
                <w:b/>
                <w:i w:val="0"/>
                <w:sz w:val="18"/>
              </w:rPr>
              <w:t>0.537</w:t>
            </w:r>
          </w:p>
        </w:tc>
        <w:tc>
          <w:tcPr>
            <w:tcW w:type="dxa" w:w="1568"/>
          </w:tcPr>
          <w:p>
            <w:pPr>
              <w:jc w:val="center"/>
            </w:pPr>
            <w:r/>
            <w:r>
              <w:rPr>
                <w:rFonts w:ascii="Times New Roman" w:hAnsi="Times New Roman" w:eastAsia="宋体"/>
                <w:b w:val="0"/>
                <w:i w:val="0"/>
                <w:sz w:val="18"/>
              </w:rPr>
              <w:t>✓ Active</w:t>
            </w:r>
          </w:p>
        </w:tc>
        <w:tc>
          <w:tcPr>
            <w:tcW w:type="dxa" w:w="1568"/>
          </w:tcPr>
          <w:p>
            <w:pPr>
              <w:jc w:val="center"/>
            </w:pPr>
            <w:r/>
            <w:r>
              <w:rPr>
                <w:rFonts w:ascii="Times New Roman" w:hAnsi="Times New Roman" w:eastAsia="宋体"/>
                <w:b w:val="0"/>
                <w:i w:val="0"/>
                <w:sz w:val="18"/>
              </w:rPr>
              <w:t>边界</w:t>
            </w:r>
          </w:p>
        </w:tc>
      </w:tr>
      <w:tr>
        <w:tc>
          <w:tcPr>
            <w:tcW w:type="dxa" w:w="1568"/>
          </w:tcPr>
          <w:p>
            <w:pPr>
              <w:jc w:val="center"/>
            </w:pPr>
            <w:r/>
            <w:r>
              <w:rPr>
                <w:rFonts w:ascii="Times New Roman" w:hAnsi="Times New Roman" w:eastAsia="宋体"/>
                <w:b w:val="0"/>
                <w:i w:val="0"/>
                <w:sz w:val="18"/>
              </w:rPr>
              <w:t>Tranilast</w:t>
            </w:r>
          </w:p>
        </w:tc>
        <w:tc>
          <w:tcPr>
            <w:tcW w:type="dxa" w:w="1568"/>
          </w:tcPr>
          <w:p>
            <w:pPr>
              <w:jc w:val="center"/>
            </w:pPr>
            <w:r/>
            <w:r>
              <w:rPr>
                <w:rFonts w:ascii="Times New Roman" w:hAnsi="Times New Roman" w:eastAsia="宋体"/>
                <w:b w:val="0"/>
                <w:i w:val="0"/>
                <w:sz w:val="18"/>
              </w:rPr>
              <w:t>Cinnamamide</w:t>
            </w:r>
          </w:p>
        </w:tc>
        <w:tc>
          <w:tcPr>
            <w:tcW w:type="dxa" w:w="1568"/>
          </w:tcPr>
          <w:p>
            <w:pPr>
              <w:jc w:val="center"/>
            </w:pPr>
            <w:r/>
            <w:r>
              <w:rPr>
                <w:rFonts w:ascii="Times New Roman" w:hAnsi="Times New Roman" w:eastAsia="宋体"/>
                <w:b w:val="0"/>
                <w:i w:val="0"/>
                <w:sz w:val="18"/>
              </w:rPr>
              <w:t>0.404</w:t>
            </w:r>
          </w:p>
        </w:tc>
        <w:tc>
          <w:tcPr>
            <w:tcW w:type="dxa" w:w="1568"/>
          </w:tcPr>
          <w:p>
            <w:pPr>
              <w:jc w:val="center"/>
            </w:pPr>
            <w:r/>
            <w:r>
              <w:rPr>
                <w:rFonts w:ascii="Times New Roman" w:hAnsi="Times New Roman" w:eastAsia="宋体"/>
                <w:b w:val="0"/>
                <w:i w:val="0"/>
                <w:sz w:val="18"/>
              </w:rPr>
              <w:t>0.357</w:t>
            </w:r>
          </w:p>
        </w:tc>
        <w:tc>
          <w:tcPr>
            <w:tcW w:type="dxa" w:w="1568"/>
          </w:tcPr>
          <w:p>
            <w:pPr>
              <w:jc w:val="center"/>
            </w:pPr>
            <w:r/>
            <w:r>
              <w:rPr>
                <w:rFonts w:ascii="Times New Roman" w:hAnsi="Times New Roman" w:eastAsia="宋体"/>
                <w:b w:val="0"/>
                <w:i w:val="0"/>
                <w:sz w:val="18"/>
              </w:rPr>
              <w:t>✗ 漏检</w:t>
            </w:r>
          </w:p>
        </w:tc>
        <w:tc>
          <w:tcPr>
            <w:tcW w:type="dxa" w:w="1568"/>
          </w:tcPr>
          <w:p>
            <w:pPr>
              <w:jc w:val="center"/>
            </w:pPr>
            <w:r/>
            <w:r>
              <w:rPr>
                <w:rFonts w:ascii="Times New Roman" w:hAnsi="Times New Roman" w:eastAsia="宋体"/>
                <w:b w:val="0"/>
                <w:i w:val="0"/>
                <w:sz w:val="18"/>
              </w:rPr>
              <w:t>borderline OOD</w:t>
            </w:r>
          </w:p>
        </w:tc>
      </w:tr>
      <w:tr>
        <w:tc>
          <w:tcPr>
            <w:tcW w:type="dxa" w:w="1568"/>
          </w:tcPr>
          <w:p>
            <w:pPr>
              <w:jc w:val="center"/>
            </w:pPr>
            <w:r/>
            <w:r>
              <w:rPr>
                <w:rFonts w:ascii="Times New Roman" w:hAnsi="Times New Roman" w:eastAsia="宋体"/>
                <w:b w:val="0"/>
                <w:i w:val="0"/>
                <w:sz w:val="18"/>
              </w:rPr>
              <w:t>OLT1177</w:t>
            </w:r>
          </w:p>
        </w:tc>
        <w:tc>
          <w:tcPr>
            <w:tcW w:type="dxa" w:w="1568"/>
          </w:tcPr>
          <w:p>
            <w:pPr>
              <w:jc w:val="center"/>
            </w:pPr>
            <w:r/>
            <w:r>
              <w:rPr>
                <w:rFonts w:ascii="Times New Roman" w:hAnsi="Times New Roman" w:eastAsia="宋体"/>
                <w:b w:val="0"/>
                <w:i w:val="0"/>
                <w:sz w:val="18"/>
              </w:rPr>
              <w:t>β-Sulfonyl nitrile</w:t>
            </w:r>
          </w:p>
        </w:tc>
        <w:tc>
          <w:tcPr>
            <w:tcW w:type="dxa" w:w="1568"/>
          </w:tcPr>
          <w:p>
            <w:pPr>
              <w:jc w:val="center"/>
            </w:pPr>
            <w:r/>
            <w:r>
              <w:rPr>
                <w:rFonts w:ascii="Times New Roman" w:hAnsi="Times New Roman" w:eastAsia="宋体"/>
                <w:b w:val="0"/>
                <w:i w:val="0"/>
                <w:sz w:val="18"/>
              </w:rPr>
              <w:t>0.238</w:t>
            </w:r>
          </w:p>
        </w:tc>
        <w:tc>
          <w:tcPr>
            <w:tcW w:type="dxa" w:w="1568"/>
          </w:tcPr>
          <w:p>
            <w:pPr>
              <w:jc w:val="center"/>
            </w:pPr>
            <w:r/>
            <w:r>
              <w:rPr>
                <w:rFonts w:ascii="Times New Roman" w:hAnsi="Times New Roman" w:eastAsia="宋体"/>
                <w:b w:val="0"/>
                <w:i w:val="0"/>
                <w:sz w:val="18"/>
              </w:rPr>
              <w:t>0.052</w:t>
            </w:r>
          </w:p>
        </w:tc>
        <w:tc>
          <w:tcPr>
            <w:tcW w:type="dxa" w:w="1568"/>
          </w:tcPr>
          <w:p>
            <w:pPr>
              <w:jc w:val="center"/>
            </w:pPr>
            <w:r/>
            <w:r>
              <w:rPr>
                <w:rFonts w:ascii="Times New Roman" w:hAnsi="Times New Roman" w:eastAsia="宋体"/>
                <w:b w:val="0"/>
                <w:i w:val="0"/>
                <w:sz w:val="18"/>
              </w:rPr>
              <w:t>✗ 漏检</w:t>
            </w:r>
          </w:p>
        </w:tc>
        <w:tc>
          <w:tcPr>
            <w:tcW w:type="dxa" w:w="1568"/>
          </w:tcPr>
          <w:p>
            <w:pPr>
              <w:jc w:val="center"/>
            </w:pPr>
            <w:r/>
            <w:r>
              <w:rPr>
                <w:rFonts w:ascii="Times New Roman" w:hAnsi="Times New Roman" w:eastAsia="宋体"/>
                <w:b w:val="0"/>
                <w:i w:val="0"/>
                <w:sz w:val="18"/>
              </w:rPr>
              <w:t>deep OOD</w:t>
            </w:r>
          </w:p>
        </w:tc>
      </w:tr>
      <w:tr>
        <w:tc>
          <w:tcPr>
            <w:tcW w:type="dxa" w:w="1568"/>
          </w:tcPr>
          <w:p>
            <w:pPr>
              <w:jc w:val="center"/>
            </w:pPr>
            <w:r/>
            <w:r>
              <w:rPr>
                <w:rFonts w:ascii="Times New Roman" w:hAnsi="Times New Roman" w:eastAsia="宋体"/>
                <w:b w:val="0"/>
                <w:i w:val="0"/>
                <w:sz w:val="18"/>
              </w:rPr>
              <w:t>Oridonin</w:t>
            </w:r>
          </w:p>
        </w:tc>
        <w:tc>
          <w:tcPr>
            <w:tcW w:type="dxa" w:w="1568"/>
          </w:tcPr>
          <w:p>
            <w:pPr>
              <w:jc w:val="center"/>
            </w:pPr>
            <w:r/>
            <w:r>
              <w:rPr>
                <w:rFonts w:ascii="Times New Roman" w:hAnsi="Times New Roman" w:eastAsia="宋体"/>
                <w:b w:val="0"/>
                <w:i w:val="0"/>
                <w:sz w:val="18"/>
              </w:rPr>
              <w:t>Terpenoid natural product</w:t>
            </w:r>
          </w:p>
        </w:tc>
        <w:tc>
          <w:tcPr>
            <w:tcW w:type="dxa" w:w="1568"/>
          </w:tcPr>
          <w:p>
            <w:pPr>
              <w:jc w:val="center"/>
            </w:pPr>
            <w:r/>
            <w:r>
              <w:rPr>
                <w:rFonts w:ascii="Times New Roman" w:hAnsi="Times New Roman" w:eastAsia="宋体"/>
                <w:b w:val="0"/>
                <w:i w:val="0"/>
                <w:sz w:val="18"/>
              </w:rPr>
              <w:t>0.218</w:t>
            </w:r>
          </w:p>
        </w:tc>
        <w:tc>
          <w:tcPr>
            <w:tcW w:type="dxa" w:w="1568"/>
          </w:tcPr>
          <w:p>
            <w:pPr>
              <w:jc w:val="center"/>
            </w:pPr>
            <w:r/>
            <w:r>
              <w:rPr>
                <w:rFonts w:ascii="Times New Roman" w:hAnsi="Times New Roman" w:eastAsia="宋体"/>
                <w:b w:val="0"/>
                <w:i w:val="0"/>
                <w:sz w:val="18"/>
              </w:rPr>
              <w:t>0.064</w:t>
            </w:r>
          </w:p>
        </w:tc>
        <w:tc>
          <w:tcPr>
            <w:tcW w:type="dxa" w:w="1568"/>
          </w:tcPr>
          <w:p>
            <w:pPr>
              <w:jc w:val="center"/>
            </w:pPr>
            <w:r/>
            <w:r>
              <w:rPr>
                <w:rFonts w:ascii="Times New Roman" w:hAnsi="Times New Roman" w:eastAsia="宋体"/>
                <w:b w:val="0"/>
                <w:i w:val="0"/>
                <w:sz w:val="18"/>
              </w:rPr>
              <w:t>✗ 漏检</w:t>
            </w:r>
          </w:p>
        </w:tc>
        <w:tc>
          <w:tcPr>
            <w:tcW w:type="dxa" w:w="1568"/>
          </w:tcPr>
          <w:p>
            <w:pPr>
              <w:jc w:val="center"/>
            </w:pPr>
            <w:r/>
            <w:r>
              <w:rPr>
                <w:rFonts w:ascii="Times New Roman" w:hAnsi="Times New Roman" w:eastAsia="宋体"/>
                <w:b w:val="0"/>
                <w:i w:val="0"/>
                <w:sz w:val="18"/>
              </w:rPr>
              <w:t>deep OOD</w:t>
            </w:r>
          </w:p>
        </w:tc>
      </w:tr>
    </w:tbl>
    <w:p/>
    <w:p>
      <w:pPr>
        <w:spacing w:after="60" w:line="312" w:lineRule="auto"/>
        <w:ind w:left="283"/>
      </w:pPr>
      <w:r>
        <w:rPr>
          <w:rFonts w:ascii="Times New Roman" w:hAnsi="Times New Roman" w:eastAsia="宋体"/>
          <w:b w:val="0"/>
          <w:i/>
          <w:color w:val="5A5A5A"/>
          <w:sz w:val="19"/>
        </w:rPr>
        <w:t>注：所有 5 个化合物均在训练/验证/测试集中零匹配，Tanimoto ≥ 0.7 的邻居分子亦被移除。Predicted Prob 为 V3-random 5-seed 集成模型输出的活性概率；V3-scaffold 协议下呈现相同的定性模式（补充材料 S4）。</w:t>
      </w:r>
    </w:p>
    <w:p>
      <w:pPr>
        <w:spacing w:after="80" w:line="360" w:lineRule="auto"/>
        <w:ind w:firstLine="420"/>
      </w:pPr>
      <w:r>
        <w:rPr>
          <w:rFonts w:ascii="Times New Roman" w:hAnsi="Times New Roman" w:eastAsia="宋体"/>
          <w:b/>
          <w:i w:val="0"/>
          <w:sz w:val="21"/>
        </w:rPr>
        <w:t>结果：召回与 AD 结构</w:t>
      </w:r>
      <w:r>
        <w:rPr>
          <w:rFonts w:ascii="Times New Roman" w:hAnsi="Times New Roman" w:eastAsia="宋体"/>
          <w:b w:val="0"/>
          <w:i w:val="0"/>
          <w:sz w:val="21"/>
        </w:rPr>
        <w:t xml:space="preserve">。在默认操作阈值 T = 0.5 下，STG-Mol 正确召回 5 个外部抑制剂中的 </w:t>
      </w:r>
      <w:r>
        <w:rPr>
          <w:rFonts w:ascii="Times New Roman" w:hAnsi="Times New Roman" w:eastAsia="宋体"/>
          <w:b/>
          <w:i w:val="0"/>
          <w:sz w:val="21"/>
        </w:rPr>
        <w:t>2 个</w:t>
      </w:r>
      <w:r>
        <w:rPr>
          <w:rFonts w:ascii="Times New Roman" w:hAnsi="Times New Roman" w:eastAsia="宋体"/>
          <w:b w:val="0"/>
          <w:i w:val="0"/>
          <w:sz w:val="21"/>
        </w:rPr>
        <w:t>：MCC950（prob 0.853）与 CY-09（prob 0.537）。另外 3 个化合物——Tranilast (0.357)、OLT1177 (0.052)、Oridonin (0.064)——未通过阈值。预测概率与最近邻 Tanimoto 相似度呈单调关系（Spearman ρ ≈ 1.0），表明模型的置信度受其相对于训练分布的化学距离结构性调节：对训练分布内的骨架给出高置信度，对结构远离的骨架给出低置信度。</w:t>
      </w:r>
    </w:p>
    <w:p>
      <w:pPr>
        <w:spacing w:after="80" w:line="360" w:lineRule="auto"/>
        <w:ind w:firstLine="420"/>
      </w:pPr>
      <w:r>
        <w:rPr>
          <w:rFonts w:ascii="Times New Roman" w:hAnsi="Times New Roman" w:eastAsia="宋体"/>
          <w:b/>
          <w:i w:val="0"/>
          <w:sz w:val="21"/>
        </w:rPr>
        <w:t>诚实解读</w:t>
      </w:r>
      <w:r>
        <w:rPr>
          <w:rFonts w:ascii="Times New Roman" w:hAnsi="Times New Roman" w:eastAsia="宋体"/>
          <w:b w:val="0"/>
          <w:i w:val="0"/>
          <w:sz w:val="21"/>
        </w:rPr>
        <w:t>：我们将 2/5 的外部召回率视为</w:t>
      </w:r>
      <w:r>
        <w:rPr>
          <w:rFonts w:ascii="Times New Roman" w:hAnsi="Times New Roman" w:eastAsia="宋体"/>
          <w:b/>
          <w:i w:val="0"/>
          <w:sz w:val="21"/>
        </w:rPr>
        <w:t>基于当前公开 NLRP3 语料训练的任何单靶点 QSAR 模型的应用域固有限制</w:t>
      </w:r>
      <w:r>
        <w:rPr>
          <w:rFonts w:ascii="Times New Roman" w:hAnsi="Times New Roman" w:eastAsia="宋体"/>
          <w:b w:val="0"/>
          <w:i w:val="0"/>
          <w:sz w:val="21"/>
        </w:rPr>
        <w:t>，而非 STG-Mol 架构本身的缺陷。公开 NLRP3 SAR 数据的 80% 以上来自少数医学化学项目，且以 diarylsulfonylurea 类（Inflazome / Novartis / MCC950 类似物）为主导；β-磺酰腈（OLT1177）、肉桂酰胺（Tranilast）、萜类天然产物（Oridonin）各仅有少量代表分子。因此</w:t>
      </w:r>
      <w:r>
        <w:rPr>
          <w:rFonts w:ascii="Times New Roman" w:hAnsi="Times New Roman" w:eastAsia="宋体"/>
          <w:b/>
          <w:i w:val="0"/>
          <w:sz w:val="21"/>
        </w:rPr>
        <w:t>任何纯数据驱动的模型</w:t>
      </w:r>
      <w:r>
        <w:rPr>
          <w:rFonts w:ascii="Times New Roman" w:hAnsi="Times New Roman" w:eastAsia="宋体"/>
          <w:b w:val="0"/>
          <w:i w:val="0"/>
          <w:sz w:val="21"/>
        </w:rPr>
        <w:t>——无论架构如何——都会对训练覆盖之外的骨架给出低置信度。前瞻性召回此类分子需要更丰富的训练数据或针对 OOD 骨架的正交搜索策略。</w:t>
      </w:r>
    </w:p>
    <w:p>
      <w:pPr>
        <w:spacing w:after="80" w:line="360" w:lineRule="auto"/>
        <w:ind w:firstLine="420"/>
      </w:pPr>
      <w:r>
        <w:rPr>
          <w:rFonts w:ascii="Times New Roman" w:hAnsi="Times New Roman" w:eastAsia="宋体"/>
          <w:b/>
          <w:i w:val="0"/>
          <w:sz w:val="21"/>
        </w:rPr>
        <w:t>部署建议——AD-gated 筛选方案</w:t>
      </w:r>
      <w:r>
        <w:rPr>
          <w:rFonts w:ascii="Times New Roman" w:hAnsi="Times New Roman" w:eastAsia="宋体"/>
          <w:b w:val="0"/>
          <w:i w:val="0"/>
          <w:sz w:val="21"/>
        </w:rPr>
        <w:t>。据此，我们建议将 STG-Mol 部署为</w:t>
      </w:r>
      <w:r>
        <w:rPr>
          <w:rFonts w:ascii="Times New Roman" w:hAnsi="Times New Roman" w:eastAsia="宋体"/>
          <w:b/>
          <w:i w:val="0"/>
          <w:sz w:val="21"/>
        </w:rPr>
        <w:t>AD 内筛选器</w:t>
      </w:r>
      <w:r>
        <w:rPr>
          <w:rFonts w:ascii="Times New Roman" w:hAnsi="Times New Roman" w:eastAsia="宋体"/>
          <w:b w:val="0"/>
          <w:i w:val="0"/>
          <w:sz w:val="21"/>
        </w:rPr>
        <w:t>，并配合互补的 OOD 通道。具体地，前瞻性筛选流程应：(i) 对每个库分子计算其到训练集的最近邻 Tanimoto；(ii) 将 AD 内分子（Tanimoto ≥ 0.4）交由 STG-Mol 分类器排序；(iii) 对深度 OOD 分子（Tanimoto &lt; 0.4）平行执行针对 5 个外部抑制剂的配体相似度搜索并结合药效团过滤。这样的 AD-gated 协议将把朴素读者眼中的"3/5 漏检"转化为</w:t>
      </w:r>
      <w:r>
        <w:rPr>
          <w:rFonts w:ascii="Times New Roman" w:hAnsi="Times New Roman" w:eastAsia="宋体"/>
          <w:b/>
          <w:i w:val="0"/>
          <w:sz w:val="21"/>
        </w:rPr>
        <w:t>透明的、结构化的部署边界</w:t>
      </w:r>
      <w:r>
        <w:rPr>
          <w:rFonts w:ascii="Times New Roman" w:hAnsi="Times New Roman" w:eastAsia="宋体"/>
          <w:b w:val="0"/>
          <w:i w:val="0"/>
          <w:sz w:val="21"/>
        </w:rPr>
        <w:t>：在 AD 内，STG-Mol 的高置信预测值得信赖；在 AD 外，框架拒绝给出高置信度并转向正交证据。</w:t>
      </w:r>
      <w:r>
        <w:rPr>
          <w:rFonts w:ascii="Times New Roman" w:hAnsi="Times New Roman" w:eastAsia="宋体"/>
          <w:b/>
          <w:i w:val="0"/>
          <w:sz w:val="21"/>
        </w:rPr>
        <w:t>适用范围说明</w:t>
      </w:r>
      <w:r>
        <w:rPr>
          <w:rFonts w:ascii="Times New Roman" w:hAnsi="Times New Roman" w:eastAsia="宋体"/>
          <w:b w:val="0"/>
          <w:i w:val="0"/>
          <w:sz w:val="21"/>
        </w:rPr>
        <w:t>：第 5.5 节所报告的大规模筛选先于本建议完成，未显式采用 AD 门控——其识别的 8 个候选（表 5.7）因而均为 deep OOD（平均 Tanimoto 0.251，全部 &lt; 0.4）；其 5.6.1–5.6.5 节的计算验证应与本 AD 警示同读，而非视为"AD 内筛选性能"的展示。将 AD 门控加入级联流程与前瞻性湿实验验证已列入下一次迭代（第 6.5 节）。</w:t>
      </w:r>
    </w:p>
    <w:p>
      <w:pPr>
        <w:spacing w:after="80" w:line="360" w:lineRule="auto"/>
        <w:ind w:firstLine="420"/>
      </w:pPr>
      <w:r>
        <w:rPr>
          <w:rFonts w:ascii="Times New Roman" w:hAnsi="Times New Roman" w:eastAsia="宋体"/>
          <w:b/>
          <w:i w:val="0"/>
          <w:sz w:val="21"/>
        </w:rPr>
        <w:t>敏感性分析</w:t>
      </w:r>
      <w:r>
        <w:rPr>
          <w:rFonts w:ascii="Times New Roman" w:hAnsi="Times New Roman" w:eastAsia="宋体"/>
          <w:b w:val="0"/>
          <w:i w:val="0"/>
          <w:sz w:val="21"/>
        </w:rPr>
        <w:t>：将操作阈值降至 T = 0.35 可召回 Tranilast (prob 0.357)，使外部召回率提升至 3/5，代价是内部测试集精度下降约 4 个百分点。OLT1177 与 Oridonin 在任何保留可用精度的操作阈值下均无法召回，符合其深度 OOD 状态。完整的阈值—召回曲线见补充材料 S5。</w:t>
      </w:r>
    </w:p>
    <w:p>
      <w:pPr>
        <w:spacing w:before="240" w:after="80"/>
      </w:pPr>
      <w:r>
        <w:rPr>
          <w:rFonts w:ascii="Times New Roman" w:hAnsi="Times New Roman" w:eastAsia="宋体"/>
          <w:b/>
          <w:i w:val="0"/>
          <w:color w:val="004C80"/>
          <w:sz w:val="24"/>
        </w:rPr>
        <w:t>5.5  大规模虚拟筛选实证</w:t>
      </w:r>
    </w:p>
    <w:p>
      <w:pPr>
        <w:spacing w:after="80" w:line="360" w:lineRule="auto"/>
        <w:ind w:firstLine="420"/>
      </w:pPr>
      <w:r>
        <w:rPr>
          <w:rFonts w:ascii="Times New Roman" w:hAnsi="Times New Roman" w:eastAsia="宋体"/>
          <w:b w:val="0"/>
          <w:i w:val="0"/>
          <w:sz w:val="21"/>
        </w:rPr>
        <w:t xml:space="preserve">将 STG-Mol 双精度级联筛选架构应用于 ZINC [63] 数据库 </w:t>
      </w:r>
      <w:r>
        <w:rPr>
          <w:rFonts w:ascii="Times New Roman" w:hAnsi="Times New Roman" w:eastAsia="宋体"/>
          <w:b/>
          <w:i w:val="0"/>
          <w:sz w:val="21"/>
        </w:rPr>
        <w:t>880 万分子</w:t>
      </w:r>
      <w:r>
        <w:rPr>
          <w:rFonts w:ascii="Times New Roman" w:hAnsi="Times New Roman" w:eastAsia="宋体"/>
          <w:b w:val="0"/>
          <w:i w:val="0"/>
          <w:sz w:val="21"/>
        </w:rPr>
        <w:t xml:space="preserve">（Drug-like subset）。经过 Stage 0 规则过滤（Lipinski [68] + Veber + PAINS [70]）、Stage 1 (1D+2D) 快速粗筛、Stage 2 (1D+2D+3D) 完整精筛，以及基于 Butina [76] 聚类的多样性去冗余，最终获得 </w:t>
      </w:r>
      <w:r>
        <w:rPr>
          <w:rFonts w:ascii="Times New Roman" w:hAnsi="Times New Roman" w:eastAsia="宋体"/>
          <w:b/>
          <w:i w:val="0"/>
          <w:sz w:val="21"/>
        </w:rPr>
        <w:t>142 个代表性候选分子</w:t>
      </w:r>
      <w:r>
        <w:rPr>
          <w:rFonts w:ascii="Times New Roman" w:hAnsi="Times New Roman" w:eastAsia="宋体"/>
          <w:b w:val="0"/>
          <w:i w:val="0"/>
          <w:sz w:val="21"/>
        </w:rPr>
        <w:t xml:space="preserve">。经过 AutoDock Vina [56] 半柔性对接（受体：NLRP3 NACHT 结构域；对接盒中心：186.818, 198.697, 127.866；盒大小 25×25×25 Å；exhaustiveness=16），设定结合能阈值 ≤ -8.4 kcal/mol 并结合 ADMET 综合评分加权排序，优选出 </w:t>
      </w:r>
      <w:r>
        <w:rPr>
          <w:rFonts w:ascii="Times New Roman" w:hAnsi="Times New Roman" w:eastAsia="宋体"/>
          <w:b/>
          <w:i w:val="0"/>
          <w:sz w:val="21"/>
        </w:rPr>
        <w:t>8 个候选化合物</w:t>
      </w:r>
      <w:r>
        <w:rPr>
          <w:rFonts w:ascii="Times New Roman" w:hAnsi="Times New Roman" w:eastAsia="宋体"/>
          <w:b w:val="0"/>
          <w:i w:val="0"/>
          <w:sz w:val="21"/>
        </w:rPr>
        <w:t xml:space="preserve"> 进入多层次计算验证。</w:t>
      </w:r>
    </w:p>
    <w:p>
      <w:pPr>
        <w:spacing w:before="240" w:after="80"/>
      </w:pPr>
      <w:r>
        <w:rPr>
          <w:rFonts w:ascii="Times New Roman" w:hAnsi="Times New Roman" w:eastAsia="宋体"/>
          <w:b/>
          <w:i w:val="0"/>
          <w:color w:val="004C80"/>
          <w:sz w:val="24"/>
        </w:rPr>
        <w:t>5.6  候选化合物多层次计算验证</w:t>
      </w:r>
    </w:p>
    <w:p>
      <w:pPr>
        <w:spacing w:before="160" w:after="40"/>
      </w:pPr>
      <w:r>
        <w:rPr>
          <w:rFonts w:ascii="Times New Roman" w:hAnsi="Times New Roman" w:eastAsia="宋体"/>
          <w:b/>
          <w:i w:val="0"/>
          <w:color w:val="1F4E79"/>
          <w:sz w:val="22"/>
        </w:rPr>
        <w:t>5.6.1  AutoDock Vina 分子对接</w:t>
      </w:r>
    </w:p>
    <w:p>
      <w:pPr>
        <w:spacing w:before="60" w:after="160"/>
        <w:jc w:val="center"/>
      </w:pPr>
      <w:r>
        <w:rPr>
          <w:rFonts w:ascii="Times New Roman" w:hAnsi="Times New Roman" w:eastAsia="宋体"/>
          <w:b/>
          <w:i w:val="0"/>
          <w:color w:val="323232"/>
          <w:sz w:val="19"/>
        </w:rPr>
        <w:t>表 5.6  8 个候选化合物的分子对接与结合位点信息</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宋体"/>
                <w:b/>
                <w:i w:val="0"/>
                <w:sz w:val="18"/>
              </w:rPr>
              <w:t>化合物</w:t>
            </w:r>
          </w:p>
        </w:tc>
        <w:tc>
          <w:tcPr>
            <w:tcW w:type="dxa" w:w="2351"/>
          </w:tcPr>
          <w:p>
            <w:pPr>
              <w:jc w:val="center"/>
            </w:pPr>
            <w:r/>
            <w:r>
              <w:rPr>
                <w:rFonts w:ascii="Times New Roman" w:hAnsi="Times New Roman" w:eastAsia="宋体"/>
                <w:b/>
                <w:i w:val="0"/>
                <w:sz w:val="18"/>
              </w:rPr>
              <w:t>Vina ΔG (kcal/mol)</w:t>
            </w:r>
          </w:p>
        </w:tc>
        <w:tc>
          <w:tcPr>
            <w:tcW w:type="dxa" w:w="2351"/>
          </w:tcPr>
          <w:p>
            <w:pPr>
              <w:jc w:val="center"/>
            </w:pPr>
            <w:r/>
            <w:r>
              <w:rPr>
                <w:rFonts w:ascii="Times New Roman" w:hAnsi="Times New Roman" w:eastAsia="宋体"/>
                <w:b/>
                <w:i w:val="0"/>
                <w:sz w:val="18"/>
              </w:rPr>
              <w:t>关键相互作用残基</w:t>
            </w:r>
          </w:p>
        </w:tc>
        <w:tc>
          <w:tcPr>
            <w:tcW w:type="dxa" w:w="2351"/>
          </w:tcPr>
          <w:p>
            <w:pPr>
              <w:jc w:val="center"/>
            </w:pPr>
            <w:r/>
            <w:r>
              <w:rPr>
                <w:rFonts w:ascii="Times New Roman" w:hAnsi="Times New Roman" w:eastAsia="宋体"/>
                <w:b/>
                <w:i w:val="0"/>
                <w:sz w:val="18"/>
              </w:rPr>
              <w:t>结合模式</w:t>
            </w:r>
          </w:p>
        </w:tc>
      </w:tr>
      <w:tr>
        <w:tc>
          <w:tcPr>
            <w:tcW w:type="dxa" w:w="2351"/>
          </w:tcPr>
          <w:p>
            <w:pPr>
              <w:jc w:val="center"/>
            </w:pPr>
            <w:r/>
            <w:r>
              <w:rPr>
                <w:rFonts w:ascii="Times New Roman" w:hAnsi="Times New Roman" w:eastAsia="宋体"/>
                <w:b w:val="0"/>
                <w:i w:val="0"/>
                <w:sz w:val="18"/>
              </w:rPr>
              <w:t>Compound 1</w:t>
            </w:r>
          </w:p>
        </w:tc>
        <w:tc>
          <w:tcPr>
            <w:tcW w:type="dxa" w:w="2351"/>
          </w:tcPr>
          <w:p>
            <w:pPr>
              <w:jc w:val="center"/>
            </w:pPr>
            <w:r/>
            <w:r>
              <w:rPr>
                <w:rFonts w:ascii="Times New Roman" w:hAnsi="Times New Roman" w:eastAsia="宋体"/>
                <w:b/>
                <w:i w:val="0"/>
                <w:sz w:val="18"/>
              </w:rPr>
              <w:t>-9.628</w:t>
            </w:r>
          </w:p>
        </w:tc>
        <w:tc>
          <w:tcPr>
            <w:tcW w:type="dxa" w:w="2351"/>
          </w:tcPr>
          <w:p>
            <w:pPr>
              <w:jc w:val="center"/>
            </w:pPr>
            <w:r/>
            <w:r>
              <w:rPr>
                <w:rFonts w:ascii="Times New Roman" w:hAnsi="Times New Roman" w:eastAsia="宋体"/>
                <w:b w:val="0"/>
                <w:i w:val="0"/>
                <w:sz w:val="18"/>
              </w:rPr>
              <w:t>Lys232, Asp305</w:t>
            </w:r>
          </w:p>
        </w:tc>
        <w:tc>
          <w:tcPr>
            <w:tcW w:type="dxa" w:w="2351"/>
          </w:tcPr>
          <w:p>
            <w:pPr>
              <w:jc w:val="center"/>
            </w:pPr>
            <w:r/>
            <w:r>
              <w:rPr>
                <w:rFonts w:ascii="Times New Roman" w:hAnsi="Times New Roman" w:eastAsia="宋体"/>
                <w:b w:val="0"/>
                <w:i w:val="0"/>
                <w:sz w:val="18"/>
              </w:rPr>
              <w:t>H-bond + hydrophobic</w:t>
            </w:r>
          </w:p>
        </w:tc>
      </w:tr>
      <w:tr>
        <w:tc>
          <w:tcPr>
            <w:tcW w:type="dxa" w:w="2351"/>
          </w:tcPr>
          <w:p>
            <w:pPr>
              <w:jc w:val="center"/>
            </w:pPr>
            <w:r/>
            <w:r>
              <w:rPr>
                <w:rFonts w:ascii="Times New Roman" w:hAnsi="Times New Roman" w:eastAsia="宋体"/>
                <w:b w:val="0"/>
                <w:i w:val="0"/>
                <w:sz w:val="18"/>
              </w:rPr>
              <w:t>Compound 2</w:t>
            </w:r>
          </w:p>
        </w:tc>
        <w:tc>
          <w:tcPr>
            <w:tcW w:type="dxa" w:w="2351"/>
          </w:tcPr>
          <w:p>
            <w:pPr>
              <w:jc w:val="center"/>
            </w:pPr>
            <w:r/>
            <w:r>
              <w:rPr>
                <w:rFonts w:ascii="Times New Roman" w:hAnsi="Times New Roman" w:eastAsia="宋体"/>
                <w:b/>
                <w:i w:val="0"/>
                <w:sz w:val="18"/>
              </w:rPr>
              <w:t>-9.492</w:t>
            </w:r>
          </w:p>
        </w:tc>
        <w:tc>
          <w:tcPr>
            <w:tcW w:type="dxa" w:w="2351"/>
          </w:tcPr>
          <w:p>
            <w:pPr>
              <w:jc w:val="center"/>
            </w:pPr>
            <w:r/>
            <w:r>
              <w:rPr>
                <w:rFonts w:ascii="Times New Roman" w:hAnsi="Times New Roman" w:eastAsia="宋体"/>
                <w:b w:val="0"/>
                <w:i w:val="0"/>
                <w:sz w:val="18"/>
              </w:rPr>
              <w:t>Phe371, Ile521</w:t>
            </w:r>
          </w:p>
        </w:tc>
        <w:tc>
          <w:tcPr>
            <w:tcW w:type="dxa" w:w="2351"/>
          </w:tcPr>
          <w:p>
            <w:pPr>
              <w:jc w:val="center"/>
            </w:pPr>
            <w:r/>
            <w:r>
              <w:rPr>
                <w:rFonts w:ascii="Times New Roman" w:hAnsi="Times New Roman" w:eastAsia="宋体"/>
                <w:b w:val="0"/>
                <w:i w:val="0"/>
                <w:sz w:val="18"/>
              </w:rPr>
              <w:t>H-bond + π-stacking</w:t>
            </w:r>
          </w:p>
        </w:tc>
      </w:tr>
      <w:tr>
        <w:tc>
          <w:tcPr>
            <w:tcW w:type="dxa" w:w="2351"/>
          </w:tcPr>
          <w:p>
            <w:pPr>
              <w:jc w:val="center"/>
            </w:pPr>
            <w:r/>
            <w:r>
              <w:rPr>
                <w:rFonts w:ascii="Times New Roman" w:hAnsi="Times New Roman" w:eastAsia="宋体"/>
                <w:b w:val="0"/>
                <w:i w:val="0"/>
                <w:sz w:val="18"/>
              </w:rPr>
              <w:t>Compound 3</w:t>
            </w:r>
          </w:p>
        </w:tc>
        <w:tc>
          <w:tcPr>
            <w:tcW w:type="dxa" w:w="2351"/>
          </w:tcPr>
          <w:p>
            <w:pPr>
              <w:jc w:val="center"/>
            </w:pPr>
            <w:r/>
            <w:r>
              <w:rPr>
                <w:rFonts w:ascii="Times New Roman" w:hAnsi="Times New Roman" w:eastAsia="宋体"/>
                <w:b w:val="0"/>
                <w:i w:val="0"/>
                <w:sz w:val="18"/>
              </w:rPr>
              <w:t>-8.87</w:t>
            </w:r>
          </w:p>
        </w:tc>
        <w:tc>
          <w:tcPr>
            <w:tcW w:type="dxa" w:w="2351"/>
          </w:tcPr>
          <w:p>
            <w:pPr>
              <w:jc w:val="center"/>
            </w:pPr>
            <w:r/>
            <w:r>
              <w:rPr>
                <w:rFonts w:ascii="Times New Roman" w:hAnsi="Times New Roman" w:eastAsia="宋体"/>
                <w:b w:val="0"/>
                <w:i w:val="0"/>
                <w:sz w:val="18"/>
              </w:rPr>
              <w:t>His220, Asp305</w:t>
            </w:r>
          </w:p>
        </w:tc>
        <w:tc>
          <w:tcPr>
            <w:tcW w:type="dxa" w:w="2351"/>
          </w:tcPr>
          <w:p>
            <w:pPr>
              <w:jc w:val="center"/>
            </w:pPr>
            <w:r/>
            <w:r>
              <w:rPr>
                <w:rFonts w:ascii="Times New Roman" w:hAnsi="Times New Roman" w:eastAsia="宋体"/>
                <w:b w:val="0"/>
                <w:i w:val="0"/>
                <w:sz w:val="18"/>
              </w:rPr>
              <w:t>H-bond</w:t>
            </w:r>
          </w:p>
        </w:tc>
      </w:tr>
      <w:tr>
        <w:tc>
          <w:tcPr>
            <w:tcW w:type="dxa" w:w="2351"/>
          </w:tcPr>
          <w:p>
            <w:pPr>
              <w:jc w:val="center"/>
            </w:pPr>
            <w:r/>
            <w:r>
              <w:rPr>
                <w:rFonts w:ascii="Times New Roman" w:hAnsi="Times New Roman" w:eastAsia="宋体"/>
                <w:b w:val="0"/>
                <w:i w:val="0"/>
                <w:sz w:val="18"/>
              </w:rPr>
              <w:t>Compound 4</w:t>
            </w:r>
          </w:p>
        </w:tc>
        <w:tc>
          <w:tcPr>
            <w:tcW w:type="dxa" w:w="2351"/>
          </w:tcPr>
          <w:p>
            <w:pPr>
              <w:jc w:val="center"/>
            </w:pPr>
            <w:r/>
            <w:r>
              <w:rPr>
                <w:rFonts w:ascii="Times New Roman" w:hAnsi="Times New Roman" w:eastAsia="宋体"/>
                <w:b w:val="0"/>
                <w:i w:val="0"/>
                <w:sz w:val="18"/>
              </w:rPr>
              <w:t>-8.94</w:t>
            </w:r>
          </w:p>
        </w:tc>
        <w:tc>
          <w:tcPr>
            <w:tcW w:type="dxa" w:w="2351"/>
          </w:tcPr>
          <w:p>
            <w:pPr>
              <w:jc w:val="center"/>
            </w:pPr>
            <w:r/>
            <w:r>
              <w:rPr>
                <w:rFonts w:ascii="Times New Roman" w:hAnsi="Times New Roman" w:eastAsia="宋体"/>
                <w:b w:val="0"/>
                <w:i w:val="0"/>
                <w:sz w:val="18"/>
              </w:rPr>
              <w:t>Phe371, Lys232</w:t>
            </w:r>
          </w:p>
        </w:tc>
        <w:tc>
          <w:tcPr>
            <w:tcW w:type="dxa" w:w="2351"/>
          </w:tcPr>
          <w:p>
            <w:pPr>
              <w:jc w:val="center"/>
            </w:pPr>
            <w:r/>
            <w:r>
              <w:rPr>
                <w:rFonts w:ascii="Times New Roman" w:hAnsi="Times New Roman" w:eastAsia="宋体"/>
                <w:b w:val="0"/>
                <w:i w:val="0"/>
                <w:sz w:val="18"/>
              </w:rPr>
              <w:t>H-bond + hydrophobic</w:t>
            </w:r>
          </w:p>
        </w:tc>
      </w:tr>
      <w:tr>
        <w:tc>
          <w:tcPr>
            <w:tcW w:type="dxa" w:w="2351"/>
          </w:tcPr>
          <w:p>
            <w:pPr>
              <w:jc w:val="center"/>
            </w:pPr>
            <w:r/>
            <w:r>
              <w:rPr>
                <w:rFonts w:ascii="Times New Roman" w:hAnsi="Times New Roman" w:eastAsia="宋体"/>
                <w:b w:val="0"/>
                <w:i w:val="0"/>
                <w:sz w:val="18"/>
              </w:rPr>
              <w:t>Compound 5</w:t>
            </w:r>
          </w:p>
        </w:tc>
        <w:tc>
          <w:tcPr>
            <w:tcW w:type="dxa" w:w="2351"/>
          </w:tcPr>
          <w:p>
            <w:pPr>
              <w:jc w:val="center"/>
            </w:pPr>
            <w:r/>
            <w:r>
              <w:rPr>
                <w:rFonts w:ascii="Times New Roman" w:hAnsi="Times New Roman" w:eastAsia="宋体"/>
                <w:b w:val="0"/>
                <w:i w:val="0"/>
                <w:sz w:val="18"/>
              </w:rPr>
              <w:t>-8.42</w:t>
            </w:r>
          </w:p>
        </w:tc>
        <w:tc>
          <w:tcPr>
            <w:tcW w:type="dxa" w:w="2351"/>
          </w:tcPr>
          <w:p>
            <w:pPr>
              <w:jc w:val="center"/>
            </w:pPr>
            <w:r/>
            <w:r>
              <w:rPr>
                <w:rFonts w:ascii="Times New Roman" w:hAnsi="Times New Roman" w:eastAsia="宋体"/>
                <w:b w:val="0"/>
                <w:i w:val="0"/>
                <w:sz w:val="18"/>
              </w:rPr>
              <w:t>Ile521</w:t>
            </w:r>
          </w:p>
        </w:tc>
        <w:tc>
          <w:tcPr>
            <w:tcW w:type="dxa" w:w="2351"/>
          </w:tcPr>
          <w:p>
            <w:pPr>
              <w:jc w:val="center"/>
            </w:pPr>
            <w:r/>
            <w:r>
              <w:rPr>
                <w:rFonts w:ascii="Times New Roman" w:hAnsi="Times New Roman" w:eastAsia="宋体"/>
                <w:b w:val="0"/>
                <w:i w:val="0"/>
                <w:sz w:val="18"/>
              </w:rPr>
              <w:t>hydrophobic</w:t>
            </w:r>
          </w:p>
        </w:tc>
      </w:tr>
      <w:tr>
        <w:tc>
          <w:tcPr>
            <w:tcW w:type="dxa" w:w="2351"/>
          </w:tcPr>
          <w:p>
            <w:pPr>
              <w:jc w:val="center"/>
            </w:pPr>
            <w:r/>
            <w:r>
              <w:rPr>
                <w:rFonts w:ascii="Times New Roman" w:hAnsi="Times New Roman" w:eastAsia="宋体"/>
                <w:b w:val="0"/>
                <w:i w:val="0"/>
                <w:sz w:val="18"/>
              </w:rPr>
              <w:t>Compound 6</w:t>
            </w:r>
          </w:p>
        </w:tc>
        <w:tc>
          <w:tcPr>
            <w:tcW w:type="dxa" w:w="2351"/>
          </w:tcPr>
          <w:p>
            <w:pPr>
              <w:jc w:val="center"/>
            </w:pPr>
            <w:r/>
            <w:r>
              <w:rPr>
                <w:rFonts w:ascii="Times New Roman" w:hAnsi="Times New Roman" w:eastAsia="宋体"/>
                <w:b w:val="0"/>
                <w:i w:val="0"/>
                <w:sz w:val="18"/>
              </w:rPr>
              <w:t>-8.67</w:t>
            </w:r>
          </w:p>
        </w:tc>
        <w:tc>
          <w:tcPr>
            <w:tcW w:type="dxa" w:w="2351"/>
          </w:tcPr>
          <w:p>
            <w:pPr>
              <w:jc w:val="center"/>
            </w:pPr>
            <w:r/>
            <w:r>
              <w:rPr>
                <w:rFonts w:ascii="Times New Roman" w:hAnsi="Times New Roman" w:eastAsia="宋体"/>
                <w:b w:val="0"/>
                <w:i w:val="0"/>
                <w:sz w:val="18"/>
              </w:rPr>
              <w:t>Asp305, Lys232</w:t>
            </w:r>
          </w:p>
        </w:tc>
        <w:tc>
          <w:tcPr>
            <w:tcW w:type="dxa" w:w="2351"/>
          </w:tcPr>
          <w:p>
            <w:pPr>
              <w:jc w:val="center"/>
            </w:pPr>
            <w:r/>
            <w:r>
              <w:rPr>
                <w:rFonts w:ascii="Times New Roman" w:hAnsi="Times New Roman" w:eastAsia="宋体"/>
                <w:b w:val="0"/>
                <w:i w:val="0"/>
                <w:sz w:val="18"/>
              </w:rPr>
              <w:t>H-bond + electrostatic</w:t>
            </w:r>
          </w:p>
        </w:tc>
      </w:tr>
      <w:tr>
        <w:tc>
          <w:tcPr>
            <w:tcW w:type="dxa" w:w="2351"/>
          </w:tcPr>
          <w:p>
            <w:pPr>
              <w:jc w:val="center"/>
            </w:pPr>
            <w:r/>
            <w:r>
              <w:rPr>
                <w:rFonts w:ascii="Times New Roman" w:hAnsi="Times New Roman" w:eastAsia="宋体"/>
                <w:b w:val="0"/>
                <w:i w:val="0"/>
                <w:sz w:val="18"/>
              </w:rPr>
              <w:t>Compound 7</w:t>
            </w:r>
          </w:p>
        </w:tc>
        <w:tc>
          <w:tcPr>
            <w:tcW w:type="dxa" w:w="2351"/>
          </w:tcPr>
          <w:p>
            <w:pPr>
              <w:jc w:val="center"/>
            </w:pPr>
            <w:r/>
            <w:r>
              <w:rPr>
                <w:rFonts w:ascii="Times New Roman" w:hAnsi="Times New Roman" w:eastAsia="宋体"/>
                <w:b w:val="0"/>
                <w:i w:val="0"/>
                <w:sz w:val="18"/>
              </w:rPr>
              <w:t>-8.55</w:t>
            </w:r>
          </w:p>
        </w:tc>
        <w:tc>
          <w:tcPr>
            <w:tcW w:type="dxa" w:w="2351"/>
          </w:tcPr>
          <w:p>
            <w:pPr>
              <w:jc w:val="center"/>
            </w:pPr>
            <w:r/>
            <w:r>
              <w:rPr>
                <w:rFonts w:ascii="Times New Roman" w:hAnsi="Times New Roman" w:eastAsia="宋体"/>
                <w:b w:val="0"/>
                <w:i w:val="0"/>
                <w:sz w:val="18"/>
              </w:rPr>
              <w:t>Phe371</w:t>
            </w:r>
          </w:p>
        </w:tc>
        <w:tc>
          <w:tcPr>
            <w:tcW w:type="dxa" w:w="2351"/>
          </w:tcPr>
          <w:p>
            <w:pPr>
              <w:jc w:val="center"/>
            </w:pPr>
            <w:r/>
            <w:r>
              <w:rPr>
                <w:rFonts w:ascii="Times New Roman" w:hAnsi="Times New Roman" w:eastAsia="宋体"/>
                <w:b w:val="0"/>
                <w:i w:val="0"/>
                <w:sz w:val="18"/>
              </w:rPr>
              <w:t>π-stacking</w:t>
            </w:r>
          </w:p>
        </w:tc>
      </w:tr>
      <w:tr>
        <w:tc>
          <w:tcPr>
            <w:tcW w:type="dxa" w:w="2351"/>
          </w:tcPr>
          <w:p>
            <w:pPr>
              <w:jc w:val="center"/>
            </w:pPr>
            <w:r/>
            <w:r>
              <w:rPr>
                <w:rFonts w:ascii="Times New Roman" w:hAnsi="Times New Roman" w:eastAsia="宋体"/>
                <w:b w:val="0"/>
                <w:i w:val="0"/>
                <w:sz w:val="18"/>
              </w:rPr>
              <w:t>Compound 8</w:t>
            </w:r>
          </w:p>
        </w:tc>
        <w:tc>
          <w:tcPr>
            <w:tcW w:type="dxa" w:w="2351"/>
          </w:tcPr>
          <w:p>
            <w:pPr>
              <w:jc w:val="center"/>
            </w:pPr>
            <w:r/>
            <w:r>
              <w:rPr>
                <w:rFonts w:ascii="Times New Roman" w:hAnsi="Times New Roman" w:eastAsia="宋体"/>
                <w:b/>
                <w:i w:val="0"/>
                <w:sz w:val="18"/>
              </w:rPr>
              <w:t>-9.545</w:t>
            </w:r>
          </w:p>
        </w:tc>
        <w:tc>
          <w:tcPr>
            <w:tcW w:type="dxa" w:w="2351"/>
          </w:tcPr>
          <w:p>
            <w:pPr>
              <w:jc w:val="center"/>
            </w:pPr>
            <w:r/>
            <w:r>
              <w:rPr>
                <w:rFonts w:ascii="Times New Roman" w:hAnsi="Times New Roman" w:eastAsia="宋体"/>
                <w:b w:val="0"/>
                <w:i w:val="0"/>
                <w:sz w:val="18"/>
              </w:rPr>
              <w:t>Lys232, Asp305, Phe371</w:t>
            </w:r>
          </w:p>
        </w:tc>
        <w:tc>
          <w:tcPr>
            <w:tcW w:type="dxa" w:w="2351"/>
          </w:tcPr>
          <w:p>
            <w:pPr>
              <w:jc w:val="center"/>
            </w:pPr>
            <w:r/>
            <w:r>
              <w:rPr>
                <w:rFonts w:ascii="Times New Roman" w:hAnsi="Times New Roman" w:eastAsia="宋体"/>
                <w:b w:val="0"/>
                <w:i w:val="0"/>
                <w:sz w:val="18"/>
              </w:rPr>
              <w:t>H-bond + hydrophobic + π</w:t>
            </w:r>
          </w:p>
        </w:tc>
      </w:tr>
      <w:tr>
        <w:tc>
          <w:tcPr>
            <w:tcW w:type="dxa" w:w="2351"/>
          </w:tcPr>
          <w:p>
            <w:pPr>
              <w:jc w:val="center"/>
            </w:pPr>
            <w:r/>
            <w:r>
              <w:rPr>
                <w:rFonts w:ascii="Times New Roman" w:hAnsi="Times New Roman" w:eastAsia="宋体"/>
                <w:b/>
                <w:i w:val="0"/>
                <w:sz w:val="18"/>
              </w:rPr>
              <w:t>均值</w:t>
            </w:r>
          </w:p>
        </w:tc>
        <w:tc>
          <w:tcPr>
            <w:tcW w:type="dxa" w:w="2351"/>
          </w:tcPr>
          <w:p>
            <w:pPr>
              <w:jc w:val="center"/>
            </w:pPr>
            <w:r/>
            <w:r>
              <w:rPr>
                <w:rFonts w:ascii="Times New Roman" w:hAnsi="Times New Roman" w:eastAsia="宋体"/>
                <w:b/>
                <w:i w:val="0"/>
                <w:sz w:val="18"/>
              </w:rPr>
              <w:t>-8.87</w:t>
            </w:r>
          </w:p>
        </w:tc>
        <w:tc>
          <w:tcPr>
            <w:tcW w:type="dxa" w:w="2351"/>
          </w:tcPr>
          <w:p>
            <w:pPr>
              <w:jc w:val="center"/>
            </w:pPr>
            <w:r/>
            <w:r>
              <w:rPr>
                <w:rFonts w:ascii="Times New Roman" w:hAnsi="Times New Roman" w:eastAsia="宋体"/>
                <w:b w:val="0"/>
                <w:i w:val="0"/>
                <w:sz w:val="18"/>
              </w:rPr>
              <w:t>—</w:t>
            </w:r>
          </w:p>
        </w:tc>
        <w:tc>
          <w:tcPr>
            <w:tcW w:type="dxa" w:w="2351"/>
          </w:tcPr>
          <w:p>
            <w:pPr>
              <w:jc w:val="center"/>
            </w:pPr>
            <w:r/>
            <w:r>
              <w:rPr>
                <w:rFonts w:ascii="Times New Roman" w:hAnsi="Times New Roman" w:eastAsia="宋体"/>
                <w:b w:val="0"/>
                <w:i w:val="0"/>
                <w:sz w:val="18"/>
              </w:rPr>
              <w:t>—</w:t>
            </w:r>
          </w:p>
        </w:tc>
      </w:tr>
    </w:tbl>
    <w:p/>
    <w:p>
      <w:pPr>
        <w:spacing w:after="60" w:line="312" w:lineRule="auto"/>
        <w:ind w:left="283"/>
      </w:pPr>
      <w:r>
        <w:rPr>
          <w:rFonts w:ascii="Times New Roman" w:hAnsi="Times New Roman" w:eastAsia="宋体"/>
          <w:b w:val="0"/>
          <w:i/>
          <w:color w:val="5A5A5A"/>
          <w:sz w:val="19"/>
        </w:rPr>
        <w:t>注：所有 8 个化合物 Vina ΔG ≤ -8.4 kcal/mol，其中化合物 1（-9.628）、2（-9.492）、8（-9.545）表现最优；多个候选与已报道 NLRP3 抑制剂共享的关键残基（Lys232、Asp305、Phe371、Ile521）形成稳定相互作用。</w:t>
      </w:r>
    </w:p>
    <w:p>
      <w:pPr>
        <w:spacing w:before="160" w:after="40"/>
      </w:pPr>
      <w:r>
        <w:rPr>
          <w:rFonts w:ascii="Times New Roman" w:hAnsi="Times New Roman" w:eastAsia="宋体"/>
          <w:b/>
          <w:i w:val="0"/>
          <w:color w:val="1F4E79"/>
          <w:sz w:val="22"/>
        </w:rPr>
        <w:t>5.6.2  V3-random 独立一致性验证</w:t>
      </w:r>
    </w:p>
    <w:p>
      <w:pPr>
        <w:spacing w:after="80" w:line="360" w:lineRule="auto"/>
        <w:ind w:firstLine="420"/>
      </w:pPr>
      <w:r>
        <w:rPr>
          <w:rFonts w:ascii="Times New Roman" w:hAnsi="Times New Roman" w:eastAsia="宋体"/>
          <w:b w:val="0"/>
          <w:i w:val="0"/>
          <w:sz w:val="21"/>
        </w:rPr>
        <w:t>为验证候选化合物 ranking 对模型细节的鲁棒性，我们使用第 5.1 节 V3-random 5-seed 集成模型对 8 个候选进行独立预测。</w:t>
      </w:r>
      <w:r>
        <w:rPr>
          <w:rFonts w:ascii="Times New Roman" w:hAnsi="Times New Roman" w:eastAsia="宋体"/>
          <w:b/>
          <w:i w:val="0"/>
          <w:sz w:val="21"/>
        </w:rPr>
        <w:t>表 5.7</w:t>
      </w:r>
      <w:r>
        <w:rPr>
          <w:rFonts w:ascii="Times New Roman" w:hAnsi="Times New Roman" w:eastAsia="宋体"/>
          <w:b w:val="0"/>
          <w:i w:val="0"/>
          <w:sz w:val="21"/>
        </w:rPr>
        <w:t xml:space="preserve"> 展示 activity 概率、5-seed 一致性、Tanimoto 相似度与 AD 类别：</w:t>
      </w:r>
    </w:p>
    <w:p>
      <w:pPr>
        <w:spacing w:before="60" w:after="160"/>
        <w:jc w:val="center"/>
      </w:pPr>
      <w:r>
        <w:rPr>
          <w:rFonts w:ascii="Times New Roman" w:hAnsi="Times New Roman" w:eastAsia="宋体"/>
          <w:b/>
          <w:i w:val="0"/>
          <w:color w:val="323232"/>
          <w:sz w:val="19"/>
        </w:rPr>
        <w:t>表 5.7  V3-random 5-seed 集成模型对 8 candidates 的独立验证</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Times New Roman" w:hAnsi="Times New Roman" w:eastAsia="宋体"/>
                <w:b/>
                <w:i w:val="0"/>
                <w:sz w:val="18"/>
              </w:rPr>
              <w:t>化合物</w:t>
            </w:r>
          </w:p>
        </w:tc>
        <w:tc>
          <w:tcPr>
            <w:tcW w:type="dxa" w:w="1568"/>
          </w:tcPr>
          <w:p>
            <w:pPr>
              <w:jc w:val="center"/>
            </w:pPr>
            <w:r/>
            <w:r>
              <w:rPr>
                <w:rFonts w:ascii="Times New Roman" w:hAnsi="Times New Roman" w:eastAsia="宋体"/>
                <w:b/>
                <w:i w:val="0"/>
                <w:sz w:val="18"/>
              </w:rPr>
              <w:t>V3-random Ensemble Prob</w:t>
            </w:r>
          </w:p>
        </w:tc>
        <w:tc>
          <w:tcPr>
            <w:tcW w:type="dxa" w:w="1568"/>
          </w:tcPr>
          <w:p>
            <w:pPr>
              <w:jc w:val="center"/>
            </w:pPr>
            <w:r/>
            <w:r>
              <w:rPr>
                <w:rFonts w:ascii="Times New Roman" w:hAnsi="Times New Roman" w:eastAsia="宋体"/>
                <w:b/>
                <w:i w:val="0"/>
                <w:sz w:val="18"/>
              </w:rPr>
              <w:t>5-seed range</w:t>
            </w:r>
          </w:p>
        </w:tc>
        <w:tc>
          <w:tcPr>
            <w:tcW w:type="dxa" w:w="1568"/>
          </w:tcPr>
          <w:p>
            <w:pPr>
              <w:jc w:val="center"/>
            </w:pPr>
            <w:r/>
            <w:r>
              <w:rPr>
                <w:rFonts w:ascii="Times New Roman" w:hAnsi="Times New Roman" w:eastAsia="宋体"/>
                <w:b/>
                <w:i w:val="0"/>
                <w:sz w:val="18"/>
              </w:rPr>
              <w:t>Nearest Tanimoto</w:t>
            </w:r>
          </w:p>
        </w:tc>
        <w:tc>
          <w:tcPr>
            <w:tcW w:type="dxa" w:w="1568"/>
          </w:tcPr>
          <w:p>
            <w:pPr>
              <w:jc w:val="center"/>
            </w:pPr>
            <w:r/>
            <w:r>
              <w:rPr>
                <w:rFonts w:ascii="Times New Roman" w:hAnsi="Times New Roman" w:eastAsia="宋体"/>
                <w:b/>
                <w:i w:val="0"/>
                <w:sz w:val="18"/>
              </w:rPr>
              <w:t>AD 类别</w:t>
            </w:r>
          </w:p>
        </w:tc>
        <w:tc>
          <w:tcPr>
            <w:tcW w:type="dxa" w:w="1568"/>
          </w:tcPr>
          <w:p>
            <w:pPr>
              <w:jc w:val="center"/>
            </w:pPr>
            <w:r/>
            <w:r>
              <w:rPr>
                <w:rFonts w:ascii="Times New Roman" w:hAnsi="Times New Roman" w:eastAsia="宋体"/>
                <w:b/>
                <w:i w:val="0"/>
                <w:sz w:val="18"/>
              </w:rPr>
              <w:t>一致性判定</w:t>
            </w:r>
          </w:p>
        </w:tc>
      </w:tr>
      <w:tr>
        <w:tc>
          <w:tcPr>
            <w:tcW w:type="dxa" w:w="1568"/>
          </w:tcPr>
          <w:p>
            <w:pPr>
              <w:jc w:val="center"/>
            </w:pPr>
            <w:r/>
            <w:r>
              <w:rPr>
                <w:rFonts w:ascii="Times New Roman" w:hAnsi="Times New Roman" w:eastAsia="宋体"/>
                <w:b w:val="0"/>
                <w:i w:val="0"/>
                <w:sz w:val="18"/>
              </w:rPr>
              <w:t>Compound 1</w:t>
            </w:r>
          </w:p>
        </w:tc>
        <w:tc>
          <w:tcPr>
            <w:tcW w:type="dxa" w:w="1568"/>
          </w:tcPr>
          <w:p>
            <w:pPr>
              <w:jc w:val="center"/>
            </w:pPr>
            <w:r/>
            <w:r>
              <w:rPr>
                <w:rFonts w:ascii="Times New Roman" w:hAnsi="Times New Roman" w:eastAsia="宋体"/>
                <w:b/>
                <w:i w:val="0"/>
                <w:sz w:val="18"/>
              </w:rPr>
              <w:t>0.897</w:t>
            </w:r>
          </w:p>
        </w:tc>
        <w:tc>
          <w:tcPr>
            <w:tcW w:type="dxa" w:w="1568"/>
          </w:tcPr>
          <w:p>
            <w:pPr>
              <w:jc w:val="center"/>
            </w:pPr>
            <w:r/>
            <w:r>
              <w:rPr>
                <w:rFonts w:ascii="Times New Roman" w:hAnsi="Times New Roman" w:eastAsia="宋体"/>
                <w:b w:val="0"/>
                <w:i w:val="0"/>
                <w:sz w:val="18"/>
              </w:rPr>
              <w:t>0.868–0.912</w:t>
            </w:r>
          </w:p>
        </w:tc>
        <w:tc>
          <w:tcPr>
            <w:tcW w:type="dxa" w:w="1568"/>
          </w:tcPr>
          <w:p>
            <w:pPr>
              <w:jc w:val="center"/>
            </w:pPr>
            <w:r/>
            <w:r>
              <w:rPr>
                <w:rFonts w:ascii="Times New Roman" w:hAnsi="Times New Roman" w:eastAsia="宋体"/>
                <w:b w:val="0"/>
                <w:i w:val="0"/>
                <w:sz w:val="18"/>
              </w:rPr>
              <w:t>0.216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强一致</w:t>
            </w:r>
          </w:p>
        </w:tc>
      </w:tr>
      <w:tr>
        <w:tc>
          <w:tcPr>
            <w:tcW w:type="dxa" w:w="1568"/>
          </w:tcPr>
          <w:p>
            <w:pPr>
              <w:jc w:val="center"/>
            </w:pPr>
            <w:r/>
            <w:r>
              <w:rPr>
                <w:rFonts w:ascii="Times New Roman" w:hAnsi="Times New Roman" w:eastAsia="宋体"/>
                <w:b w:val="0"/>
                <w:i w:val="0"/>
                <w:sz w:val="18"/>
              </w:rPr>
              <w:t>Compound 2</w:t>
            </w:r>
          </w:p>
        </w:tc>
        <w:tc>
          <w:tcPr>
            <w:tcW w:type="dxa" w:w="1568"/>
          </w:tcPr>
          <w:p>
            <w:pPr>
              <w:jc w:val="center"/>
            </w:pPr>
            <w:r/>
            <w:r>
              <w:rPr>
                <w:rFonts w:ascii="Times New Roman" w:hAnsi="Times New Roman" w:eastAsia="宋体"/>
                <w:b w:val="0"/>
                <w:i w:val="0"/>
                <w:sz w:val="18"/>
              </w:rPr>
              <w:t>0.569</w:t>
            </w:r>
          </w:p>
        </w:tc>
        <w:tc>
          <w:tcPr>
            <w:tcW w:type="dxa" w:w="1568"/>
          </w:tcPr>
          <w:p>
            <w:pPr>
              <w:jc w:val="center"/>
            </w:pPr>
            <w:r/>
            <w:r>
              <w:rPr>
                <w:rFonts w:ascii="Times New Roman" w:hAnsi="Times New Roman" w:eastAsia="宋体"/>
                <w:b w:val="0"/>
                <w:i w:val="0"/>
                <w:sz w:val="18"/>
              </w:rPr>
              <w:t>0.249–0.861</w:t>
            </w:r>
          </w:p>
        </w:tc>
        <w:tc>
          <w:tcPr>
            <w:tcW w:type="dxa" w:w="1568"/>
          </w:tcPr>
          <w:p>
            <w:pPr>
              <w:jc w:val="center"/>
            </w:pPr>
            <w:r/>
            <w:r>
              <w:rPr>
                <w:rFonts w:ascii="Times New Roman" w:hAnsi="Times New Roman" w:eastAsia="宋体"/>
                <w:b w:val="0"/>
                <w:i w:val="0"/>
                <w:sz w:val="18"/>
              </w:rPr>
              <w:t>0.256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边界正激活</w:t>
            </w:r>
          </w:p>
        </w:tc>
      </w:tr>
      <w:tr>
        <w:tc>
          <w:tcPr>
            <w:tcW w:type="dxa" w:w="1568"/>
          </w:tcPr>
          <w:p>
            <w:pPr>
              <w:jc w:val="center"/>
            </w:pPr>
            <w:r/>
            <w:r>
              <w:rPr>
                <w:rFonts w:ascii="Times New Roman" w:hAnsi="Times New Roman" w:eastAsia="宋体"/>
                <w:b w:val="0"/>
                <w:i w:val="0"/>
                <w:sz w:val="18"/>
              </w:rPr>
              <w:t>Compound 3</w:t>
            </w:r>
          </w:p>
        </w:tc>
        <w:tc>
          <w:tcPr>
            <w:tcW w:type="dxa" w:w="1568"/>
          </w:tcPr>
          <w:p>
            <w:pPr>
              <w:jc w:val="center"/>
            </w:pPr>
            <w:r/>
            <w:r>
              <w:rPr>
                <w:rFonts w:ascii="Times New Roman" w:hAnsi="Times New Roman" w:eastAsia="宋体"/>
                <w:b/>
                <w:i w:val="0"/>
                <w:sz w:val="18"/>
              </w:rPr>
              <w:t>0.885</w:t>
            </w:r>
          </w:p>
        </w:tc>
        <w:tc>
          <w:tcPr>
            <w:tcW w:type="dxa" w:w="1568"/>
          </w:tcPr>
          <w:p>
            <w:pPr>
              <w:jc w:val="center"/>
            </w:pPr>
            <w:r/>
            <w:r>
              <w:rPr>
                <w:rFonts w:ascii="Times New Roman" w:hAnsi="Times New Roman" w:eastAsia="宋体"/>
                <w:b w:val="0"/>
                <w:i w:val="0"/>
                <w:sz w:val="18"/>
              </w:rPr>
              <w:t>0.700–0.947</w:t>
            </w:r>
          </w:p>
        </w:tc>
        <w:tc>
          <w:tcPr>
            <w:tcW w:type="dxa" w:w="1568"/>
          </w:tcPr>
          <w:p>
            <w:pPr>
              <w:jc w:val="center"/>
            </w:pPr>
            <w:r/>
            <w:r>
              <w:rPr>
                <w:rFonts w:ascii="Times New Roman" w:hAnsi="Times New Roman" w:eastAsia="宋体"/>
                <w:b w:val="0"/>
                <w:i w:val="0"/>
                <w:sz w:val="18"/>
              </w:rPr>
              <w:t>0.300</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强一致</w:t>
            </w:r>
          </w:p>
        </w:tc>
      </w:tr>
      <w:tr>
        <w:tc>
          <w:tcPr>
            <w:tcW w:type="dxa" w:w="1568"/>
          </w:tcPr>
          <w:p>
            <w:pPr>
              <w:jc w:val="center"/>
            </w:pPr>
            <w:r/>
            <w:r>
              <w:rPr>
                <w:rFonts w:ascii="Times New Roman" w:hAnsi="Times New Roman" w:eastAsia="宋体"/>
                <w:b w:val="0"/>
                <w:i w:val="0"/>
                <w:sz w:val="18"/>
              </w:rPr>
              <w:t>Compound 4</w:t>
            </w:r>
          </w:p>
        </w:tc>
        <w:tc>
          <w:tcPr>
            <w:tcW w:type="dxa" w:w="1568"/>
          </w:tcPr>
          <w:p>
            <w:pPr>
              <w:jc w:val="center"/>
            </w:pPr>
            <w:r/>
            <w:r>
              <w:rPr>
                <w:rFonts w:ascii="Times New Roman" w:hAnsi="Times New Roman" w:eastAsia="宋体"/>
                <w:b/>
                <w:i w:val="0"/>
                <w:sz w:val="18"/>
              </w:rPr>
              <w:t>0.864</w:t>
            </w:r>
          </w:p>
        </w:tc>
        <w:tc>
          <w:tcPr>
            <w:tcW w:type="dxa" w:w="1568"/>
          </w:tcPr>
          <w:p>
            <w:pPr>
              <w:jc w:val="center"/>
            </w:pPr>
            <w:r/>
            <w:r>
              <w:rPr>
                <w:rFonts w:ascii="Times New Roman" w:hAnsi="Times New Roman" w:eastAsia="宋体"/>
                <w:b w:val="0"/>
                <w:i w:val="0"/>
                <w:sz w:val="18"/>
              </w:rPr>
              <w:t>0.825–0.912</w:t>
            </w:r>
          </w:p>
        </w:tc>
        <w:tc>
          <w:tcPr>
            <w:tcW w:type="dxa" w:w="1568"/>
          </w:tcPr>
          <w:p>
            <w:pPr>
              <w:jc w:val="center"/>
            </w:pPr>
            <w:r/>
            <w:r>
              <w:rPr>
                <w:rFonts w:ascii="Times New Roman" w:hAnsi="Times New Roman" w:eastAsia="宋体"/>
                <w:b w:val="0"/>
                <w:i w:val="0"/>
                <w:sz w:val="18"/>
              </w:rPr>
              <w:t>0.258</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强一致</w:t>
            </w:r>
          </w:p>
        </w:tc>
      </w:tr>
      <w:tr>
        <w:tc>
          <w:tcPr>
            <w:tcW w:type="dxa" w:w="1568"/>
          </w:tcPr>
          <w:p>
            <w:pPr>
              <w:jc w:val="center"/>
            </w:pPr>
            <w:r/>
            <w:r>
              <w:rPr>
                <w:rFonts w:ascii="Times New Roman" w:hAnsi="Times New Roman" w:eastAsia="宋体"/>
                <w:b w:val="0"/>
                <w:i w:val="0"/>
                <w:sz w:val="18"/>
              </w:rPr>
              <w:t>Compound 5</w:t>
            </w:r>
          </w:p>
        </w:tc>
        <w:tc>
          <w:tcPr>
            <w:tcW w:type="dxa" w:w="1568"/>
          </w:tcPr>
          <w:p>
            <w:pPr>
              <w:jc w:val="center"/>
            </w:pPr>
            <w:r/>
            <w:r>
              <w:rPr>
                <w:rFonts w:ascii="Times New Roman" w:hAnsi="Times New Roman" w:eastAsia="宋体"/>
                <w:b w:val="0"/>
                <w:i w:val="0"/>
                <w:sz w:val="18"/>
              </w:rPr>
              <w:t>0.407</w:t>
            </w:r>
          </w:p>
        </w:tc>
        <w:tc>
          <w:tcPr>
            <w:tcW w:type="dxa" w:w="1568"/>
          </w:tcPr>
          <w:p>
            <w:pPr>
              <w:jc w:val="center"/>
            </w:pPr>
            <w:r/>
            <w:r>
              <w:rPr>
                <w:rFonts w:ascii="Times New Roman" w:hAnsi="Times New Roman" w:eastAsia="宋体"/>
                <w:b w:val="0"/>
                <w:i w:val="0"/>
                <w:sz w:val="18"/>
              </w:rPr>
              <w:t>0.074–0.816</w:t>
            </w:r>
          </w:p>
        </w:tc>
        <w:tc>
          <w:tcPr>
            <w:tcW w:type="dxa" w:w="1568"/>
          </w:tcPr>
          <w:p>
            <w:pPr>
              <w:jc w:val="center"/>
            </w:pPr>
            <w:r/>
            <w:r>
              <w:rPr>
                <w:rFonts w:ascii="Times New Roman" w:hAnsi="Times New Roman" w:eastAsia="宋体"/>
                <w:b w:val="0"/>
                <w:i w:val="0"/>
                <w:sz w:val="18"/>
              </w:rPr>
              <w:t>0.216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边界弃权</w:t>
            </w:r>
          </w:p>
        </w:tc>
      </w:tr>
      <w:tr>
        <w:tc>
          <w:tcPr>
            <w:tcW w:type="dxa" w:w="1568"/>
          </w:tcPr>
          <w:p>
            <w:pPr>
              <w:jc w:val="center"/>
            </w:pPr>
            <w:r/>
            <w:r>
              <w:rPr>
                <w:rFonts w:ascii="Times New Roman" w:hAnsi="Times New Roman" w:eastAsia="宋体"/>
                <w:b w:val="0"/>
                <w:i w:val="0"/>
                <w:sz w:val="18"/>
              </w:rPr>
              <w:t>Compound 6</w:t>
            </w:r>
          </w:p>
        </w:tc>
        <w:tc>
          <w:tcPr>
            <w:tcW w:type="dxa" w:w="1568"/>
          </w:tcPr>
          <w:p>
            <w:pPr>
              <w:jc w:val="center"/>
            </w:pPr>
            <w:r/>
            <w:r>
              <w:rPr>
                <w:rFonts w:ascii="Times New Roman" w:hAnsi="Times New Roman" w:eastAsia="宋体"/>
                <w:b w:val="0"/>
                <w:i w:val="0"/>
                <w:sz w:val="18"/>
              </w:rPr>
              <w:t>0.558</w:t>
            </w:r>
          </w:p>
        </w:tc>
        <w:tc>
          <w:tcPr>
            <w:tcW w:type="dxa" w:w="1568"/>
          </w:tcPr>
          <w:p>
            <w:pPr>
              <w:jc w:val="center"/>
            </w:pPr>
            <w:r/>
            <w:r>
              <w:rPr>
                <w:rFonts w:ascii="Times New Roman" w:hAnsi="Times New Roman" w:eastAsia="宋体"/>
                <w:b w:val="0"/>
                <w:i w:val="0"/>
                <w:sz w:val="18"/>
              </w:rPr>
              <w:t>0.081–0.890</w:t>
            </w:r>
          </w:p>
        </w:tc>
        <w:tc>
          <w:tcPr>
            <w:tcW w:type="dxa" w:w="1568"/>
          </w:tcPr>
          <w:p>
            <w:pPr>
              <w:jc w:val="center"/>
            </w:pPr>
            <w:r/>
            <w:r>
              <w:rPr>
                <w:rFonts w:ascii="Times New Roman" w:hAnsi="Times New Roman" w:eastAsia="宋体"/>
                <w:b w:val="0"/>
                <w:i w:val="0"/>
                <w:sz w:val="18"/>
              </w:rPr>
              <w:t>0.222</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边界正激活</w:t>
            </w:r>
          </w:p>
        </w:tc>
      </w:tr>
      <w:tr>
        <w:tc>
          <w:tcPr>
            <w:tcW w:type="dxa" w:w="1568"/>
          </w:tcPr>
          <w:p>
            <w:pPr>
              <w:jc w:val="center"/>
            </w:pPr>
            <w:r/>
            <w:r>
              <w:rPr>
                <w:rFonts w:ascii="Times New Roman" w:hAnsi="Times New Roman" w:eastAsia="宋体"/>
                <w:b w:val="0"/>
                <w:i w:val="0"/>
                <w:sz w:val="18"/>
              </w:rPr>
              <w:t>Compound 7</w:t>
            </w:r>
          </w:p>
        </w:tc>
        <w:tc>
          <w:tcPr>
            <w:tcW w:type="dxa" w:w="1568"/>
          </w:tcPr>
          <w:p>
            <w:pPr>
              <w:jc w:val="center"/>
            </w:pPr>
            <w:r/>
            <w:r>
              <w:rPr>
                <w:rFonts w:ascii="Times New Roman" w:hAnsi="Times New Roman" w:eastAsia="宋体"/>
                <w:b w:val="0"/>
                <w:i w:val="0"/>
                <w:sz w:val="18"/>
              </w:rPr>
              <w:t>0.749</w:t>
            </w:r>
          </w:p>
        </w:tc>
        <w:tc>
          <w:tcPr>
            <w:tcW w:type="dxa" w:w="1568"/>
          </w:tcPr>
          <w:p>
            <w:pPr>
              <w:jc w:val="center"/>
            </w:pPr>
            <w:r/>
            <w:r>
              <w:rPr>
                <w:rFonts w:ascii="Times New Roman" w:hAnsi="Times New Roman" w:eastAsia="宋体"/>
                <w:b w:val="0"/>
                <w:i w:val="0"/>
                <w:sz w:val="18"/>
              </w:rPr>
              <w:t>0.499–0.929</w:t>
            </w:r>
          </w:p>
        </w:tc>
        <w:tc>
          <w:tcPr>
            <w:tcW w:type="dxa" w:w="1568"/>
          </w:tcPr>
          <w:p>
            <w:pPr>
              <w:jc w:val="center"/>
            </w:pPr>
            <w:r/>
            <w:r>
              <w:rPr>
                <w:rFonts w:ascii="Times New Roman" w:hAnsi="Times New Roman" w:eastAsia="宋体"/>
                <w:b w:val="0"/>
                <w:i w:val="0"/>
                <w:sz w:val="18"/>
              </w:rPr>
              <w:t>0.324</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w:t>
            </w:r>
          </w:p>
        </w:tc>
      </w:tr>
      <w:tr>
        <w:tc>
          <w:tcPr>
            <w:tcW w:type="dxa" w:w="1568"/>
          </w:tcPr>
          <w:p>
            <w:pPr>
              <w:jc w:val="center"/>
            </w:pPr>
            <w:r/>
            <w:r>
              <w:rPr>
                <w:rFonts w:ascii="Times New Roman" w:hAnsi="Times New Roman" w:eastAsia="宋体"/>
                <w:b w:val="0"/>
                <w:i w:val="0"/>
                <w:sz w:val="18"/>
              </w:rPr>
              <w:t>Compound 8</w:t>
            </w:r>
          </w:p>
        </w:tc>
        <w:tc>
          <w:tcPr>
            <w:tcW w:type="dxa" w:w="1568"/>
          </w:tcPr>
          <w:p>
            <w:pPr>
              <w:jc w:val="center"/>
            </w:pPr>
            <w:r/>
            <w:r>
              <w:rPr>
                <w:rFonts w:ascii="Times New Roman" w:hAnsi="Times New Roman" w:eastAsia="宋体"/>
                <w:b/>
                <w:i w:val="0"/>
                <w:sz w:val="18"/>
              </w:rPr>
              <w:t>0.814</w:t>
            </w:r>
          </w:p>
        </w:tc>
        <w:tc>
          <w:tcPr>
            <w:tcW w:type="dxa" w:w="1568"/>
          </w:tcPr>
          <w:p>
            <w:pPr>
              <w:jc w:val="center"/>
            </w:pPr>
            <w:r/>
            <w:r>
              <w:rPr>
                <w:rFonts w:ascii="Times New Roman" w:hAnsi="Times New Roman" w:eastAsia="宋体"/>
                <w:b w:val="0"/>
                <w:i w:val="0"/>
                <w:sz w:val="18"/>
              </w:rPr>
              <w:t>0.677–0.925</w:t>
            </w:r>
          </w:p>
        </w:tc>
        <w:tc>
          <w:tcPr>
            <w:tcW w:type="dxa" w:w="1568"/>
          </w:tcPr>
          <w:p>
            <w:pPr>
              <w:jc w:val="center"/>
            </w:pPr>
            <w:r/>
            <w:r>
              <w:rPr>
                <w:rFonts w:ascii="Times New Roman" w:hAnsi="Times New Roman" w:eastAsia="宋体"/>
                <w:b w:val="0"/>
                <w:i w:val="0"/>
                <w:sz w:val="18"/>
              </w:rPr>
              <w:t>0.216</w:t>
            </w:r>
          </w:p>
        </w:tc>
        <w:tc>
          <w:tcPr>
            <w:tcW w:type="dxa" w:w="1568"/>
          </w:tcPr>
          <w:p>
            <w:pPr>
              <w:jc w:val="center"/>
            </w:pPr>
            <w:r/>
            <w:r>
              <w:rPr>
                <w:rFonts w:ascii="Times New Roman" w:hAnsi="Times New Roman" w:eastAsia="宋体"/>
                <w:b w:val="0"/>
                <w:i w:val="0"/>
                <w:sz w:val="18"/>
              </w:rPr>
              <w:t>deep OOD</w:t>
            </w:r>
          </w:p>
        </w:tc>
        <w:tc>
          <w:tcPr>
            <w:tcW w:type="dxa" w:w="1568"/>
          </w:tcPr>
          <w:p>
            <w:pPr>
              <w:jc w:val="center"/>
            </w:pPr>
            <w:r/>
            <w:r>
              <w:rPr>
                <w:rFonts w:ascii="Times New Roman" w:hAnsi="Times New Roman" w:eastAsia="宋体"/>
                <w:b w:val="0"/>
                <w:i w:val="0"/>
                <w:sz w:val="18"/>
              </w:rPr>
              <w:t>✓ 强一致</w:t>
            </w:r>
          </w:p>
        </w:tc>
      </w:tr>
      <w:tr>
        <w:tc>
          <w:tcPr>
            <w:tcW w:type="dxa" w:w="1568"/>
          </w:tcPr>
          <w:p>
            <w:pPr>
              <w:jc w:val="center"/>
            </w:pPr>
            <w:r/>
            <w:r>
              <w:rPr>
                <w:rFonts w:ascii="Times New Roman" w:hAnsi="Times New Roman" w:eastAsia="宋体"/>
                <w:b/>
                <w:i w:val="0"/>
                <w:sz w:val="18"/>
              </w:rPr>
              <w:t>Mean/Recall</w:t>
            </w:r>
          </w:p>
        </w:tc>
        <w:tc>
          <w:tcPr>
            <w:tcW w:type="dxa" w:w="1568"/>
          </w:tcPr>
          <w:p>
            <w:pPr>
              <w:jc w:val="center"/>
            </w:pPr>
            <w:r/>
            <w:r>
              <w:rPr>
                <w:rFonts w:ascii="Times New Roman" w:hAnsi="Times New Roman" w:eastAsia="宋体"/>
                <w:b/>
                <w:i w:val="0"/>
                <w:sz w:val="18"/>
              </w:rPr>
              <w:t>0.718</w:t>
            </w:r>
          </w:p>
        </w:tc>
        <w:tc>
          <w:tcPr>
            <w:tcW w:type="dxa" w:w="1568"/>
          </w:tcPr>
          <w:p>
            <w:pPr>
              <w:jc w:val="center"/>
            </w:pPr>
            <w:r/>
            <w:r>
              <w:rPr>
                <w:rFonts w:ascii="Times New Roman" w:hAnsi="Times New Roman" w:eastAsia="宋体"/>
                <w:b w:val="0"/>
                <w:i w:val="0"/>
                <w:sz w:val="18"/>
              </w:rPr>
              <w:t>—</w:t>
            </w:r>
          </w:p>
        </w:tc>
        <w:tc>
          <w:tcPr>
            <w:tcW w:type="dxa" w:w="1568"/>
          </w:tcPr>
          <w:p>
            <w:pPr>
              <w:jc w:val="center"/>
            </w:pPr>
            <w:r/>
            <w:r>
              <w:rPr>
                <w:rFonts w:ascii="Times New Roman" w:hAnsi="Times New Roman" w:eastAsia="宋体"/>
                <w:b/>
                <w:i w:val="0"/>
                <w:sz w:val="18"/>
              </w:rPr>
              <w:t>0.251</w:t>
            </w:r>
          </w:p>
        </w:tc>
        <w:tc>
          <w:tcPr>
            <w:tcW w:type="dxa" w:w="1568"/>
          </w:tcPr>
          <w:p>
            <w:pPr>
              <w:jc w:val="center"/>
            </w:pPr>
            <w:r/>
            <w:r>
              <w:rPr>
                <w:rFonts w:ascii="Times New Roman" w:hAnsi="Times New Roman" w:eastAsia="宋体"/>
                <w:b/>
                <w:i w:val="0"/>
                <w:sz w:val="18"/>
              </w:rPr>
              <w:t>8/8 novel</w:t>
            </w:r>
          </w:p>
        </w:tc>
        <w:tc>
          <w:tcPr>
            <w:tcW w:type="dxa" w:w="1568"/>
          </w:tcPr>
          <w:p>
            <w:pPr>
              <w:jc w:val="center"/>
            </w:pPr>
            <w:r/>
            <w:r>
              <w:rPr>
                <w:rFonts w:ascii="Times New Roman" w:hAnsi="Times New Roman" w:eastAsia="宋体"/>
                <w:b/>
                <w:i w:val="0"/>
                <w:sz w:val="18"/>
              </w:rPr>
              <w:t>7/8 (87.5%)</w:t>
            </w:r>
          </w:p>
        </w:tc>
      </w:tr>
    </w:tbl>
    <w:p/>
    <w:p>
      <w:pPr>
        <w:spacing w:after="60" w:line="312" w:lineRule="auto"/>
        <w:ind w:left="283"/>
      </w:pPr>
      <w:r>
        <w:rPr>
          <w:rFonts w:ascii="Times New Roman" w:hAnsi="Times New Roman" w:eastAsia="宋体"/>
          <w:b w:val="0"/>
          <w:i/>
          <w:color w:val="5A5A5A"/>
          <w:sz w:val="19"/>
        </w:rPr>
        <w:t>注：Recall @ threshold 0.5 = 7/8 (87.5%)。8 个候选平均 Nearest-Neighbour Tanimoto = 0.251，全部严格位于训练集应用域之外（Tanimoto &lt; 0.4），是**novel-scaffold NLRP3 抑制剂候选**。</w:t>
      </w:r>
    </w:p>
    <w:p>
      <w:pPr>
        <w:spacing w:after="80" w:line="360" w:lineRule="auto"/>
        <w:ind w:firstLine="420"/>
      </w:pPr>
      <w:r>
        <w:rPr>
          <w:rFonts w:ascii="Times New Roman" w:hAnsi="Times New Roman" w:eastAsia="宋体"/>
          <w:b/>
          <w:i w:val="0"/>
          <w:sz w:val="21"/>
        </w:rPr>
        <w:t>分析要点</w:t>
      </w:r>
      <w:r>
        <w:rPr>
          <w:rFonts w:ascii="Times New Roman" w:hAnsi="Times New Roman" w:eastAsia="宋体"/>
          <w:b w:val="0"/>
          <w:i w:val="0"/>
          <w:sz w:val="21"/>
        </w:rPr>
        <w:t xml:space="preserve">：(i) </w:t>
      </w:r>
      <w:r>
        <w:rPr>
          <w:rFonts w:ascii="Times New Roman" w:hAnsi="Times New Roman" w:eastAsia="宋体"/>
          <w:b/>
          <w:i w:val="0"/>
          <w:sz w:val="21"/>
        </w:rPr>
        <w:t>跨评估协议的 ranking 一致性</w:t>
      </w:r>
      <w:r>
        <w:rPr>
          <w:rFonts w:ascii="Times New Roman" w:hAnsi="Times New Roman" w:eastAsia="宋体"/>
          <w:b w:val="0"/>
          <w:i w:val="0"/>
          <w:sz w:val="21"/>
        </w:rPr>
        <w:t xml:space="preserve">——7/8 (87.5%) 化合物被 V3-random 5-seed 集成模型独立确认为 predicted active，且三个最强 Vina binders (Compound 1/2/8, ΔG &lt; -9.4 kcal/mol) </w:t>
      </w:r>
      <w:r>
        <w:rPr>
          <w:rFonts w:ascii="Times New Roman" w:hAnsi="Times New Roman" w:eastAsia="宋体"/>
          <w:b/>
          <w:i w:val="0"/>
          <w:sz w:val="21"/>
        </w:rPr>
        <w:t>全部通过阈值</w:t>
      </w:r>
      <w:r>
        <w:rPr>
          <w:rFonts w:ascii="Times New Roman" w:hAnsi="Times New Roman" w:eastAsia="宋体"/>
          <w:b w:val="0"/>
          <w:i w:val="0"/>
          <w:sz w:val="21"/>
        </w:rPr>
        <w:t xml:space="preserve">，证明候选 ranking 在不同划分协议下保持稳定。(ii) </w:t>
      </w:r>
      <w:r>
        <w:rPr>
          <w:rFonts w:ascii="Times New Roman" w:hAnsi="Times New Roman" w:eastAsia="宋体"/>
          <w:b/>
          <w:i w:val="0"/>
          <w:sz w:val="21"/>
        </w:rPr>
        <w:t>结构新颖性与 OOD 警示</w:t>
      </w:r>
      <w:r>
        <w:rPr>
          <w:rFonts w:ascii="Times New Roman" w:hAnsi="Times New Roman" w:eastAsia="宋体"/>
          <w:b w:val="0"/>
          <w:i w:val="0"/>
          <w:sz w:val="21"/>
        </w:rPr>
        <w:t xml:space="preserve">：所有 8 个候选平均 Tanimoto = 0.251，均 &lt; 0.4，位于训练集应用域之外（deep OOD）。这是第 5.5 节级联筛选流程未显式采用 AD 门控（AD-gate）的直接后果（详见第 5.4 节部署建议及其"适用范围说明"）；其 5.6.3–5.6.5 节的计算验证是主要支撑，而非仅凭活性概率。(iii) </w:t>
      </w:r>
      <w:r>
        <w:rPr>
          <w:rFonts w:ascii="Times New Roman" w:hAnsi="Times New Roman" w:eastAsia="宋体"/>
          <w:b/>
          <w:i w:val="0"/>
          <w:sz w:val="21"/>
        </w:rPr>
        <w:t>Compound 5 弃权</w:t>
      </w:r>
      <w:r>
        <w:rPr>
          <w:rFonts w:ascii="Times New Roman" w:hAnsi="Times New Roman" w:eastAsia="宋体"/>
          <w:b w:val="0"/>
          <w:i w:val="0"/>
          <w:sz w:val="21"/>
        </w:rPr>
        <w:t xml:space="preserve"> (prob = 0.407, 5-seed range 0.074–0.816) 体现了 5.4 节所述的 AD-aware 置信度行为：模型对该化合物表达显著不确定性，未给出高置信正判定。我们在获得正交证据前将其列为湿实验优先级较低的目标。</w:t>
      </w:r>
      <w:r>
        <w:rPr>
          <w:rFonts w:ascii="Times New Roman" w:hAnsi="Times New Roman" w:eastAsia="宋体"/>
          <w:b/>
          <w:i w:val="0"/>
          <w:sz w:val="21"/>
        </w:rPr>
        <w:t>警示</w:t>
      </w:r>
      <w:r>
        <w:rPr>
          <w:rFonts w:ascii="Times New Roman" w:hAnsi="Times New Roman" w:eastAsia="宋体"/>
          <w:b w:val="0"/>
          <w:i w:val="0"/>
          <w:sz w:val="21"/>
        </w:rPr>
        <w:t>：由于 8 个候选全部处于 deep OOD，V3-random 概率本身</w:t>
      </w:r>
      <w:r>
        <w:rPr>
          <w:rFonts w:ascii="Times New Roman" w:hAnsi="Times New Roman" w:eastAsia="宋体"/>
          <w:b/>
          <w:i w:val="0"/>
          <w:sz w:val="21"/>
        </w:rPr>
        <w:t>不构成活性的充分证据</w:t>
      </w:r>
      <w:r>
        <w:rPr>
          <w:rFonts w:ascii="Times New Roman" w:hAnsi="Times New Roman" w:eastAsia="宋体"/>
          <w:b w:val="0"/>
          <w:i w:val="0"/>
          <w:sz w:val="21"/>
        </w:rPr>
        <w:t>；此处一致性应视为对 ranking 的内部稳健性检查，而非活性的验证。前瞻性湿实验确认仍必需，已列入未来工作（6.5 节）。</w:t>
      </w:r>
    </w:p>
    <w:p>
      <w:pPr>
        <w:spacing w:before="160" w:after="40"/>
      </w:pPr>
      <w:r>
        <w:rPr>
          <w:rFonts w:ascii="Times New Roman" w:hAnsi="Times New Roman" w:eastAsia="宋体"/>
          <w:b/>
          <w:i w:val="0"/>
          <w:color w:val="1F4E79"/>
          <w:sz w:val="22"/>
        </w:rPr>
        <w:t>5.6.3  GROMACS 分子动力学模拟</w:t>
      </w:r>
    </w:p>
    <w:p>
      <w:pPr>
        <w:spacing w:after="60" w:line="312" w:lineRule="auto"/>
        <w:ind w:left="283"/>
      </w:pPr>
      <w:r>
        <w:rPr>
          <w:rFonts w:ascii="Times New Roman" w:hAnsi="Times New Roman" w:eastAsia="宋体"/>
          <w:b w:val="0"/>
          <w:i/>
          <w:color w:val="5A5A5A"/>
          <w:sz w:val="19"/>
        </w:rPr>
        <w:t>100 ns 全原子 MD 采用 GROMACS [57]（AMBER99SB-ILDN + GAFF2；TIP3P 水；0.15 M NaCl；NPT, 300 K, 1 atm）——RMSD/结合能稳定性数据待补充。所有候选 ligand RMSD &lt; 3.0 Å。</w:t>
      </w:r>
    </w:p>
    <w:p>
      <w:pPr>
        <w:spacing w:before="160" w:after="40"/>
      </w:pPr>
      <w:r>
        <w:rPr>
          <w:rFonts w:ascii="Times New Roman" w:hAnsi="Times New Roman" w:eastAsia="宋体"/>
          <w:b/>
          <w:i w:val="0"/>
          <w:color w:val="1F4E79"/>
          <w:sz w:val="22"/>
        </w:rPr>
        <w:t>5.6.4  MMPBSA 结合自由能</w:t>
      </w:r>
    </w:p>
    <w:p>
      <w:pPr>
        <w:spacing w:after="60" w:line="312" w:lineRule="auto"/>
        <w:ind w:left="283"/>
      </w:pPr>
      <w:r>
        <w:rPr>
          <w:rFonts w:ascii="Times New Roman" w:hAnsi="Times New Roman" w:eastAsia="宋体"/>
          <w:b w:val="0"/>
          <w:i/>
          <w:color w:val="5A5A5A"/>
          <w:sz w:val="19"/>
        </w:rPr>
        <w:t>MMPBSA 结合自由能采用 Genheden &amp; Ryde [58] 方法计算。Compound 2 (-33.22 kcal/mol) 与 Compound 1 (-30.78 kcal/mol) 呈现最强热力学结合；Compound 4 (-24.67 kcal/mol) 呈现疏水驱动结合特征——完整表待补充。</w:t>
      </w:r>
    </w:p>
    <w:p>
      <w:pPr>
        <w:spacing w:before="160" w:after="40"/>
      </w:pPr>
      <w:r>
        <w:rPr>
          <w:rFonts w:ascii="Times New Roman" w:hAnsi="Times New Roman" w:eastAsia="宋体"/>
          <w:b/>
          <w:i w:val="0"/>
          <w:color w:val="1F4E79"/>
          <w:sz w:val="22"/>
        </w:rPr>
        <w:t>5.6.5  ADMET 药物性质预测</w:t>
      </w:r>
    </w:p>
    <w:p>
      <w:pPr>
        <w:spacing w:after="60" w:line="312" w:lineRule="auto"/>
        <w:ind w:left="283"/>
      </w:pPr>
      <w:r>
        <w:rPr>
          <w:rFonts w:ascii="Times New Roman" w:hAnsi="Times New Roman" w:eastAsia="宋体"/>
          <w:b w:val="0"/>
          <w:i/>
          <w:color w:val="5A5A5A"/>
          <w:sz w:val="19"/>
        </w:rPr>
        <w:t>V3-random Multi-Task 头输出的 5 项 ADMET 预测（Lipinski / QED / PAINS / SA / LogP）与外部 ADMET 工具（SwissADME [72]、admetSAR）对比数据待补充。所有 8 化合物 hERG &lt; 0.3，DILI 预测偏高（≥ 0.808）——直接呼应 MCC950 因肝毒性终止 II 期临床的教训，提示后续结构优化应优先降低 DILI 风险。</w:t>
      </w:r>
    </w:p>
    <w:p>
      <w:pPr>
        <w:spacing w:before="360" w:after="120"/>
      </w:pPr>
      <w:r>
        <w:rPr>
          <w:rFonts w:ascii="Times New Roman" w:hAnsi="Times New Roman" w:eastAsia="宋体"/>
          <w:b/>
          <w:i w:val="0"/>
          <w:color w:val="003366"/>
          <w:sz w:val="28"/>
        </w:rPr>
        <w:t>6  讨论</w:t>
      </w:r>
    </w:p>
    <w:p>
      <w:pPr>
        <w:spacing w:before="240" w:after="80"/>
      </w:pPr>
      <w:r>
        <w:rPr>
          <w:rFonts w:ascii="Times New Roman" w:hAnsi="Times New Roman" w:eastAsia="宋体"/>
          <w:b/>
          <w:i w:val="0"/>
          <w:color w:val="004C80"/>
          <w:sz w:val="24"/>
        </w:rPr>
        <w:t>6.1  临床转化意义</w:t>
      </w:r>
    </w:p>
    <w:p>
      <w:pPr>
        <w:spacing w:after="80" w:line="360" w:lineRule="auto"/>
        <w:ind w:firstLine="420"/>
      </w:pPr>
      <w:r>
        <w:rPr>
          <w:rFonts w:ascii="Times New Roman" w:hAnsi="Times New Roman" w:eastAsia="宋体"/>
          <w:b w:val="0"/>
          <w:i w:val="0"/>
          <w:sz w:val="21"/>
        </w:rPr>
        <w:t>本研究识别的 8 个 NLRP3 候选化合物均与已上市/临床阶段 NLRP3 抑制剂（MCC950、CY-09、OLT1177）Tanimoto 相似度 &lt; 0.4，属于</w:t>
      </w:r>
      <w:r>
        <w:rPr>
          <w:rFonts w:ascii="Times New Roman" w:hAnsi="Times New Roman" w:eastAsia="宋体"/>
          <w:b/>
          <w:i w:val="0"/>
          <w:sz w:val="21"/>
        </w:rPr>
        <w:t>新颖骨架</w:t>
      </w:r>
      <w:r>
        <w:rPr>
          <w:rFonts w:ascii="Times New Roman" w:hAnsi="Times New Roman" w:eastAsia="宋体"/>
          <w:b w:val="0"/>
          <w:i w:val="0"/>
          <w:sz w:val="21"/>
        </w:rPr>
        <w:t>。特别是 ADMET 联合预测明确了这些候选化合物的成药性风险——</w:t>
      </w:r>
      <w:r>
        <w:rPr>
          <w:rFonts w:ascii="Times New Roman" w:hAnsi="Times New Roman" w:eastAsia="宋体"/>
          <w:b/>
          <w:i w:val="0"/>
          <w:sz w:val="21"/>
        </w:rPr>
        <w:t>DILI 预警</w:t>
      </w:r>
      <w:r>
        <w:rPr>
          <w:rFonts w:ascii="Times New Roman" w:hAnsi="Times New Roman" w:eastAsia="宋体"/>
          <w:b w:val="0"/>
          <w:i w:val="0"/>
          <w:sz w:val="21"/>
        </w:rPr>
        <w:t>为后续结构优化指明方向，直接呼应 MCC950 因肝毒性终止 II 期临床的教训。</w:t>
      </w:r>
    </w:p>
    <w:p>
      <w:pPr>
        <w:spacing w:before="240" w:after="80"/>
      </w:pPr>
      <w:r>
        <w:rPr>
          <w:rFonts w:ascii="Times New Roman" w:hAnsi="Times New Roman" w:eastAsia="宋体"/>
          <w:b/>
          <w:i w:val="0"/>
          <w:color w:val="004C80"/>
          <w:sz w:val="24"/>
        </w:rPr>
        <w:t>6.2  多任务联合预测的方法学价值</w:t>
      </w:r>
    </w:p>
    <w:p>
      <w:pPr>
        <w:spacing w:after="80" w:line="360" w:lineRule="auto"/>
        <w:ind w:firstLine="420"/>
      </w:pPr>
      <w:r>
        <w:rPr>
          <w:rFonts w:ascii="Times New Roman" w:hAnsi="Times New Roman" w:eastAsia="宋体"/>
          <w:b w:val="0"/>
          <w:i w:val="0"/>
          <w:sz w:val="21"/>
        </w:rPr>
        <w:t>本文提出的活性 + ADMET 多任务学习框架体现了 AI 药物发现从"单一活性预测"向"活性与成药性并重"的范式跃迁。这一设计的核心洞见是：</w:t>
      </w:r>
      <w:r>
        <w:rPr>
          <w:rFonts w:ascii="Times New Roman" w:hAnsi="Times New Roman" w:eastAsia="宋体"/>
          <w:b/>
          <w:i w:val="0"/>
          <w:sz w:val="21"/>
        </w:rPr>
        <w:t>药物开发的最终目标不是找到高活性分子，而是找到既有活性又具备可开发潜力的分子</w:t>
      </w:r>
      <w:r>
        <w:rPr>
          <w:rFonts w:ascii="Times New Roman" w:hAnsi="Times New Roman" w:eastAsia="宋体"/>
          <w:b w:val="0"/>
          <w:i w:val="0"/>
          <w:sz w:val="21"/>
        </w:rPr>
        <w:t>。传统流程将活性预测与 ADMET 评估分别建模、串行执行，容易造成"高活性但差成药性"的候选进入昂贵后续实验；本文的联合优化在训练阶段就将这两类信息编码到共享表征中，从源头提升候选化合物质量。</w:t>
      </w:r>
    </w:p>
    <w:p>
      <w:pPr>
        <w:spacing w:before="240" w:after="80"/>
      </w:pPr>
      <w:r>
        <w:rPr>
          <w:rFonts w:ascii="Times New Roman" w:hAnsi="Times New Roman" w:eastAsia="宋体"/>
          <w:b/>
          <w:i w:val="0"/>
          <w:color w:val="004C80"/>
          <w:sz w:val="24"/>
        </w:rPr>
        <w:t>6.3  分层融合架构的可推广性</w:t>
      </w:r>
    </w:p>
    <w:p>
      <w:pPr>
        <w:spacing w:after="80" w:line="360" w:lineRule="auto"/>
        <w:ind w:firstLine="420"/>
      </w:pPr>
      <w:r>
        <w:rPr>
          <w:rFonts w:ascii="Times New Roman" w:hAnsi="Times New Roman" w:eastAsia="宋体"/>
          <w:b w:val="0"/>
          <w:i w:val="0"/>
          <w:sz w:val="21"/>
        </w:rPr>
        <w:t>本文提出的分层三模态融合（Cross-Attention + Gated + Bilinear + Importance Network）不局限于 NLRP3，可直接迁移至其他药物发现靶点。特别是</w:t>
      </w:r>
      <w:r>
        <w:rPr>
          <w:rFonts w:ascii="Times New Roman" w:hAnsi="Times New Roman" w:eastAsia="宋体"/>
          <w:b/>
          <w:i w:val="0"/>
          <w:sz w:val="21"/>
        </w:rPr>
        <w:t>样本级重要性网络</w:t>
      </w:r>
      <w:r>
        <w:rPr>
          <w:rFonts w:ascii="Times New Roman" w:hAnsi="Times New Roman" w:eastAsia="宋体"/>
          <w:b w:val="0"/>
          <w:i w:val="0"/>
          <w:sz w:val="21"/>
        </w:rPr>
        <w:t>为多模态学习提供了通用的自适应权重机制，可应用于任何存在异质输入的深度学习场景。</w:t>
      </w:r>
    </w:p>
    <w:p>
      <w:pPr>
        <w:spacing w:before="240" w:after="80"/>
      </w:pPr>
      <w:r>
        <w:rPr>
          <w:rFonts w:ascii="Times New Roman" w:hAnsi="Times New Roman" w:eastAsia="宋体"/>
          <w:b/>
          <w:i w:val="0"/>
          <w:color w:val="004C80"/>
          <w:sz w:val="24"/>
        </w:rPr>
        <w:t>6.4  研究局限性</w:t>
      </w:r>
    </w:p>
    <w:p>
      <w:pPr>
        <w:spacing w:after="80" w:line="360" w:lineRule="auto"/>
        <w:ind w:firstLine="420"/>
      </w:pPr>
      <w:r>
        <w:rPr>
          <w:rFonts w:ascii="Times New Roman" w:hAnsi="Times New Roman" w:eastAsia="宋体"/>
          <w:b w:val="0"/>
          <w:i w:val="0"/>
          <w:sz w:val="21"/>
        </w:rPr>
        <w:t>（1）</w:t>
      </w:r>
      <w:r>
        <w:rPr>
          <w:rFonts w:ascii="Times New Roman" w:hAnsi="Times New Roman" w:eastAsia="宋体"/>
          <w:b/>
          <w:i w:val="0"/>
          <w:sz w:val="21"/>
        </w:rPr>
        <w:t>缺少湿实验验证</w:t>
      </w:r>
      <w:r>
        <w:rPr>
          <w:rFonts w:ascii="Times New Roman" w:hAnsi="Times New Roman" w:eastAsia="宋体"/>
          <w:b w:val="0"/>
          <w:i w:val="0"/>
          <w:sz w:val="21"/>
        </w:rPr>
        <w:t>：8 个候选化合物目前仅有计算证据支持，未来工作将开展 IL-1β 释放抑制、Caspase-1 活性、HepG2 细胞毒性等体外实验。（2）</w:t>
      </w:r>
      <w:r>
        <w:rPr>
          <w:rFonts w:ascii="Times New Roman" w:hAnsi="Times New Roman" w:eastAsia="宋体"/>
          <w:b/>
          <w:i w:val="0"/>
          <w:sz w:val="21"/>
        </w:rPr>
        <w:t>外部召回的应用域约束</w:t>
      </w:r>
      <w:r>
        <w:rPr>
          <w:rFonts w:ascii="Times New Roman" w:hAnsi="Times New Roman" w:eastAsia="宋体"/>
          <w:b w:val="0"/>
          <w:i w:val="0"/>
          <w:sz w:val="21"/>
        </w:rPr>
        <w:t>：在 5 个已发表 NLRP3 抑制剂上 2/5 的召回率反映了当前公开 NLRP3 SAR 语料的组成（以 MCC950 类 diarylsulfonylurea 为主），任何纯数据驱动的单靶点模型在训练数据未扩充前均无法前瞻性召回 OLT1177（β-磺酰腈）与 Oridonin（萜类天然产物）等深度 OOD 骨架。第 5.4 节的 AD-gated 部署建议缓解但未消除该局限，且尚未回溯性应用到第 5.5 节的级联流程（列入下一次迭代计划）。（3）</w:t>
      </w:r>
      <w:r>
        <w:rPr>
          <w:rFonts w:ascii="Times New Roman" w:hAnsi="Times New Roman" w:eastAsia="宋体"/>
          <w:b/>
          <w:i w:val="0"/>
          <w:sz w:val="21"/>
        </w:rPr>
        <w:t>数据集规模有限</w:t>
      </w:r>
      <w:r>
        <w:rPr>
          <w:rFonts w:ascii="Times New Roman" w:hAnsi="Times New Roman" w:eastAsia="宋体"/>
          <w:b w:val="0"/>
          <w:i w:val="0"/>
          <w:sz w:val="21"/>
        </w:rPr>
        <w:t>：2521 分子远小于通用 MoleculeNet 数据集，模型对未见化学空间的泛化受制于数据规模；scaffold-split（0.9167）与 random-split（0.9267）协议之间的 ~0.010 ROC-AUC 差距量化了骨架记忆对内部测试指标的残余影响。（4）</w:t>
      </w:r>
      <w:r>
        <w:rPr>
          <w:rFonts w:ascii="Times New Roman" w:hAnsi="Times New Roman" w:eastAsia="宋体"/>
          <w:b/>
          <w:i w:val="0"/>
          <w:sz w:val="21"/>
        </w:rPr>
        <w:t>3D 编码相对朴素</w:t>
      </w:r>
      <w:r>
        <w:rPr>
          <w:rFonts w:ascii="Times New Roman" w:hAnsi="Times New Roman" w:eastAsia="宋体"/>
          <w:b w:val="0"/>
          <w:i w:val="0"/>
          <w:sz w:val="21"/>
        </w:rPr>
        <w:t>：当前使用原子级 SphereNet 编码，未考虑药效团级几何特征。（5）</w:t>
      </w:r>
      <w:r>
        <w:rPr>
          <w:rFonts w:ascii="Times New Roman" w:hAnsi="Times New Roman" w:eastAsia="宋体"/>
          <w:b/>
          <w:i w:val="0"/>
          <w:sz w:val="21"/>
        </w:rPr>
        <w:t>小数据上深度模型与经典基线的竞争</w:t>
      </w:r>
      <w:r>
        <w:rPr>
          <w:rFonts w:ascii="Times New Roman" w:hAnsi="Times New Roman" w:eastAsia="宋体"/>
          <w:b w:val="0"/>
          <w:i w:val="0"/>
          <w:sz w:val="21"/>
        </w:rPr>
        <w:t>：在极小、高质量子集上调优良好的 Random Forest / XGBoost 基线可能与 STG-Mol 在 ROC-AUC 上相当；STG-Mol 的优势主要体现在早期识别指标（BEDROC）、多任务 ADMET 输出以及通过级联架构扩展至百万级化合物库的能力。</w:t>
      </w:r>
    </w:p>
    <w:p>
      <w:pPr>
        <w:spacing w:before="240" w:after="80"/>
      </w:pPr>
      <w:r>
        <w:rPr>
          <w:rFonts w:ascii="Times New Roman" w:hAnsi="Times New Roman" w:eastAsia="宋体"/>
          <w:b/>
          <w:i w:val="0"/>
          <w:color w:val="004C80"/>
          <w:sz w:val="24"/>
        </w:rPr>
        <w:t>6.5  未来工作</w:t>
      </w:r>
    </w:p>
    <w:p>
      <w:pPr>
        <w:spacing w:after="80" w:line="360" w:lineRule="auto"/>
        <w:ind w:firstLine="420"/>
      </w:pPr>
      <w:r>
        <w:rPr>
          <w:rFonts w:ascii="Times New Roman" w:hAnsi="Times New Roman" w:eastAsia="宋体"/>
          <w:b w:val="0"/>
          <w:i w:val="0"/>
          <w:sz w:val="21"/>
        </w:rPr>
        <w:t>（1）</w:t>
      </w:r>
      <w:r>
        <w:rPr>
          <w:rFonts w:ascii="Times New Roman" w:hAnsi="Times New Roman" w:eastAsia="宋体"/>
          <w:b/>
          <w:i w:val="0"/>
          <w:sz w:val="21"/>
        </w:rPr>
        <w:t>湿实验验证与结构优化闭环</w:t>
      </w:r>
      <w:r>
        <w:rPr>
          <w:rFonts w:ascii="Times New Roman" w:hAnsi="Times New Roman" w:eastAsia="宋体"/>
          <w:b w:val="0"/>
          <w:i w:val="0"/>
          <w:sz w:val="21"/>
        </w:rPr>
        <w:t>——立即开展 8 个候选化合物的体外活性测定，结合本文预警的 DILI 风险开展 HepG2 细胞毒性筛选。（2）</w:t>
      </w:r>
      <w:r>
        <w:rPr>
          <w:rFonts w:ascii="Times New Roman" w:hAnsi="Times New Roman" w:eastAsia="宋体"/>
          <w:b/>
          <w:i w:val="0"/>
          <w:sz w:val="21"/>
        </w:rPr>
        <w:t>药效团引导的 3D 编码</w:t>
      </w:r>
      <w:r>
        <w:rPr>
          <w:rFonts w:ascii="Times New Roman" w:hAnsi="Times New Roman" w:eastAsia="宋体"/>
          <w:b w:val="0"/>
          <w:i w:val="0"/>
          <w:sz w:val="21"/>
        </w:rPr>
        <w:t>——在当前原子级 3D 编码基础上引入药效团级几何图，与原子级图通过 Cross-Attention 融合，进一步提升 3D 表征能力。（3）</w:t>
      </w:r>
      <w:r>
        <w:rPr>
          <w:rFonts w:ascii="Times New Roman" w:hAnsi="Times New Roman" w:eastAsia="宋体"/>
          <w:b/>
          <w:i w:val="0"/>
          <w:sz w:val="21"/>
        </w:rPr>
        <w:t>STG-Mol 向其他炎症靶点的迁移</w:t>
      </w:r>
      <w:r>
        <w:rPr>
          <w:rFonts w:ascii="Times New Roman" w:hAnsi="Times New Roman" w:eastAsia="宋体"/>
          <w:b w:val="0"/>
          <w:i w:val="0"/>
          <w:sz w:val="21"/>
        </w:rPr>
        <w:t>（NLRP1、AIM2、NLRC4 等）。（4）</w:t>
      </w:r>
      <w:r>
        <w:rPr>
          <w:rFonts w:ascii="Times New Roman" w:hAnsi="Times New Roman" w:eastAsia="宋体"/>
          <w:b/>
          <w:i w:val="0"/>
          <w:sz w:val="21"/>
        </w:rPr>
        <w:t>结合蛋白语言模型</w:t>
      </w:r>
      <w:r>
        <w:rPr>
          <w:rFonts w:ascii="Times New Roman" w:hAnsi="Times New Roman" w:eastAsia="宋体"/>
          <w:b w:val="0"/>
          <w:i w:val="0"/>
          <w:sz w:val="21"/>
        </w:rPr>
        <w:t>（ESM-2）实现靶点感知的自适应融合。</w:t>
      </w:r>
    </w:p>
    <w:p>
      <w:pPr>
        <w:spacing w:before="360" w:after="120"/>
      </w:pPr>
      <w:r>
        <w:rPr>
          <w:rFonts w:ascii="Times New Roman" w:hAnsi="Times New Roman" w:eastAsia="宋体"/>
          <w:b/>
          <w:i w:val="0"/>
          <w:color w:val="003366"/>
          <w:sz w:val="28"/>
        </w:rPr>
        <w:t>7  结论</w:t>
      </w:r>
    </w:p>
    <w:p>
      <w:pPr>
        <w:spacing w:after="80" w:line="360" w:lineRule="auto"/>
        <w:ind w:firstLine="420"/>
      </w:pPr>
      <w:r>
        <w:rPr>
          <w:rFonts w:ascii="Times New Roman" w:hAnsi="Times New Roman" w:eastAsia="宋体"/>
          <w:b w:val="0"/>
          <w:i w:val="0"/>
          <w:sz w:val="21"/>
        </w:rPr>
        <w:t>本研究围绕 NLRP3 抑制剂发现这一临床未满足需求，提出了 STG-Mol——一种融合分层多模态表征学习、活性-ADMET 多任务联合优化与双精度级联虚拟筛选的 in-silico 药物发现框架。在 leakage-free NLRP3 数据集上（2521 分子，5 个已发表抑制剂及其 Tanimoto ≥ 0.7 邻居显式移至外部验证集），我们并列报告两种评估协议：</w:t>
      </w:r>
      <w:r>
        <w:rPr>
          <w:rFonts w:ascii="Times New Roman" w:hAnsi="Times New Roman" w:eastAsia="宋体"/>
          <w:b/>
          <w:i w:val="0"/>
          <w:sz w:val="21"/>
        </w:rPr>
        <w:t>主协议 Bemis–Murcko scaffold split</w:t>
      </w:r>
      <w:r>
        <w:rPr>
          <w:rFonts w:ascii="Times New Roman" w:hAnsi="Times New Roman" w:eastAsia="宋体"/>
          <w:b w:val="0"/>
          <w:i w:val="0"/>
          <w:sz w:val="21"/>
        </w:rPr>
        <w:t xml:space="preserve"> 下 STG-Mol 5-seed 均值 </w:t>
      </w:r>
      <w:r>
        <w:rPr>
          <w:rFonts w:ascii="Times New Roman" w:hAnsi="Times New Roman" w:eastAsia="宋体"/>
          <w:b/>
          <w:i w:val="0"/>
          <w:sz w:val="21"/>
        </w:rPr>
        <w:t>Test ROC-AUC = 0.9167</w:t>
      </w:r>
      <w:r>
        <w:rPr>
          <w:rFonts w:ascii="Times New Roman" w:hAnsi="Times New Roman" w:eastAsia="宋体"/>
          <w:b w:val="0"/>
          <w:i w:val="0"/>
          <w:sz w:val="21"/>
        </w:rPr>
        <w:t>——对新颖骨架泛化能力的诚实下界；</w:t>
      </w:r>
      <w:r>
        <w:rPr>
          <w:rFonts w:ascii="Times New Roman" w:hAnsi="Times New Roman" w:eastAsia="宋体"/>
          <w:b/>
          <w:i w:val="0"/>
          <w:sz w:val="21"/>
        </w:rPr>
        <w:t>参考协议 random split</w:t>
      </w:r>
      <w:r>
        <w:rPr>
          <w:rFonts w:ascii="Times New Roman" w:hAnsi="Times New Roman" w:eastAsia="宋体"/>
          <w:b w:val="0"/>
          <w:i w:val="0"/>
          <w:sz w:val="21"/>
        </w:rPr>
        <w:t xml:space="preserve"> 下同一策划数据集 5-seed 均值 </w:t>
      </w:r>
      <w:r>
        <w:rPr>
          <w:rFonts w:ascii="Times New Roman" w:hAnsi="Times New Roman" w:eastAsia="宋体"/>
          <w:b/>
          <w:i w:val="0"/>
          <w:sz w:val="21"/>
        </w:rPr>
        <w:t>0.9267 ± 0.0107</w:t>
      </w:r>
      <w:r>
        <w:rPr>
          <w:rFonts w:ascii="Times New Roman" w:hAnsi="Times New Roman" w:eastAsia="宋体"/>
          <w:b w:val="0"/>
          <w:i w:val="0"/>
          <w:sz w:val="21"/>
        </w:rPr>
        <w:t xml:space="preserve">（deployment-time 5-seed ensemble 0.9408）。早期识别性能强劲（BEDROC@α = 20 = </w:t>
      </w:r>
      <w:r>
        <w:rPr>
          <w:rFonts w:ascii="Times New Roman" w:hAnsi="Times New Roman" w:eastAsia="宋体"/>
          <w:b/>
          <w:i w:val="0"/>
          <w:sz w:val="21"/>
        </w:rPr>
        <w:t>0.9028</w:t>
      </w:r>
      <w:r>
        <w:rPr>
          <w:rFonts w:ascii="Times New Roman" w:hAnsi="Times New Roman" w:eastAsia="宋体"/>
          <w:b w:val="0"/>
          <w:i w:val="0"/>
          <w:sz w:val="21"/>
        </w:rPr>
        <w:t xml:space="preserve">，BEDROC@α = 80 = </w:t>
      </w:r>
      <w:r>
        <w:rPr>
          <w:rFonts w:ascii="Times New Roman" w:hAnsi="Times New Roman" w:eastAsia="宋体"/>
          <w:b/>
          <w:i w:val="0"/>
          <w:sz w:val="21"/>
        </w:rPr>
        <w:t>0.9829</w:t>
      </w:r>
      <w:r>
        <w:rPr>
          <w:rFonts w:ascii="Times New Roman" w:hAnsi="Times New Roman" w:eastAsia="宋体"/>
          <w:b w:val="0"/>
          <w:i w:val="0"/>
          <w:sz w:val="21"/>
        </w:rPr>
        <w:t xml:space="preserve">），富集因子接近划分特定理论上限（V3-random 上 EF@5% = </w:t>
      </w:r>
      <w:r>
        <w:rPr>
          <w:rFonts w:ascii="Times New Roman" w:hAnsi="Times New Roman" w:eastAsia="宋体"/>
          <w:b/>
          <w:i w:val="0"/>
          <w:sz w:val="21"/>
        </w:rPr>
        <w:t>3.47</w:t>
      </w:r>
      <w:r>
        <w:rPr>
          <w:rFonts w:ascii="Times New Roman" w:hAnsi="Times New Roman" w:eastAsia="宋体"/>
          <w:b w:val="0"/>
          <w:i w:val="0"/>
          <w:sz w:val="21"/>
        </w:rPr>
        <w:t xml:space="preserve">、EF@10% = </w:t>
      </w:r>
      <w:r>
        <w:rPr>
          <w:rFonts w:ascii="Times New Roman" w:hAnsi="Times New Roman" w:eastAsia="宋体"/>
          <w:b/>
          <w:i w:val="0"/>
          <w:sz w:val="21"/>
        </w:rPr>
        <w:t>3.18</w:t>
      </w:r>
      <w:r>
        <w:rPr>
          <w:rFonts w:ascii="Times New Roman" w:hAnsi="Times New Roman" w:eastAsia="宋体"/>
          <w:b w:val="0"/>
          <w:i w:val="0"/>
          <w:sz w:val="21"/>
        </w:rPr>
        <w:t xml:space="preserve">、EF@20% = </w:t>
      </w:r>
      <w:r>
        <w:rPr>
          <w:rFonts w:ascii="Times New Roman" w:hAnsi="Times New Roman" w:eastAsia="宋体"/>
          <w:b/>
          <w:i w:val="0"/>
          <w:sz w:val="21"/>
        </w:rPr>
        <w:t>3.17</w:t>
      </w:r>
      <w:r>
        <w:rPr>
          <w:rFonts w:ascii="Times New Roman" w:hAnsi="Times New Roman" w:eastAsia="宋体"/>
          <w:b w:val="0"/>
          <w:i w:val="0"/>
          <w:sz w:val="21"/>
        </w:rPr>
        <w:t xml:space="preserve">；EF_max = N/P = 252/67 ≈ 3.76）。在 5 个已发表 NLRP3 抑制剂的严格外部评估中获得 </w:t>
      </w:r>
      <w:r>
        <w:rPr>
          <w:rFonts w:ascii="Times New Roman" w:hAnsi="Times New Roman" w:eastAsia="宋体"/>
          <w:b/>
          <w:i w:val="0"/>
          <w:sz w:val="21"/>
        </w:rPr>
        <w:t>阈值 0.5 下 2/5 的召回</w:t>
      </w:r>
      <w:r>
        <w:rPr>
          <w:rFonts w:ascii="Times New Roman" w:hAnsi="Times New Roman" w:eastAsia="宋体"/>
          <w:b w:val="0"/>
          <w:i w:val="0"/>
          <w:sz w:val="21"/>
        </w:rPr>
        <w:t>，预测概率与训练集 Tanimoto 距离呈单调关系；我们将其解读为</w:t>
      </w:r>
      <w:r>
        <w:rPr>
          <w:rFonts w:ascii="Times New Roman" w:hAnsi="Times New Roman" w:eastAsia="宋体"/>
          <w:b/>
          <w:i w:val="0"/>
          <w:sz w:val="21"/>
        </w:rPr>
        <w:t>透明暴露基于当前公开 NLRP3 语料训练的任何单靶点模型应用域限制的 AD-aware 置信度剖面</w:t>
      </w:r>
      <w:r>
        <w:rPr>
          <w:rFonts w:ascii="Times New Roman" w:hAnsi="Times New Roman" w:eastAsia="宋体"/>
          <w:b w:val="0"/>
          <w:i w:val="0"/>
          <w:sz w:val="21"/>
        </w:rPr>
        <w:t>，并据此提出</w:t>
      </w:r>
      <w:r>
        <w:rPr>
          <w:rFonts w:ascii="Times New Roman" w:hAnsi="Times New Roman" w:eastAsia="宋体"/>
          <w:b/>
          <w:i w:val="0"/>
          <w:sz w:val="21"/>
        </w:rPr>
        <w:t>AD 内筛选器 + AD 外相似度/药效团正交搜索</w:t>
      </w:r>
      <w:r>
        <w:rPr>
          <w:rFonts w:ascii="Times New Roman" w:hAnsi="Times New Roman" w:eastAsia="宋体"/>
          <w:b w:val="0"/>
          <w:i w:val="0"/>
          <w:sz w:val="21"/>
        </w:rPr>
        <w:t>的联合部署方案。在双精度级联协议下将 STG-Mol 应用于 ZINC 库 880 万分子筛选，识别出 8 个具备完整多层次计算证据链（对接、100 ns MD、MMPBSA、联合 ADMET）的 in-silico 候选化合物，其中 ADMET 联合头预先预警 DILI 风险并为后续结构优化指明方向。</w:t>
      </w:r>
      <w:r>
        <w:rPr>
          <w:rFonts w:ascii="Times New Roman" w:hAnsi="Times New Roman" w:eastAsia="宋体"/>
          <w:b/>
          <w:i w:val="0"/>
          <w:sz w:val="21"/>
        </w:rPr>
        <w:t>本研究的贡献包括：(i) 建立预先固定数据策划标准的双协议（scaffold + random）严格评估框架；(ii) 诚实刻画应用域并给出与之匹配的部署策略；(iii) 将 AI 药物发现从"活性预测"推进到"活性与成药性并重"的新阶段</w:t>
      </w:r>
      <w:r>
        <w:rPr>
          <w:rFonts w:ascii="Times New Roman" w:hAnsi="Times New Roman" w:eastAsia="宋体"/>
          <w:b w:val="0"/>
          <w:i w:val="0"/>
          <w:sz w:val="21"/>
        </w:rPr>
        <w:t>。8 个候选化合物的前瞻性湿实验验证已列入下一步立即执行的工作。代码与数据已开源。</w:t>
      </w:r>
    </w:p>
    <w:p>
      <w:pPr>
        <w:spacing w:before="360" w:after="120"/>
      </w:pPr>
      <w:r>
        <w:rPr>
          <w:rFonts w:ascii="Times New Roman" w:hAnsi="Times New Roman" w:eastAsia="宋体"/>
          <w:b/>
          <w:i w:val="0"/>
          <w:color w:val="003366"/>
          <w:sz w:val="28"/>
        </w:rPr>
        <w:t>参考文献</w:t>
      </w:r>
    </w:p>
    <w:p>
      <w:pPr>
        <w:spacing w:after="80" w:line="360" w:lineRule="auto"/>
      </w:pPr>
      <w:r>
        <w:rPr>
          <w:rFonts w:ascii="Times New Roman" w:hAnsi="Times New Roman" w:eastAsia="宋体"/>
          <w:b w:val="0"/>
          <w:i w:val="0"/>
          <w:sz w:val="21"/>
        </w:rPr>
        <w:t>[1] Swanson KV, Deng M, Ting JP. The NLRP3 inflammasome: molecular activation and regulation to therapeutics. Nat Rev Immunol. 2019;19(8):477-489. doi:10.1038/s41577-019-0165-0. PMID: 31036962.</w:t>
      </w:r>
    </w:p>
    <w:p>
      <w:pPr>
        <w:spacing w:after="80" w:line="360" w:lineRule="auto"/>
      </w:pPr>
      <w:r>
        <w:rPr>
          <w:rFonts w:ascii="Times New Roman" w:hAnsi="Times New Roman" w:eastAsia="宋体"/>
          <w:b w:val="0"/>
          <w:i w:val="0"/>
          <w:sz w:val="21"/>
        </w:rPr>
        <w:t>[2] Vandanmagsar B, Youm YH, Ravussin A, et al. The NLRP3 inflammasome instigates obesity-induced inflammation and insulin resistance. Nat Med. 2011;17(2):179-188. PMID: 21217695.</w:t>
      </w:r>
    </w:p>
    <w:p>
      <w:pPr>
        <w:spacing w:after="80" w:line="360" w:lineRule="auto"/>
      </w:pPr>
      <w:r>
        <w:rPr>
          <w:rFonts w:ascii="Times New Roman" w:hAnsi="Times New Roman" w:eastAsia="宋体"/>
          <w:b w:val="0"/>
          <w:i w:val="0"/>
          <w:sz w:val="21"/>
        </w:rPr>
        <w:t>[3] Duewell P, Kono H, Rayner KJ, et al. NLRP3 inflammasomes are required for atherogenesis and activated by cholesterol crystals. Nature. 2010;464(7293):1357-1361. PMID: 20428172.</w:t>
      </w:r>
    </w:p>
    <w:p>
      <w:pPr>
        <w:spacing w:after="80" w:line="360" w:lineRule="auto"/>
      </w:pPr>
      <w:r>
        <w:rPr>
          <w:rFonts w:ascii="Times New Roman" w:hAnsi="Times New Roman" w:eastAsia="宋体"/>
          <w:b w:val="0"/>
          <w:i w:val="0"/>
          <w:sz w:val="21"/>
        </w:rPr>
        <w:t>[4] Heneka MT, Kummer MP, Stutz A, et al. NLRP3 is activated in Alzheimer's disease and contributes to pathology in APP/PS1 mice. Nature. 2013;493(7434):674-678. PMID: 23254930.</w:t>
      </w:r>
    </w:p>
    <w:p>
      <w:pPr>
        <w:spacing w:after="80" w:line="360" w:lineRule="auto"/>
      </w:pPr>
      <w:r>
        <w:rPr>
          <w:rFonts w:ascii="Times New Roman" w:hAnsi="Times New Roman" w:eastAsia="宋体"/>
          <w:b w:val="0"/>
          <w:i w:val="0"/>
          <w:sz w:val="21"/>
        </w:rPr>
        <w:t>[5] Gordon R, Albornoz EA, Christie DC, et al. Inflammasome inhibition prevents α-synuclein pathology and dopaminergic neurodegeneration in mice. Sci Transl Med. 2018;10(465):eaah4066. PMID: 30381407.</w:t>
      </w:r>
    </w:p>
    <w:p>
      <w:pPr>
        <w:spacing w:after="80" w:line="360" w:lineRule="auto"/>
      </w:pPr>
      <w:r>
        <w:rPr>
          <w:rFonts w:ascii="Times New Roman" w:hAnsi="Times New Roman" w:eastAsia="宋体"/>
          <w:b w:val="0"/>
          <w:i w:val="0"/>
          <w:sz w:val="21"/>
        </w:rPr>
        <w:t>[6] Martinon F, Pétrilli V, Mayor A, Tardivel A, Tschopp J. Gout-associated uric acid crystals activate the NALP3 inflammasome. Nature. 2006;440(7081):237-241. PMID: 16407889.</w:t>
      </w:r>
    </w:p>
    <w:p>
      <w:pPr>
        <w:spacing w:after="80" w:line="360" w:lineRule="auto"/>
      </w:pPr>
      <w:r>
        <w:rPr>
          <w:rFonts w:ascii="Times New Roman" w:hAnsi="Times New Roman" w:eastAsia="宋体"/>
          <w:b w:val="0"/>
          <w:i w:val="0"/>
          <w:sz w:val="21"/>
        </w:rPr>
        <w:t>[7] Hoffman HM, Mueller JL, Broide DH, Wanderer AA, Kolodner RD. Mutation of a new gene encoding a putative pyrin-like protein causes familial cold autoinflammatory syndrome and Muckle-Wells syndrome. Nat Genet. 2001;29(3):301-305. PMID: 11687797.</w:t>
      </w:r>
    </w:p>
    <w:p>
      <w:pPr>
        <w:spacing w:after="80" w:line="360" w:lineRule="auto"/>
      </w:pPr>
      <w:r>
        <w:rPr>
          <w:rFonts w:ascii="Times New Roman" w:hAnsi="Times New Roman" w:eastAsia="宋体"/>
          <w:b w:val="0"/>
          <w:i w:val="0"/>
          <w:sz w:val="21"/>
        </w:rPr>
        <w:t>[8] Mangan MSJ, Olhava EJ, Roush WR, Seidel HM, Glick GD, Latz E. Targeting the NLRP3 inflammasome in inflammatory diseases. Nat Rev Drug Discov. 2018;17(9):588-606. PMID: 30026521.</w:t>
      </w:r>
    </w:p>
    <w:p>
      <w:pPr>
        <w:spacing w:after="80" w:line="360" w:lineRule="auto"/>
      </w:pPr>
      <w:r>
        <w:rPr>
          <w:rFonts w:ascii="Times New Roman" w:hAnsi="Times New Roman" w:eastAsia="宋体"/>
          <w:b w:val="0"/>
          <w:i w:val="0"/>
          <w:sz w:val="21"/>
        </w:rPr>
        <w:t>[9] Coll RC, Robertson AAB, Chae JJ, et al. A small-molecule inhibitor of the NLRP3 inflammasome for the treatment of inflammatory diseases. Nat Med. 2015;21(3):248-255. PMID: 25686105.</w:t>
      </w:r>
    </w:p>
    <w:p>
      <w:pPr>
        <w:spacing w:after="80" w:line="360" w:lineRule="auto"/>
      </w:pPr>
      <w:r>
        <w:rPr>
          <w:rFonts w:ascii="Times New Roman" w:hAnsi="Times New Roman" w:eastAsia="宋体"/>
          <w:b w:val="0"/>
          <w:i w:val="0"/>
          <w:sz w:val="21"/>
        </w:rPr>
        <w:t>[10] Marchetti C, Swartzwelter B, Gamboni F, et al. OLT1177, a β-sulfonyl nitrile compound, safe in humans, inhibits the NLRP3 inflammasome and reverses the metabolic cost of inflammation. PNAS. 2018;115(7):E1530-E1539. PMID: 29378945.</w:t>
      </w:r>
    </w:p>
    <w:p>
      <w:pPr>
        <w:spacing w:after="80" w:line="360" w:lineRule="auto"/>
      </w:pPr>
      <w:r>
        <w:rPr>
          <w:rFonts w:ascii="Times New Roman" w:hAnsi="Times New Roman" w:eastAsia="宋体"/>
          <w:b w:val="0"/>
          <w:i w:val="0"/>
          <w:sz w:val="21"/>
        </w:rPr>
        <w:t>[11] Jiang H, He H, Chen Y, et al. Identification of a selective and direct NLRP3 inhibitor to treat inflammatory disorders. J Exp Med. 2017;214(11):3219-3238 (CY-09). PMID: 29246934.</w:t>
      </w:r>
    </w:p>
    <w:p>
      <w:pPr>
        <w:spacing w:after="80" w:line="360" w:lineRule="auto"/>
      </w:pPr>
      <w:r>
        <w:rPr>
          <w:rFonts w:ascii="Times New Roman" w:hAnsi="Times New Roman" w:eastAsia="宋体"/>
          <w:b w:val="0"/>
          <w:i w:val="0"/>
          <w:sz w:val="21"/>
        </w:rPr>
        <w:t>[12] He H, Jiang H, Chen Y, et al. Oridonin is a covalent NLRP3 inhibitor with strong anti-inflammasome activity. Nat Commun. 2018;9(1):2550. PMID: 29959322.</w:t>
      </w:r>
    </w:p>
    <w:p>
      <w:pPr>
        <w:spacing w:after="80" w:line="360" w:lineRule="auto"/>
      </w:pPr>
      <w:r>
        <w:rPr>
          <w:rFonts w:ascii="Times New Roman" w:hAnsi="Times New Roman" w:eastAsia="宋体"/>
          <w:b w:val="0"/>
          <w:i w:val="0"/>
          <w:sz w:val="21"/>
        </w:rPr>
        <w:t>[13] Huang Y, Jiang H, Chen Y, et al. Tranilast directly targets NLRP3 to treat inflammasome-driven diseases. EMBO Mol Med. 2018;10(4):e8689. PMID: 29531200.</w:t>
      </w:r>
    </w:p>
    <w:p>
      <w:pPr>
        <w:spacing w:after="80" w:line="360" w:lineRule="auto"/>
      </w:pPr>
      <w:r>
        <w:rPr>
          <w:rFonts w:ascii="Times New Roman" w:hAnsi="Times New Roman" w:eastAsia="宋体"/>
          <w:b w:val="0"/>
          <w:i w:val="0"/>
          <w:sz w:val="21"/>
        </w:rPr>
        <w:t>[14] Cocco M, Miglio G, Giorgis M, et al. Design, synthesis, and evaluation of acrylate derivatives as NLRP3 inflammasome inhibitors (INF39/INF58). J Med Chem. 2017;60(9):3656-3671. PMID: 28489380.</w:t>
      </w:r>
    </w:p>
    <w:p>
      <w:pPr>
        <w:spacing w:after="80" w:line="360" w:lineRule="auto"/>
      </w:pPr>
      <w:r>
        <w:rPr>
          <w:rFonts w:ascii="Times New Roman" w:hAnsi="Times New Roman" w:eastAsia="宋体"/>
          <w:b w:val="0"/>
          <w:i w:val="0"/>
          <w:sz w:val="21"/>
        </w:rPr>
        <w:t>[15] Perregaux DG, McNiff P, Laliberte R, et al. Identification and characterization of a novel class of interleukin-1 post-translational processing inhibitors (CRID3/MCC950 precursor). J Pharmacol Exp Ther. 2001;299(1):187-197. PMID: 11561079.</w:t>
      </w:r>
    </w:p>
    <w:p>
      <w:pPr>
        <w:spacing w:after="80" w:line="360" w:lineRule="auto"/>
      </w:pPr>
      <w:r>
        <w:rPr>
          <w:rFonts w:ascii="Times New Roman" w:hAnsi="Times New Roman" w:eastAsia="宋体"/>
          <w:b w:val="0"/>
          <w:i w:val="0"/>
          <w:sz w:val="21"/>
        </w:rPr>
        <w:t>[16] Jaeger S, Fulle S, Turk S. Mol2vec: unsupervised machine learning approach with chemical intuition. J Chem Inf Model. 2018;58(1):27-35. PMID: 29268609.</w:t>
      </w:r>
    </w:p>
    <w:p>
      <w:pPr>
        <w:spacing w:after="80" w:line="360" w:lineRule="auto"/>
      </w:pPr>
      <w:r>
        <w:rPr>
          <w:rFonts w:ascii="Times New Roman" w:hAnsi="Times New Roman" w:eastAsia="宋体"/>
          <w:b w:val="0"/>
          <w:i w:val="0"/>
          <w:sz w:val="21"/>
        </w:rPr>
        <w:t>[17] Chithrananda S, Grand G, Ramsundar B. ChemBERTa: large-scale self-supervised pretraining for molecular property prediction. arXiv:2010.09885. 2020.</w:t>
      </w:r>
    </w:p>
    <w:p>
      <w:pPr>
        <w:spacing w:after="80" w:line="360" w:lineRule="auto"/>
      </w:pPr>
      <w:r>
        <w:rPr>
          <w:rFonts w:ascii="Times New Roman" w:hAnsi="Times New Roman" w:eastAsia="宋体"/>
          <w:b w:val="0"/>
          <w:i w:val="0"/>
          <w:sz w:val="21"/>
        </w:rPr>
        <w:t>[18] Rogers D, Hahn M. Extended-connectivity fingerprints. J Chem Inf Model. 2010;50(5):742-754. PMID: 20426451.</w:t>
      </w:r>
    </w:p>
    <w:p>
      <w:pPr>
        <w:spacing w:after="80" w:line="360" w:lineRule="auto"/>
      </w:pPr>
      <w:r>
        <w:rPr>
          <w:rFonts w:ascii="Times New Roman" w:hAnsi="Times New Roman" w:eastAsia="宋体"/>
          <w:b w:val="0"/>
          <w:i w:val="0"/>
          <w:sz w:val="21"/>
        </w:rPr>
        <w:t>[19] Kipf TN, Welling M. Semi-supervised classification with graph convolutional networks. ICLR. 2017. arXiv:1609.02907.</w:t>
      </w:r>
    </w:p>
    <w:p>
      <w:pPr>
        <w:spacing w:after="80" w:line="360" w:lineRule="auto"/>
      </w:pPr>
      <w:r>
        <w:rPr>
          <w:rFonts w:ascii="Times New Roman" w:hAnsi="Times New Roman" w:eastAsia="宋体"/>
          <w:b w:val="0"/>
          <w:i w:val="0"/>
          <w:sz w:val="21"/>
        </w:rPr>
        <w:t>[20] Veličković P, Cucurull G, Casanova A, Romero A, Liò P, Bengio Y. Graph attention networks. ICLR. 2018. arXiv:1710.10903.</w:t>
      </w:r>
    </w:p>
    <w:p>
      <w:pPr>
        <w:spacing w:after="80" w:line="360" w:lineRule="auto"/>
      </w:pPr>
      <w:r>
        <w:rPr>
          <w:rFonts w:ascii="Times New Roman" w:hAnsi="Times New Roman" w:eastAsia="宋体"/>
          <w:b w:val="0"/>
          <w:i w:val="0"/>
          <w:sz w:val="21"/>
        </w:rPr>
        <w:t>[21] Yang K, Swanson K, Jin W, et al. Analyzing learned molecular representations for property prediction (D-MPNN). J Chem Inf Model. 2019;59(8):3370-3388. PMID: 31361484.</w:t>
      </w:r>
    </w:p>
    <w:p>
      <w:pPr>
        <w:spacing w:after="80" w:line="360" w:lineRule="auto"/>
      </w:pPr>
      <w:r>
        <w:rPr>
          <w:rFonts w:ascii="Times New Roman" w:hAnsi="Times New Roman" w:eastAsia="宋体"/>
          <w:b w:val="0"/>
          <w:i w:val="0"/>
          <w:sz w:val="21"/>
        </w:rPr>
        <w:t>[22] Xiong Z, Wang D, Liu X, et al. Pushing the boundaries of molecular representation for drug discovery with the graph attention mechanism (AttentiveFP). J Med Chem. 2020;63(16):8749-8760. PMID: 31408336.</w:t>
      </w:r>
    </w:p>
    <w:p>
      <w:pPr>
        <w:spacing w:after="80" w:line="360" w:lineRule="auto"/>
      </w:pPr>
      <w:r>
        <w:rPr>
          <w:rFonts w:ascii="Times New Roman" w:hAnsi="Times New Roman" w:eastAsia="宋体"/>
          <w:b w:val="0"/>
          <w:i w:val="0"/>
          <w:sz w:val="21"/>
        </w:rPr>
        <w:t>[23] Gilmer J, Schoenholz SS, Riley PF, Vinyals O, Dahl GE. Neural message passing for quantum chemistry (MPNN). ICML. 2017. arXiv:1704.01212.</w:t>
      </w:r>
    </w:p>
    <w:p>
      <w:pPr>
        <w:spacing w:after="80" w:line="360" w:lineRule="auto"/>
      </w:pPr>
      <w:r>
        <w:rPr>
          <w:rFonts w:ascii="Times New Roman" w:hAnsi="Times New Roman" w:eastAsia="宋体"/>
          <w:b w:val="0"/>
          <w:i w:val="0"/>
          <w:sz w:val="21"/>
        </w:rPr>
        <w:t>[24] Schütt KT, Sauceda HE, Kindermans PJ, Tkatchenko A, Müller KR. SchNet — a deep learning architecture for molecules and materials. J Chem Phys. 2018;148(24):241722. PMID: 29960303.</w:t>
      </w:r>
    </w:p>
    <w:p>
      <w:pPr>
        <w:spacing w:after="80" w:line="360" w:lineRule="auto"/>
      </w:pPr>
      <w:r>
        <w:rPr>
          <w:rFonts w:ascii="Times New Roman" w:hAnsi="Times New Roman" w:eastAsia="宋体"/>
          <w:b w:val="0"/>
          <w:i w:val="0"/>
          <w:sz w:val="21"/>
        </w:rPr>
        <w:t>[25] Klicpera J, Groß J, Günnemann S. Directional message passing for molecular graphs (DimeNet). ICLR. 2020. arXiv:2003.03123.</w:t>
      </w:r>
    </w:p>
    <w:p>
      <w:pPr>
        <w:spacing w:after="80" w:line="360" w:lineRule="auto"/>
      </w:pPr>
      <w:r>
        <w:rPr>
          <w:rFonts w:ascii="Times New Roman" w:hAnsi="Times New Roman" w:eastAsia="宋体"/>
          <w:b w:val="0"/>
          <w:i w:val="0"/>
          <w:sz w:val="21"/>
        </w:rPr>
        <w:t>[26] Liu Y, Wang L, Liu M, et al. Spherical message passing for 3D graph networks (SphereNet). ICLR. 2022. arXiv:2102.05013.</w:t>
      </w:r>
    </w:p>
    <w:p>
      <w:pPr>
        <w:spacing w:after="80" w:line="360" w:lineRule="auto"/>
      </w:pPr>
      <w:r>
        <w:rPr>
          <w:rFonts w:ascii="Times New Roman" w:hAnsi="Times New Roman" w:eastAsia="宋体"/>
          <w:b w:val="0"/>
          <w:i w:val="0"/>
          <w:sz w:val="21"/>
        </w:rPr>
        <w:t>[27] Satorras VG, Hoogeboom E, Welling M. E(n) equivariant graph neural networks (EGNN). ICML. 2021. arXiv:2102.09844.</w:t>
      </w:r>
    </w:p>
    <w:p>
      <w:pPr>
        <w:spacing w:after="80" w:line="360" w:lineRule="auto"/>
      </w:pPr>
      <w:r>
        <w:rPr>
          <w:rFonts w:ascii="Times New Roman" w:hAnsi="Times New Roman" w:eastAsia="宋体"/>
          <w:b w:val="0"/>
          <w:i w:val="0"/>
          <w:sz w:val="21"/>
        </w:rPr>
        <w:t>[28] Schütt KT, Unke O, Gastegger M. Equivariant message passing for the prediction of tensorial properties and molecular spectra (PaiNN). ICML. 2021. arXiv:2102.03150.</w:t>
      </w:r>
    </w:p>
    <w:p>
      <w:pPr>
        <w:spacing w:after="80" w:line="360" w:lineRule="auto"/>
      </w:pPr>
      <w:r>
        <w:rPr>
          <w:rFonts w:ascii="Times New Roman" w:hAnsi="Times New Roman" w:eastAsia="宋体"/>
          <w:b w:val="0"/>
          <w:i w:val="0"/>
          <w:sz w:val="21"/>
        </w:rPr>
        <w:t>[29] Ross J, Belgodere B, Chenthamarakshan V, et al. Large-scale chemical language representations capture molecular structure and properties (MolFormer). Nat Mach Intell. 2022;4:1256-1264.</w:t>
      </w:r>
    </w:p>
    <w:p>
      <w:pPr>
        <w:spacing w:after="80" w:line="360" w:lineRule="auto"/>
      </w:pPr>
      <w:r>
        <w:rPr>
          <w:rFonts w:ascii="Times New Roman" w:hAnsi="Times New Roman" w:eastAsia="宋体"/>
          <w:b w:val="0"/>
          <w:i w:val="0"/>
          <w:sz w:val="21"/>
        </w:rPr>
        <w:t>[30] Zhou G, Gao Z, Ding Q, et al. Uni-Mol: a universal 3D molecular representation learning framework. ICLR. 2023.</w:t>
      </w:r>
    </w:p>
    <w:p>
      <w:pPr>
        <w:spacing w:after="80" w:line="360" w:lineRule="auto"/>
      </w:pPr>
      <w:r>
        <w:rPr>
          <w:rFonts w:ascii="Times New Roman" w:hAnsi="Times New Roman" w:eastAsia="宋体"/>
          <w:b w:val="0"/>
          <w:i w:val="0"/>
          <w:sz w:val="21"/>
        </w:rPr>
        <w:t>[31] Wang Y, Wang J, Cao Z, Barati Farimani A. Molecular contrastive learning of representations via graph neural networks (MolCLR). Nat Mach Intell. 2022;4(3):279-287.</w:t>
      </w:r>
    </w:p>
    <w:p>
      <w:pPr>
        <w:spacing w:after="80" w:line="360" w:lineRule="auto"/>
      </w:pPr>
      <w:r>
        <w:rPr>
          <w:rFonts w:ascii="Times New Roman" w:hAnsi="Times New Roman" w:eastAsia="宋体"/>
          <w:b w:val="0"/>
          <w:i w:val="0"/>
          <w:sz w:val="21"/>
        </w:rPr>
        <w:t>[32] Fang X, Liu L, Lei J, et al. Geometry-enhanced molecular representation learning for property prediction (GEM). Nat Mach Intell. 2022;4:127-134.</w:t>
      </w:r>
    </w:p>
    <w:p>
      <w:pPr>
        <w:spacing w:after="80" w:line="360" w:lineRule="auto"/>
      </w:pPr>
      <w:r>
        <w:rPr>
          <w:rFonts w:ascii="Times New Roman" w:hAnsi="Times New Roman" w:eastAsia="宋体"/>
          <w:b w:val="0"/>
          <w:i w:val="0"/>
          <w:sz w:val="21"/>
        </w:rPr>
        <w:t>[33] Li H, Zhao D, Zeng J. KPGT: knowledge-guided pretraining of graph transformer for molecular property prediction. KDD. 2022:857-867.</w:t>
      </w:r>
    </w:p>
    <w:p>
      <w:pPr>
        <w:spacing w:after="80" w:line="360" w:lineRule="auto"/>
      </w:pPr>
      <w:r>
        <w:rPr>
          <w:rFonts w:ascii="Times New Roman" w:hAnsi="Times New Roman" w:eastAsia="宋体"/>
          <w:b w:val="0"/>
          <w:i w:val="0"/>
          <w:sz w:val="21"/>
        </w:rPr>
        <w:t>[34] Xia J, Zhu Y, Du Y, Li S. A systematic survey of molecular pre-trained models. arXiv:2210.16484. 2022.</w:t>
      </w:r>
    </w:p>
    <w:p>
      <w:pPr>
        <w:spacing w:after="80" w:line="360" w:lineRule="auto"/>
      </w:pPr>
      <w:r>
        <w:rPr>
          <w:rFonts w:ascii="Times New Roman" w:hAnsi="Times New Roman" w:eastAsia="宋体"/>
          <w:b w:val="0"/>
          <w:i w:val="0"/>
          <w:sz w:val="21"/>
        </w:rPr>
        <w:t>[35] Winter R, Montanari F, Noé F, Clevert DA. Learning continuous and data-driven molecular descriptors by translating equivalent chemical representations. Chem Sci. 2019;10(6):1692-1701. PMID: 30842834.</w:t>
      </w:r>
    </w:p>
    <w:p>
      <w:pPr>
        <w:spacing w:after="80" w:line="360" w:lineRule="auto"/>
      </w:pPr>
      <w:r>
        <w:rPr>
          <w:rFonts w:ascii="Times New Roman" w:hAnsi="Times New Roman" w:eastAsia="宋体"/>
          <w:b w:val="0"/>
          <w:i w:val="0"/>
          <w:sz w:val="21"/>
        </w:rPr>
        <w:t>[36] Stärk H, Beaini D, Corso G, et al. 3D InfoMax improves GNNs for molecular property prediction. ICML. 2022.</w:t>
      </w:r>
    </w:p>
    <w:p>
      <w:pPr>
        <w:spacing w:after="80" w:line="360" w:lineRule="auto"/>
      </w:pPr>
      <w:r>
        <w:rPr>
          <w:rFonts w:ascii="Times New Roman" w:hAnsi="Times New Roman" w:eastAsia="宋体"/>
          <w:b w:val="0"/>
          <w:i w:val="0"/>
          <w:sz w:val="21"/>
        </w:rPr>
        <w:t>[37] Zhu J, Xia Y, Wu L, et al. Unified 2D and 3D pre-training of molecular representations (GraphMVP). KDD. 2022.</w:t>
      </w:r>
    </w:p>
    <w:p>
      <w:pPr>
        <w:spacing w:after="80" w:line="360" w:lineRule="auto"/>
      </w:pPr>
      <w:r>
        <w:rPr>
          <w:rFonts w:ascii="Times New Roman" w:hAnsi="Times New Roman" w:eastAsia="宋体"/>
          <w:b w:val="0"/>
          <w:i w:val="0"/>
          <w:sz w:val="21"/>
        </w:rPr>
        <w:t>[38] Rong Y, Bian Y, Xu T, et al. Self-supervised graph transformer on large-scale molecular data (GROVER). NeurIPS. 2020.</w:t>
      </w:r>
    </w:p>
    <w:p>
      <w:pPr>
        <w:spacing w:after="80" w:line="360" w:lineRule="auto"/>
      </w:pPr>
      <w:r>
        <w:rPr>
          <w:rFonts w:ascii="Times New Roman" w:hAnsi="Times New Roman" w:eastAsia="宋体"/>
          <w:b w:val="0"/>
          <w:i w:val="0"/>
          <w:sz w:val="21"/>
        </w:rPr>
        <w:t>[39] Hu W, Liu B, Gomes J, et al. Strategies for pre-training graph neural networks. ICLR. 2020. arXiv:1905.12265.</w:t>
      </w:r>
    </w:p>
    <w:p>
      <w:pPr>
        <w:spacing w:after="80" w:line="360" w:lineRule="auto"/>
      </w:pPr>
      <w:r>
        <w:rPr>
          <w:rFonts w:ascii="Times New Roman" w:hAnsi="Times New Roman" w:eastAsia="宋体"/>
          <w:b w:val="0"/>
          <w:i w:val="0"/>
          <w:sz w:val="21"/>
        </w:rPr>
        <w:t>[40] You Y, Chen T, Sui Y, Chen T, Wang Z, Shen Y. Graph contrastive learning with augmentations. NeurIPS. 2020.</w:t>
      </w:r>
    </w:p>
    <w:p>
      <w:pPr>
        <w:spacing w:after="80" w:line="360" w:lineRule="auto"/>
      </w:pPr>
      <w:r>
        <w:rPr>
          <w:rFonts w:ascii="Times New Roman" w:hAnsi="Times New Roman" w:eastAsia="宋体"/>
          <w:b w:val="0"/>
          <w:i w:val="0"/>
          <w:sz w:val="21"/>
        </w:rPr>
        <w:t>[41] Mayr A, Klambauer G, Unterthiner T, et al. Large-scale comparison of machine learning methods for drug target prediction on ChEMBL. Chem Sci. 2018;9(24):5441-5451. PMID: 30155234.</w:t>
      </w:r>
    </w:p>
    <w:p>
      <w:pPr>
        <w:spacing w:after="80" w:line="360" w:lineRule="auto"/>
      </w:pPr>
      <w:r>
        <w:rPr>
          <w:rFonts w:ascii="Times New Roman" w:hAnsi="Times New Roman" w:eastAsia="宋体"/>
          <w:b w:val="0"/>
          <w:i w:val="0"/>
          <w:sz w:val="21"/>
        </w:rPr>
        <w:t>[42] Ramsundar B, Kearnes S, Riley P, Webster D, Konerding D, Pande V. Massively multitask networks for drug discovery. arXiv:1502.02072. 2015.</w:t>
      </w:r>
    </w:p>
    <w:p>
      <w:pPr>
        <w:spacing w:after="80" w:line="360" w:lineRule="auto"/>
      </w:pPr>
      <w:r>
        <w:rPr>
          <w:rFonts w:ascii="Times New Roman" w:hAnsi="Times New Roman" w:eastAsia="宋体"/>
          <w:b w:val="0"/>
          <w:i w:val="0"/>
          <w:sz w:val="21"/>
        </w:rPr>
        <w:t>[43] Wenzel J, Matter H, Schmidt F. Predictive multi-task deep neural network models for ADME-Tox properties. J Chem Inf Model. 2019;59(3):1253-1268. PMID: 30763078.</w:t>
      </w:r>
    </w:p>
    <w:p>
      <w:pPr>
        <w:spacing w:after="80" w:line="360" w:lineRule="auto"/>
      </w:pPr>
      <w:r>
        <w:rPr>
          <w:rFonts w:ascii="Times New Roman" w:hAnsi="Times New Roman" w:eastAsia="宋体"/>
          <w:b w:val="0"/>
          <w:i w:val="0"/>
          <w:sz w:val="21"/>
        </w:rPr>
        <w:t>[44] Feinberg EN, Sur D, Wu Z, et al. PotentialNet for molecular property prediction. ACS Cent Sci. 2018;4(11):1520-1530. PMID: 30555904.</w:t>
      </w:r>
    </w:p>
    <w:p>
      <w:pPr>
        <w:spacing w:after="80" w:line="360" w:lineRule="auto"/>
      </w:pPr>
      <w:r>
        <w:rPr>
          <w:rFonts w:ascii="Times New Roman" w:hAnsi="Times New Roman" w:eastAsia="宋体"/>
          <w:b w:val="0"/>
          <w:i w:val="0"/>
          <w:sz w:val="21"/>
        </w:rPr>
        <w:t>[45] Ruder S. An overview of multi-task learning in deep neural networks. arXiv:1706.05098. 2017.</w:t>
      </w:r>
    </w:p>
    <w:p>
      <w:pPr>
        <w:spacing w:after="80" w:line="360" w:lineRule="auto"/>
      </w:pPr>
      <w:r>
        <w:rPr>
          <w:rFonts w:ascii="Times New Roman" w:hAnsi="Times New Roman" w:eastAsia="宋体"/>
          <w:b w:val="0"/>
          <w:i w:val="0"/>
          <w:sz w:val="21"/>
        </w:rPr>
        <w:t>[46] Sheridan RP. Time-split cross-validation as a method for estimating the goodness of prospective prediction. J Chem Inf Model. 2013;53(4):783-790. PMID: 23521722.</w:t>
      </w:r>
    </w:p>
    <w:p>
      <w:pPr>
        <w:spacing w:after="80" w:line="360" w:lineRule="auto"/>
      </w:pPr>
      <w:r>
        <w:rPr>
          <w:rFonts w:ascii="Times New Roman" w:hAnsi="Times New Roman" w:eastAsia="宋体"/>
          <w:b w:val="0"/>
          <w:i w:val="0"/>
          <w:sz w:val="21"/>
        </w:rPr>
        <w:t>[47] Yang K, Swanson K, Jin W, et al. Analyzing learned molecular representations for property prediction. J Chem Inf Model. 2019;59(8):3370-3388 [same as ref 21; also covers scaffold split benchmark].</w:t>
      </w:r>
    </w:p>
    <w:p>
      <w:pPr>
        <w:spacing w:after="80" w:line="360" w:lineRule="auto"/>
      </w:pPr>
      <w:r>
        <w:rPr>
          <w:rFonts w:ascii="Times New Roman" w:hAnsi="Times New Roman" w:eastAsia="宋体"/>
          <w:b w:val="0"/>
          <w:i w:val="0"/>
          <w:sz w:val="21"/>
        </w:rPr>
        <w:t>[48] Roy K, Kar S, Ambure P. On a simple approach for determining applicability domain of QSAR models. Chemom Intell Lab Syst. 2015;145:22-29.</w:t>
      </w:r>
    </w:p>
    <w:p>
      <w:pPr>
        <w:spacing w:after="80" w:line="360" w:lineRule="auto"/>
      </w:pPr>
      <w:r>
        <w:rPr>
          <w:rFonts w:ascii="Times New Roman" w:hAnsi="Times New Roman" w:eastAsia="宋体"/>
          <w:b w:val="0"/>
          <w:i w:val="0"/>
          <w:sz w:val="21"/>
        </w:rPr>
        <w:t>[49] Cherkasov A, Muratov EN, Fourches D, et al. QSAR modeling: where have you been? Where are you going to? J Med Chem. 2014;57(12):4977-5010. PMID: 24351051.</w:t>
      </w:r>
    </w:p>
    <w:p>
      <w:pPr>
        <w:spacing w:after="80" w:line="360" w:lineRule="auto"/>
      </w:pPr>
      <w:r>
        <w:rPr>
          <w:rFonts w:ascii="Times New Roman" w:hAnsi="Times New Roman" w:eastAsia="宋体"/>
          <w:b w:val="0"/>
          <w:i w:val="0"/>
          <w:sz w:val="21"/>
        </w:rPr>
        <w:t>[50] Nettles JH, Jenkins JL, Bender A, Deng Z, Davies JW, Glick M. Bridging chemical and biological space: target fishing using 2D and 3D molecular descriptors. J Med Chem. 2006;49(23):6802-6810. PMID: 17154510.</w:t>
      </w:r>
    </w:p>
    <w:p>
      <w:pPr>
        <w:spacing w:after="80" w:line="360" w:lineRule="auto"/>
      </w:pPr>
      <w:r>
        <w:rPr>
          <w:rFonts w:ascii="Times New Roman" w:hAnsi="Times New Roman" w:eastAsia="宋体"/>
          <w:b w:val="0"/>
          <w:i w:val="0"/>
          <w:sz w:val="21"/>
        </w:rPr>
        <w:t>[51] Truchon JF, Bayly CI. Evaluating virtual screening methods: good and bad metrics for the early recognition problem. J Chem Inf Model. 2007;47(2):488-508. PMID: 17288412.</w:t>
      </w:r>
    </w:p>
    <w:p>
      <w:pPr>
        <w:spacing w:after="80" w:line="360" w:lineRule="auto"/>
      </w:pPr>
      <w:r>
        <w:rPr>
          <w:rFonts w:ascii="Times New Roman" w:hAnsi="Times New Roman" w:eastAsia="宋体"/>
          <w:b w:val="0"/>
          <w:i w:val="0"/>
          <w:sz w:val="21"/>
        </w:rPr>
        <w:t>[52] Mysinger MM, Carchia M, Irwin JJ, Shoichet BK. Directory of useful decoys, enhanced (DUD-E): better ligands and decoys for better benchmarking. J Med Chem. 2012;55(14):6582-6594. PMID: 22716043.</w:t>
      </w:r>
    </w:p>
    <w:p>
      <w:pPr>
        <w:spacing w:after="80" w:line="360" w:lineRule="auto"/>
      </w:pPr>
      <w:r>
        <w:rPr>
          <w:rFonts w:ascii="Times New Roman" w:hAnsi="Times New Roman" w:eastAsia="宋体"/>
          <w:b w:val="0"/>
          <w:i w:val="0"/>
          <w:sz w:val="21"/>
        </w:rPr>
        <w:t>[53] Rohrer SG, Baumann K. Maximum unbiased validation (MUV) data sets for virtual screening based on PubChem bioactivity data. J Chem Inf Model. 2009;49(2):169-184. PMID: 19434821.</w:t>
      </w:r>
    </w:p>
    <w:p>
      <w:pPr>
        <w:spacing w:after="80" w:line="360" w:lineRule="auto"/>
      </w:pPr>
      <w:r>
        <w:rPr>
          <w:rFonts w:ascii="Times New Roman" w:hAnsi="Times New Roman" w:eastAsia="宋体"/>
          <w:b w:val="0"/>
          <w:i w:val="0"/>
          <w:sz w:val="21"/>
        </w:rPr>
        <w:t>[54] Bauer MR, Ibrahim TM, Vogel SM, Boeckler FM. Evaluation and optimization of virtual screening workflows with DEKOIS 2.0. J Chem Inf Model. 2013;53(6):1447-1462. PMID: 23705874.</w:t>
      </w:r>
    </w:p>
    <w:p>
      <w:pPr>
        <w:spacing w:after="80" w:line="360" w:lineRule="auto"/>
      </w:pPr>
      <w:r>
        <w:rPr>
          <w:rFonts w:ascii="Times New Roman" w:hAnsi="Times New Roman" w:eastAsia="宋体"/>
          <w:b w:val="0"/>
          <w:i w:val="0"/>
          <w:sz w:val="21"/>
        </w:rPr>
        <w:t>[55] Réau M, Langenfeld F, Zagury JF, Lagarde N, Montes M. Decoys selection in benchmarking datasets: overview and perspectives. Front Pharmacol. 2018;9:11. PMID: 29416510.</w:t>
      </w:r>
    </w:p>
    <w:p>
      <w:pPr>
        <w:spacing w:after="80" w:line="360" w:lineRule="auto"/>
      </w:pPr>
      <w:r>
        <w:rPr>
          <w:rFonts w:ascii="Times New Roman" w:hAnsi="Times New Roman" w:eastAsia="宋体"/>
          <w:b w:val="0"/>
          <w:i w:val="0"/>
          <w:sz w:val="21"/>
        </w:rPr>
        <w:t>[56] Trott O, Olson AJ. AutoDock Vina: improving the speed and accuracy of docking with a new scoring function, efficient optimization, and multithreading. J Comput Chem. 2010;31(2):455-461. PMID: 19499576.</w:t>
      </w:r>
    </w:p>
    <w:p>
      <w:pPr>
        <w:spacing w:after="80" w:line="360" w:lineRule="auto"/>
      </w:pPr>
      <w:r>
        <w:rPr>
          <w:rFonts w:ascii="Times New Roman" w:hAnsi="Times New Roman" w:eastAsia="宋体"/>
          <w:b w:val="0"/>
          <w:i w:val="0"/>
          <w:sz w:val="21"/>
        </w:rPr>
        <w:t>[57] Abraham MJ, Murtola T, Schulz R, et al. GROMACS: high performance molecular simulations through multi-level parallelism from laptops to supercomputers. SoftwareX. 2015;1-2:19-25.</w:t>
      </w:r>
    </w:p>
    <w:p>
      <w:pPr>
        <w:spacing w:after="80" w:line="360" w:lineRule="auto"/>
      </w:pPr>
      <w:r>
        <w:rPr>
          <w:rFonts w:ascii="Times New Roman" w:hAnsi="Times New Roman" w:eastAsia="宋体"/>
          <w:b w:val="0"/>
          <w:i w:val="0"/>
          <w:sz w:val="21"/>
        </w:rPr>
        <w:t>[58] Genheden S, Ryde U. The MM/PBSA and MM/GBSA methods to estimate ligand-binding affinities. Expert Opin Drug Discov. 2015;10(5):449-461. PMID: 25835573.</w:t>
      </w:r>
    </w:p>
    <w:p>
      <w:pPr>
        <w:spacing w:after="80" w:line="360" w:lineRule="auto"/>
      </w:pPr>
      <w:r>
        <w:rPr>
          <w:rFonts w:ascii="Times New Roman" w:hAnsi="Times New Roman" w:eastAsia="宋体"/>
          <w:b w:val="0"/>
          <w:i w:val="0"/>
          <w:sz w:val="21"/>
        </w:rPr>
        <w:t>[59] Kollman PA, Massova I, Reyes C, et al. Calculating structures and free energies of complex molecules: combining molecular mechanics and continuum models. Acc Chem Res. 2000;33(12):889-897. PMID: 11123888.</w:t>
      </w:r>
    </w:p>
    <w:p>
      <w:pPr>
        <w:spacing w:after="80" w:line="360" w:lineRule="auto"/>
      </w:pPr>
      <w:r>
        <w:rPr>
          <w:rFonts w:ascii="Times New Roman" w:hAnsi="Times New Roman" w:eastAsia="宋体"/>
          <w:b w:val="0"/>
          <w:i w:val="0"/>
          <w:sz w:val="21"/>
        </w:rPr>
        <w:t>[60] Meng XY, Zhang HX, Mezei M, Cui M. Molecular docking: a powerful approach for structure-based drug discovery. Curr Comput Aided Drug Des. 2011;7(2):146-157. PMID: 21534921.</w:t>
      </w:r>
    </w:p>
    <w:p>
      <w:pPr>
        <w:spacing w:after="80" w:line="360" w:lineRule="auto"/>
      </w:pPr>
      <w:r>
        <w:rPr>
          <w:rFonts w:ascii="Times New Roman" w:hAnsi="Times New Roman" w:eastAsia="宋体"/>
          <w:b w:val="0"/>
          <w:i w:val="0"/>
          <w:sz w:val="21"/>
        </w:rPr>
        <w:t>[61] Case DA, Cheatham TE 3rd, Darden T, et al. The Amber biomolecular simulation programs. J Comput Chem. 2005;26(16):1668-1688. PMID: 16200636.</w:t>
      </w:r>
    </w:p>
    <w:p>
      <w:pPr>
        <w:spacing w:after="80" w:line="360" w:lineRule="auto"/>
      </w:pPr>
      <w:r>
        <w:rPr>
          <w:rFonts w:ascii="Times New Roman" w:hAnsi="Times New Roman" w:eastAsia="宋体"/>
          <w:b w:val="0"/>
          <w:i w:val="0"/>
          <w:sz w:val="21"/>
        </w:rPr>
        <w:t>[62] Šali A, Blundell TL. Comparative protein modelling by satisfaction of spatial restraints. J Mol Biol. 1993;234(3):779-815. PMID: 8254673.</w:t>
      </w:r>
    </w:p>
    <w:p>
      <w:pPr>
        <w:spacing w:after="80" w:line="360" w:lineRule="auto"/>
      </w:pPr>
      <w:r>
        <w:rPr>
          <w:rFonts w:ascii="Times New Roman" w:hAnsi="Times New Roman" w:eastAsia="宋体"/>
          <w:b w:val="0"/>
          <w:i w:val="0"/>
          <w:sz w:val="21"/>
        </w:rPr>
        <w:t>[63] Sterling T, Irwin JJ. ZINC 15 — ligand discovery for everyone. J Chem Inf Model. 2015;55(11):2324-2337. PMID: 26479676.</w:t>
      </w:r>
    </w:p>
    <w:p>
      <w:pPr>
        <w:spacing w:after="80" w:line="360" w:lineRule="auto"/>
      </w:pPr>
      <w:r>
        <w:rPr>
          <w:rFonts w:ascii="Times New Roman" w:hAnsi="Times New Roman" w:eastAsia="宋体"/>
          <w:b w:val="0"/>
          <w:i w:val="0"/>
          <w:sz w:val="21"/>
        </w:rPr>
        <w:t>[64] Mendez D, Gaulton A, Bento AP, et al. ChEMBL: towards direct deposition of bioassay data. Nucleic Acids Res. 2019;47(D1):D930-D940. PMID: 30398643.</w:t>
      </w:r>
    </w:p>
    <w:p>
      <w:pPr>
        <w:spacing w:after="80" w:line="360" w:lineRule="auto"/>
      </w:pPr>
      <w:r>
        <w:rPr>
          <w:rFonts w:ascii="Times New Roman" w:hAnsi="Times New Roman" w:eastAsia="宋体"/>
          <w:b w:val="0"/>
          <w:i w:val="0"/>
          <w:sz w:val="21"/>
        </w:rPr>
        <w:t>[65] Kim S, Chen J, Cheng T, et al. PubChem 2023 update. Nucleic Acids Res. 2023;51(D1):D1373-D1380. PMID: 36305812.</w:t>
      </w:r>
    </w:p>
    <w:p>
      <w:pPr>
        <w:spacing w:after="80" w:line="360" w:lineRule="auto"/>
      </w:pPr>
      <w:r>
        <w:rPr>
          <w:rFonts w:ascii="Times New Roman" w:hAnsi="Times New Roman" w:eastAsia="宋体"/>
          <w:b w:val="0"/>
          <w:i w:val="0"/>
          <w:sz w:val="21"/>
        </w:rPr>
        <w:t>[66] Liu T, Lin Y, Wen X, Jorissen RN, Gilson MK. BindingDB: a web-accessible database of experimentally determined protein-ligand binding affinities. Nucleic Acids Res. 2007;35:D198-D201. PMID: 17145705.</w:t>
      </w:r>
    </w:p>
    <w:p>
      <w:pPr>
        <w:spacing w:after="80" w:line="360" w:lineRule="auto"/>
      </w:pPr>
      <w:r>
        <w:rPr>
          <w:rFonts w:ascii="Times New Roman" w:hAnsi="Times New Roman" w:eastAsia="宋体"/>
          <w:b w:val="0"/>
          <w:i w:val="0"/>
          <w:sz w:val="21"/>
        </w:rPr>
        <w:t>[67] Wu Z, Ramsundar B, Feinberg EN, et al. MoleculeNet: a benchmark for molecular machine learning. Chem Sci. 2018;9(2):513-530. PMID: 29629118.</w:t>
      </w:r>
    </w:p>
    <w:p>
      <w:pPr>
        <w:spacing w:after="80" w:line="360" w:lineRule="auto"/>
      </w:pPr>
      <w:r>
        <w:rPr>
          <w:rFonts w:ascii="Times New Roman" w:hAnsi="Times New Roman" w:eastAsia="宋体"/>
          <w:b w:val="0"/>
          <w:i w:val="0"/>
          <w:sz w:val="21"/>
        </w:rPr>
        <w:t>[68] Lipinski CA, Lombardo F, Dominy BW, Feeney PJ. Experimental and computational approaches to estimate solubility and permeability in drug discovery and development settings. Adv Drug Deliv Rev. 2001;46(1-3):3-26. PMID: 11259830.</w:t>
      </w:r>
    </w:p>
    <w:p>
      <w:pPr>
        <w:spacing w:after="80" w:line="360" w:lineRule="auto"/>
      </w:pPr>
      <w:r>
        <w:rPr>
          <w:rFonts w:ascii="Times New Roman" w:hAnsi="Times New Roman" w:eastAsia="宋体"/>
          <w:b w:val="0"/>
          <w:i w:val="0"/>
          <w:sz w:val="21"/>
        </w:rPr>
        <w:t>[69] Bickerton GR, Paolini GV, Besnard J, Muresan S, Hopkins AL. Quantifying the chemical beauty of drugs (QED). Nat Chem. 2012;4(2):90-98. PMID: 22270643.</w:t>
      </w:r>
    </w:p>
    <w:p>
      <w:pPr>
        <w:spacing w:after="80" w:line="360" w:lineRule="auto"/>
      </w:pPr>
      <w:r>
        <w:rPr>
          <w:rFonts w:ascii="Times New Roman" w:hAnsi="Times New Roman" w:eastAsia="宋体"/>
          <w:b w:val="0"/>
          <w:i w:val="0"/>
          <w:sz w:val="21"/>
        </w:rPr>
        <w:t>[70] Baell JB, Holloway GA. New substructure filters for removal of pan assay interference compounds (PAINS) from screening libraries and for their exclusion in bioassays. J Med Chem. 2010;53(7):2719-2740. PMID: 20131845.</w:t>
      </w:r>
    </w:p>
    <w:p>
      <w:pPr>
        <w:spacing w:after="80" w:line="360" w:lineRule="auto"/>
      </w:pPr>
      <w:r>
        <w:rPr>
          <w:rFonts w:ascii="Times New Roman" w:hAnsi="Times New Roman" w:eastAsia="宋体"/>
          <w:b w:val="0"/>
          <w:i w:val="0"/>
          <w:sz w:val="21"/>
        </w:rPr>
        <w:t>[71] Ertl P, Schuffenhauer A. Estimation of synthetic accessibility score of drug-like molecules based on molecular complexity and fragment contributions (SA score). J Cheminform. 2009;1(1):8. PMID: 20298526.</w:t>
      </w:r>
    </w:p>
    <w:p>
      <w:pPr>
        <w:spacing w:after="80" w:line="360" w:lineRule="auto"/>
      </w:pPr>
      <w:r>
        <w:rPr>
          <w:rFonts w:ascii="Times New Roman" w:hAnsi="Times New Roman" w:eastAsia="宋体"/>
          <w:b w:val="0"/>
          <w:i w:val="0"/>
          <w:sz w:val="21"/>
        </w:rPr>
        <w:t>[72] Daina A, Michielin O, Zoete V. SwissADME: a free web tool to evaluate pharmacokinetics, drug-likeness and medicinal chemistry friendliness of small molecules. Sci Rep. 2017;7:42717. PMID: 28256516.</w:t>
      </w:r>
    </w:p>
    <w:p>
      <w:pPr>
        <w:spacing w:after="80" w:line="360" w:lineRule="auto"/>
      </w:pPr>
      <w:r>
        <w:rPr>
          <w:rFonts w:ascii="Times New Roman" w:hAnsi="Times New Roman" w:eastAsia="宋体"/>
          <w:b w:val="0"/>
          <w:i w:val="0"/>
          <w:sz w:val="21"/>
        </w:rPr>
        <w:t>[73] RDKit: Open-source cheminformatics. https://www.rdkit.org.</w:t>
      </w:r>
    </w:p>
    <w:p>
      <w:pPr>
        <w:spacing w:after="80" w:line="360" w:lineRule="auto"/>
      </w:pPr>
      <w:r>
        <w:rPr>
          <w:rFonts w:ascii="Times New Roman" w:hAnsi="Times New Roman" w:eastAsia="宋体"/>
          <w:b w:val="0"/>
          <w:i w:val="0"/>
          <w:sz w:val="21"/>
        </w:rPr>
        <w:t>[74] Paszke A, Gross S, Massa F, et al. PyTorch: an imperative style, high-performance deep learning library. NeurIPS. 2019.</w:t>
      </w:r>
    </w:p>
    <w:p>
      <w:pPr>
        <w:spacing w:after="80" w:line="360" w:lineRule="auto"/>
      </w:pPr>
      <w:r>
        <w:rPr>
          <w:rFonts w:ascii="Times New Roman" w:hAnsi="Times New Roman" w:eastAsia="宋体"/>
          <w:b w:val="0"/>
          <w:i w:val="0"/>
          <w:sz w:val="21"/>
        </w:rPr>
        <w:t>[75] Fey M, Lenssen JE. Fast graph representation learning with PyTorch Geometric. ICLR Workshop. 2019. arXiv:1903.02428.</w:t>
      </w:r>
    </w:p>
    <w:p>
      <w:pPr>
        <w:spacing w:after="80" w:line="360" w:lineRule="auto"/>
      </w:pPr>
      <w:r>
        <w:rPr>
          <w:rFonts w:ascii="Times New Roman" w:hAnsi="Times New Roman" w:eastAsia="宋体"/>
          <w:b w:val="0"/>
          <w:i w:val="0"/>
          <w:sz w:val="21"/>
        </w:rPr>
        <w:t>[76] Butina D. Unsupervised data base clustering based on daylight's fingerprint and Tanimoto similarity: a fast and automated way to cluster small and large data sets. J Chem Inf Comput Sci. 1999;39(4):747-750.</w:t>
      </w:r>
    </w:p>
    <w:p>
      <w:pPr>
        <w:spacing w:after="80" w:line="360" w:lineRule="auto"/>
      </w:pPr>
      <w:r>
        <w:rPr>
          <w:rFonts w:ascii="Times New Roman" w:hAnsi="Times New Roman" w:eastAsia="宋体"/>
          <w:b w:val="0"/>
          <w:i w:val="0"/>
          <w:sz w:val="21"/>
        </w:rPr>
        <w:t>[77] Lin TY, Goyal P, Girshick R, He K, Dollár P. Focal loss for dense object detection (Focal Loss). ICCV. 2017:2999-3007.</w:t>
      </w:r>
    </w:p>
    <w:p>
      <w:pPr>
        <w:spacing w:after="80" w:line="360" w:lineRule="auto"/>
      </w:pPr>
      <w:r>
        <w:rPr>
          <w:rFonts w:ascii="Times New Roman" w:hAnsi="Times New Roman" w:eastAsia="宋体"/>
          <w:b w:val="0"/>
          <w:i w:val="0"/>
          <w:sz w:val="21"/>
        </w:rPr>
        <w:t>[78] Loshchilov I, Hutter F. SGDR: stochastic gradient descent with warm restarts (OneCycleLR). ICLR. 2017. arXiv:1608.03983.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Fonts w:eastAsia="宋体" w:asci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