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INSPECT &amp; ADAPT EVENT PACK – SHOPCARE AI</w:t>
      </w:r>
    </w:p>
    <w:p>
      <w:pPr>
        <w:pStyle w:val="Heading1"/>
      </w:pPr>
      <w:r>
        <w:rPr>
          <w:color w:val="000000"/>
          <w:u w:val="none"/>
        </w:rPr>
        <w:t>1. KIỂM TRA INCREMENT CUỐI SPRINT 14</w:t>
      </w:r>
    </w:p>
    <w:p>
      <w:pPr>
        <w:spacing w:after="80" w:line="259" w:lineRule="auto"/>
      </w:pPr>
      <w:r>
        <w:rPr>
          <w:color w:val="000000"/>
          <w:sz w:val="22"/>
          <w:u w:val="none"/>
        </w:rPr>
        <w:t>Definition of Done (DoD): Increment phải có trên staging, đạt kiểm thử quan trọng, không còn lỗi cao và đạt kiểm tra quyền riêng tư.</w:t>
      </w:r>
    </w:p>
    <w:tbl>
      <w:tblPr>
        <w:tblStyle w:val="TableGrid"/>
        <w:tblW w:type="auto" w:w="0"/>
        <w:jc w:val="center"/>
        <w:tblLook w:firstColumn="1" w:firstRow="1" w:lastColumn="0" w:lastRow="0" w:noHBand="0" w:noVBand="1" w:val="04A0"/>
      </w:tblPr>
      <w:tblGrid>
        <w:gridCol w:w="3456"/>
        <w:gridCol w:w="3456"/>
        <w:gridCol w:w="3456"/>
      </w:tblGrid>
      <w:tr>
        <w:tc>
          <w:tcPr>
            <w:tcW w:type="dxa" w:w="936"/>
            <w:vAlign w:val="center"/>
            <w:shd w:fill="FFFFFF"/>
          </w:tcPr>
          <w:p>
            <w:pPr>
              <w:spacing w:after="30" w:line="252" w:lineRule="auto"/>
            </w:pPr>
            <w:r>
              <w:rPr>
                <w:color w:val="000000"/>
                <w:u w:val="none"/>
              </w:rPr>
            </w:r>
            <w:r>
              <w:rPr>
                <w:rFonts w:ascii="Times New Roman" w:hAnsi="Times New Roman" w:eastAsia="Times New Roman"/>
                <w:b/>
                <w:color w:val="000000"/>
                <w:sz w:val="19"/>
                <w:u w:val="none"/>
              </w:rPr>
              <w:t>Mã</w:t>
            </w:r>
          </w:p>
        </w:tc>
        <w:tc>
          <w:tcPr>
            <w:tcW w:type="dxa" w:w="460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Bằng chứng</w:t>
            </w:r>
          </w:p>
        </w:tc>
        <w:tc>
          <w:tcPr>
            <w:tcW w:type="dxa" w:w="388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Đánh giá</w:t>
            </w:r>
          </w:p>
        </w:tc>
      </w:tr>
      <w:tr>
        <w:tc>
          <w:tcPr>
            <w:tcW w:type="dxa" w:w="936"/>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SC-61</w:t>
            </w:r>
          </w:p>
        </w:tc>
        <w:tc>
          <w:tcPr>
            <w:tcW w:type="dxa" w:w="46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80/80 kiểm thử đạt; không còn lỗi cao</w:t>
            </w:r>
          </w:p>
        </w:tc>
        <w:tc>
          <w:tcPr>
            <w:tcW w:type="dxa" w:w="388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Chờ xác minh staging và quyền riêng tư</w:t>
            </w:r>
          </w:p>
        </w:tc>
      </w:tr>
      <w:tr>
        <w:tc>
          <w:tcPr>
            <w:tcW w:type="dxa" w:w="936"/>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SC-62</w:t>
            </w:r>
          </w:p>
        </w:tc>
        <w:tc>
          <w:tcPr>
            <w:tcW w:type="dxa" w:w="46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70/78 đạt; còn 8 ca lỗi dịch vụ đơn hàng</w:t>
            </w:r>
          </w:p>
        </w:tc>
        <w:tc>
          <w:tcPr>
            <w:tcW w:type="dxa" w:w="388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Chưa Done</w:t>
            </w:r>
          </w:p>
        </w:tc>
      </w:tr>
      <w:tr>
        <w:tc>
          <w:tcPr>
            <w:tcW w:type="dxa" w:w="936"/>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SC-63</w:t>
            </w:r>
          </w:p>
        </w:tc>
        <w:tc>
          <w:tcPr>
            <w:tcW w:type="dxa" w:w="46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74/80 ca đúng; còn 1 lỗi nghiêm trọng cao</w:t>
            </w:r>
          </w:p>
        </w:tc>
        <w:tc>
          <w:tcPr>
            <w:tcW w:type="dxa" w:w="388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Chưa Done</w:t>
            </w:r>
          </w:p>
        </w:tc>
      </w:tr>
      <w:tr>
        <w:tc>
          <w:tcPr>
            <w:tcW w:type="dxa" w:w="936"/>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SC-64</w:t>
            </w:r>
          </w:p>
        </w:tc>
        <w:tc>
          <w:tcPr>
            <w:tcW w:type="dxa" w:w="46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60/60 kiểm thử chính đạt; chờ kiểm tra che SĐT</w:t>
            </w:r>
          </w:p>
        </w:tc>
        <w:tc>
          <w:tcPr>
            <w:tcW w:type="dxa" w:w="388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Chưa Done</w:t>
            </w:r>
          </w:p>
        </w:tc>
      </w:tr>
      <w:tr>
        <w:tc>
          <w:tcPr>
            <w:tcW w:type="dxa" w:w="936"/>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SC-65</w:t>
            </w:r>
          </w:p>
        </w:tc>
        <w:tc>
          <w:tcPr>
            <w:tcW w:type="dxa" w:w="46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42/42 đạt; quyền riêng tư đạt</w:t>
            </w:r>
          </w:p>
        </w:tc>
        <w:tc>
          <w:tcPr>
            <w:tcW w:type="dxa" w:w="388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Chờ xác minh staging và lỗi cao</w:t>
            </w:r>
          </w:p>
        </w:tc>
      </w:tr>
    </w:tbl>
    <w:p>
      <w:pPr>
        <w:spacing w:after="80" w:line="259" w:lineRule="auto"/>
      </w:pPr>
    </w:p>
    <w:p>
      <w:pPr>
        <w:spacing w:after="80" w:line="259" w:lineRule="auto"/>
      </w:pPr>
      <w:r>
        <w:rPr>
          <w:color w:val="000000"/>
          <w:sz w:val="22"/>
          <w:u w:val="none"/>
        </w:rPr>
        <w:t>SC-61 và SC-65 chỉ được xác nhận Done khi có đủ bằng chứng đáp ứng toàn bộ DoD. Tại Review, trình bày rõ các hạng mục chưa Done và đưa chúng về Product Backlog để PO sắp xếp ưu tiên.</w:t>
      </w:r>
    </w:p>
    <w:p>
      <w:pPr>
        <w:spacing w:after="80" w:line="259" w:lineRule="auto"/>
      </w:pPr>
      <w:r>
        <w:rPr>
          <w:color w:val="000000"/>
          <w:sz w:val="22"/>
          <w:u w:val="none"/>
        </w:rPr>
        <w:t>Sai sót Review cũ: (1) Gọi cả năm hạng mục là Done dù còn lỗi/thiếu kiểm tra, làm sai lệch tình trạng sản phẩm. (2) Biến Review thành nghiệm thu, giảm trao đổi về giá trị. (3) Hứa làm mọi Feedback, tạo cam kết trước khi đánh giá ưu tiên.</w:t>
      </w:r>
    </w:p>
    <w:p>
      <w:pPr>
        <w:pStyle w:val="Heading1"/>
      </w:pPr>
      <w:r>
        <w:rPr>
          <w:color w:val="000000"/>
          <w:u w:val="none"/>
        </w:rPr>
        <w:t>2. SPRINT REVIEW – 60 PHÚT</w:t>
      </w:r>
    </w:p>
    <w:p>
      <w:pPr>
        <w:spacing w:after="80" w:line="259" w:lineRule="auto"/>
      </w:pPr>
      <w:r>
        <w:rPr>
          <w:color w:val="000000"/>
          <w:sz w:val="22"/>
          <w:u w:val="none"/>
        </w:rPr>
        <w:t>Mục tiêu: Kiểm tra Increment, đánh giá tiến độ Sprint Goal và thu thập phản hồi. Sprint Goal: CSKH nhận hội thoại AI không xử lý trong 2 phút, kèm trạng thái đơn và lịch sử.</w:t>
      </w:r>
    </w:p>
    <w:tbl>
      <w:tblPr>
        <w:tblStyle w:val="TableGrid"/>
        <w:tblW w:type="auto" w:w="0"/>
        <w:jc w:val="center"/>
        <w:tblLook w:firstColumn="1" w:firstRow="1" w:lastColumn="0" w:lastRow="0" w:noHBand="0" w:noVBand="1" w:val="04A0"/>
      </w:tblPr>
      <w:tblGrid>
        <w:gridCol w:w="5184"/>
        <w:gridCol w:w="5184"/>
      </w:tblGrid>
      <w:tr>
        <w:tc>
          <w:tcPr>
            <w:tcW w:type="dxa" w:w="1224"/>
            <w:vAlign w:val="center"/>
            <w:shd w:fill="FFFFFF"/>
          </w:tcPr>
          <w:p>
            <w:pPr>
              <w:spacing w:after="30" w:line="252" w:lineRule="auto"/>
            </w:pPr>
            <w:r>
              <w:rPr>
                <w:color w:val="000000"/>
                <w:u w:val="none"/>
              </w:rPr>
            </w:r>
            <w:r>
              <w:rPr>
                <w:rFonts w:ascii="Times New Roman" w:hAnsi="Times New Roman" w:eastAsia="Times New Roman"/>
                <w:b/>
                <w:color w:val="000000"/>
                <w:sz w:val="19"/>
                <w:u w:val="none"/>
              </w:rPr>
              <w:t>Thời gian</w:t>
            </w:r>
          </w:p>
        </w:tc>
        <w:tc>
          <w:tcPr>
            <w:tcW w:type="dxa" w:w="820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Hoạt động và câu hỏi mở</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0–5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Nhắc Sprint Goal: Sprint này cần giải quyết vấn đề nào?</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5–15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Kiểm tra Increment: Bằng chứng nào xác nhận Done?</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15–30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Demo luồng chuyển hội thoại: CSKH đã có đủ thông tin chưa?</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30–40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Trình bày phần chưa Done: Điều gì đang cản trở Sprint Goal?</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40–50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Trao đổi Feedback: Vấn đề nào ảnh hưởng khách hàng nhiều nhất?</w:t>
            </w:r>
          </w:p>
        </w:tc>
      </w:tr>
      <w:tr>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50–60 phút</w:t>
            </w:r>
          </w:p>
        </w:tc>
        <w:tc>
          <w:tcPr>
            <w:tcW w:type="dxa" w:w="820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Tổng hợp: Cần kiểm chứng điều gì trước khi ưu tiên?</w:t>
            </w:r>
          </w:p>
        </w:tc>
      </w:tr>
    </w:tbl>
    <w:p>
      <w:pPr>
        <w:spacing w:after="80" w:line="259" w:lineRule="auto"/>
      </w:pPr>
    </w:p>
    <w:p>
      <w:pPr>
        <w:spacing w:after="80" w:line="259" w:lineRule="auto"/>
      </w:pPr>
      <w:r>
        <w:rPr>
          <w:color w:val="000000"/>
          <w:sz w:val="22"/>
          <w:u w:val="none"/>
        </w:rPr>
        <w:t>Vai trò: PO làm rõ giá trị và sắp xếp Product Backlog; Developers trình bày Increment và bằng chứng; Scrum Master điều phối; stakeholders cung cấp phản hồi. Review không phải nghiệm thu.</w:t>
      </w:r>
    </w:p>
    <w:p>
      <w:pPr>
        <w:pStyle w:val="Heading2"/>
      </w:pPr>
      <w:r>
        <w:rPr>
          <w:color w:val="000000"/>
          <w:u w:val="none"/>
        </w:rPr>
        <w:t>2.1. Feedback Log</w:t>
      </w:r>
    </w:p>
    <w:tbl>
      <w:tblPr>
        <w:tblStyle w:val="TableGrid"/>
        <w:tblW w:type="auto" w:w="0"/>
        <w:jc w:val="center"/>
        <w:tblLook w:firstColumn="1" w:firstRow="1" w:lastColumn="0" w:lastRow="0" w:noHBand="0" w:noVBand="1" w:val="04A0"/>
      </w:tblPr>
      <w:tblGrid>
        <w:gridCol w:w="3456"/>
        <w:gridCol w:w="3456"/>
        <w:gridCol w:w="3456"/>
      </w:tblGrid>
      <w:tr>
        <w:tc>
          <w:tcPr>
            <w:tcW w:type="dxa" w:w="792"/>
            <w:vAlign w:val="center"/>
            <w:shd w:fill="FFFFFF"/>
          </w:tcPr>
          <w:p>
            <w:pPr>
              <w:spacing w:after="30" w:line="252" w:lineRule="auto"/>
            </w:pPr>
            <w:r>
              <w:rPr>
                <w:color w:val="000000"/>
                <w:u w:val="none"/>
              </w:rPr>
            </w:r>
            <w:r>
              <w:rPr>
                <w:rFonts w:ascii="Times New Roman" w:hAnsi="Times New Roman" w:eastAsia="Times New Roman"/>
                <w:b/>
                <w:color w:val="000000"/>
                <w:sz w:val="19"/>
                <w:u w:val="none"/>
              </w:rPr>
              <w:t>Mã</w:t>
            </w:r>
          </w:p>
        </w:tc>
        <w:tc>
          <w:tcPr>
            <w:tcW w:type="dxa" w:w="2592"/>
            <w:vAlign w:val="center"/>
            <w:shd w:fill="FFFFFF"/>
          </w:tcPr>
          <w:p>
            <w:pPr>
              <w:spacing w:after="30" w:line="252" w:lineRule="auto"/>
            </w:pPr>
            <w:r>
              <w:rPr>
                <w:color w:val="000000"/>
                <w:u w:val="none"/>
              </w:rPr>
            </w:r>
            <w:r>
              <w:rPr>
                <w:rFonts w:ascii="Times New Roman" w:hAnsi="Times New Roman" w:eastAsia="Times New Roman"/>
                <w:b/>
                <w:color w:val="000000"/>
                <w:sz w:val="19"/>
                <w:u w:val="none"/>
              </w:rPr>
              <w:t>Bằng chứng</w:t>
            </w:r>
          </w:p>
        </w:tc>
        <w:tc>
          <w:tcPr>
            <w:tcW w:type="dxa" w:w="604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Điểm cần làm rõ / hướng xử lý</w:t>
            </w:r>
          </w:p>
        </w:tc>
      </w:tr>
      <w:tr>
        <w:tc>
          <w:tcPr>
            <w:tcW w:type="dxa" w:w="7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F-01</w:t>
            </w:r>
          </w:p>
        </w:tc>
        <w:tc>
          <w:tcPr>
            <w:tcW w:type="dxa" w:w="25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Đề xuất tự động hóa 90%</w:t>
            </w:r>
          </w:p>
        </w:tc>
        <w:tc>
          <w:tcPr>
            <w:tcW w:type="dxa" w:w="604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Làm rõ cách tính và dữ liệu đo; PO đánh giá ưu tiên.</w:t>
            </w:r>
          </w:p>
        </w:tc>
      </w:tr>
      <w:tr>
        <w:tc>
          <w:tcPr>
            <w:tcW w:type="dxa" w:w="7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F-02</w:t>
            </w:r>
          </w:p>
        </w:tc>
        <w:tc>
          <w:tcPr>
            <w:tcW w:type="dxa" w:w="25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Muốn chuyển hội thoại sớm hơn</w:t>
            </w:r>
          </w:p>
        </w:tc>
        <w:tc>
          <w:tcPr>
            <w:tcW w:type="dxa" w:w="604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Xác định thời điểm phù hợp qua tình huống thực tế.</w:t>
            </w:r>
          </w:p>
        </w:tc>
      </w:tr>
      <w:tr>
        <w:tc>
          <w:tcPr>
            <w:tcW w:type="dxa" w:w="7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F-03</w:t>
            </w:r>
          </w:p>
        </w:tc>
        <w:tc>
          <w:tcPr>
            <w:tcW w:type="dxa" w:w="25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SC-64 chờ kiểm tra che SĐT</w:t>
            </w:r>
          </w:p>
        </w:tc>
        <w:tc>
          <w:tcPr>
            <w:tcW w:type="dxa" w:w="604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Xác minh phạm vi che dữ liệu và quyền riêng tư.</w:t>
            </w:r>
          </w:p>
        </w:tc>
      </w:tr>
      <w:tr>
        <w:tc>
          <w:tcPr>
            <w:tcW w:type="dxa" w:w="7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F-04</w:t>
            </w:r>
          </w:p>
        </w:tc>
        <w:tc>
          <w:tcPr>
            <w:tcW w:type="dxa" w:w="25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Thiếu lịch sử đa kênh</w:t>
            </w:r>
          </w:p>
        </w:tc>
        <w:tc>
          <w:tcPr>
            <w:tcW w:type="dxa" w:w="604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Làm rõ kênh, khoảng thời gian và thông tin cần xem.</w:t>
            </w:r>
          </w:p>
        </w:tc>
      </w:tr>
      <w:tr>
        <w:tc>
          <w:tcPr>
            <w:tcW w:type="dxa" w:w="7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F-05</w:t>
            </w:r>
          </w:p>
        </w:tc>
        <w:tc>
          <w:tcPr>
            <w:tcW w:type="dxa" w:w="259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Phản ánh P95 lệch</w:t>
            </w:r>
          </w:p>
        </w:tc>
        <w:tc>
          <w:tcPr>
            <w:tcW w:type="dxa" w:w="604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Thu thập số đo, ngưỡng mục tiêu và thời gian đo.</w:t>
            </w:r>
          </w:p>
        </w:tc>
      </w:tr>
    </w:tbl>
    <w:p>
      <w:pPr>
        <w:spacing w:after="80" w:line="259" w:lineRule="auto"/>
      </w:pPr>
    </w:p>
    <w:p>
      <w:pPr>
        <w:spacing w:after="80" w:line="259" w:lineRule="auto"/>
      </w:pPr>
      <w:r>
        <w:rPr>
          <w:color w:val="000000"/>
          <w:sz w:val="22"/>
          <w:u w:val="none"/>
        </w:rPr>
        <w:t>Nguồn phản hồi cụ thể chưa được cung cấp nên cần xác nhận tại Review. Feedback được ghi nhận và đánh giá, không tự động thành cam kết; PO quyết định ưu tiên Product Backlog.</w:t>
      </w:r>
    </w:p>
    <w:p>
      <w:pPr>
        <w:pStyle w:val="Heading1"/>
      </w:pPr>
      <w:r>
        <w:rPr>
          <w:color w:val="000000"/>
          <w:u w:val="none"/>
        </w:rPr>
        <w:t>3. SPRINT RETROSPECTIVE – 60 PHÚT</w:t>
      </w:r>
    </w:p>
    <w:p>
      <w:pPr>
        <w:spacing w:after="80" w:line="259" w:lineRule="auto"/>
      </w:pPr>
      <w:r>
        <w:rPr>
          <w:color w:val="000000"/>
          <w:sz w:val="22"/>
          <w:u w:val="none"/>
        </w:rPr>
        <w:t>Tổ chức sau Review, chỉ gồm Scrum Team, không mời quản lý vận hành. Mục tiêu là cải thiện cách làm việc, không quy lỗi cá nhân.</w:t>
      </w:r>
    </w:p>
    <w:tbl>
      <w:tblPr>
        <w:tblStyle w:val="TableGrid"/>
        <w:tblW w:type="auto" w:w="0"/>
        <w:jc w:val="center"/>
        <w:tblLook w:firstColumn="1" w:firstRow="1" w:lastColumn="0" w:lastRow="0" w:noHBand="0" w:noVBand="1" w:val="04A0"/>
      </w:tblPr>
      <w:tblGrid>
        <w:gridCol w:w="3456"/>
        <w:gridCol w:w="3456"/>
        <w:gridCol w:w="3456"/>
      </w:tblGrid>
      <w:tr>
        <w:tc>
          <w:tcPr>
            <w:tcW w:type="dxa" w:w="1080"/>
            <w:vAlign w:val="center"/>
            <w:shd w:fill="FFFFFF"/>
          </w:tcPr>
          <w:p>
            <w:pPr>
              <w:spacing w:after="30" w:line="252" w:lineRule="auto"/>
            </w:pPr>
            <w:r>
              <w:rPr>
                <w:color w:val="000000"/>
                <w:u w:val="none"/>
              </w:rPr>
            </w:r>
            <w:r>
              <w:rPr>
                <w:rFonts w:ascii="Times New Roman" w:hAnsi="Times New Roman" w:eastAsia="Times New Roman"/>
                <w:b/>
                <w:color w:val="000000"/>
                <w:sz w:val="19"/>
                <w:u w:val="none"/>
              </w:rPr>
              <w:t>Thời gian</w:t>
            </w:r>
          </w:p>
        </w:tc>
        <w:tc>
          <w:tcPr>
            <w:tcW w:type="dxa" w:w="1224"/>
            <w:vAlign w:val="center"/>
            <w:shd w:fill="FFFFFF"/>
          </w:tcPr>
          <w:p>
            <w:pPr>
              <w:spacing w:after="30" w:line="252" w:lineRule="auto"/>
            </w:pPr>
            <w:r>
              <w:rPr>
                <w:color w:val="000000"/>
                <w:u w:val="none"/>
              </w:rPr>
            </w:r>
            <w:r>
              <w:rPr>
                <w:rFonts w:ascii="Times New Roman" w:hAnsi="Times New Roman" w:eastAsia="Times New Roman"/>
                <w:b/>
                <w:color w:val="000000"/>
                <w:sz w:val="19"/>
                <w:u w:val="none"/>
              </w:rPr>
              <w:t>Bước</w:t>
            </w:r>
          </w:p>
        </w:tc>
        <w:tc>
          <w:tcPr>
            <w:tcW w:type="dxa" w:w="712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Nội dung</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0–5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An toàn</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Thống nhất không công kích cá nhân.</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5–15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Data</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Xem đổi quy tắc qua tin nhắn, staging Ngày 4, Integration Test Ngày 8, an toàn 2,8/5.</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15–30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Insight</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Tìm nguyên nhân và mối liên hệ.</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30–40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Chọn vấn đề</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Bình chọn vấn đề có tác động và nhóm có thể cải thiện.</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40–50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Action</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Chọn tối đa 2 hành động đo lường được.</w:t>
            </w:r>
          </w:p>
        </w:tc>
      </w:tr>
      <w:tr>
        <w:tc>
          <w:tcPr>
            <w:tcW w:type="dxa" w:w="108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50–60 phút</w:t>
            </w:r>
          </w:p>
        </w:tc>
        <w:tc>
          <w:tcPr>
            <w:tcW w:type="dxa" w:w="1224"/>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Follow-up</w:t>
            </w:r>
          </w:p>
        </w:tc>
        <w:tc>
          <w:tcPr>
            <w:tcW w:type="dxa" w:w="71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Chốt thời điểm kiểm tra và bằng chứng.</w:t>
            </w:r>
          </w:p>
        </w:tc>
      </w:tr>
    </w:tbl>
    <w:p>
      <w:pPr>
        <w:spacing w:after="80" w:line="259" w:lineRule="auto"/>
      </w:pPr>
    </w:p>
    <w:p>
      <w:pPr>
        <w:spacing w:after="80" w:line="259" w:lineRule="auto"/>
      </w:pPr>
      <w:r>
        <w:rPr>
          <w:color w:val="000000"/>
          <w:sz w:val="22"/>
          <w:u w:val="none"/>
        </w:rPr>
        <w:t>Xử lý dữ liệu: việc đổi quy tắc qua tin nhắn cần được xem xét về cách ghi nhận; staging Ngày 4 và kiểm thử tích hợp Ngày 8 cần được đánh giá về thời điểm sẵn sàng; mức an toàn 2,8/5 là tín hiệu cần tìm hiểu, không phải bằng chứng quy lỗi. Khi có đổ lỗi, Scrum Master hỏi: “Quy trình nào khiến vấn đề xảy ra và nhóm có thể cải thiện điều gì?”. Cho phép viết ý kiến riêng trước khi thảo luận.</w:t>
      </w:r>
    </w:p>
    <w:p>
      <w:pPr>
        <w:pStyle w:val="Heading2"/>
      </w:pPr>
      <w:r>
        <w:rPr>
          <w:color w:val="000000"/>
          <w:u w:val="none"/>
        </w:rPr>
        <w:t>3.1. Action Item và rà soát hành động cũ</w:t>
      </w:r>
    </w:p>
    <w:p>
      <w:pPr>
        <w:spacing w:after="80" w:line="259" w:lineRule="auto"/>
      </w:pPr>
      <w:r>
        <w:rPr>
          <w:color w:val="000000"/>
          <w:sz w:val="22"/>
          <w:u w:val="none"/>
        </w:rPr>
        <w:t>Action cũ như “phối hợp tốt hơn” thiếu tiêu chí; yêu cầu một cá nhân “không được làm sai” mang tính đổ lỗi; PO tự chọn giải pháp làm giảm quyền tự quản. Thay bằng hai hành động:</w:t>
      </w:r>
    </w:p>
    <w:tbl>
      <w:tblPr>
        <w:tblStyle w:val="TableGrid"/>
        <w:tblW w:type="auto" w:w="0"/>
        <w:jc w:val="center"/>
        <w:tblLook w:firstColumn="1" w:firstRow="1" w:lastColumn="0" w:lastRow="0" w:noHBand="0" w:noVBand="1" w:val="04A0"/>
      </w:tblPr>
      <w:tblGrid>
        <w:gridCol w:w="3456"/>
        <w:gridCol w:w="3456"/>
        <w:gridCol w:w="3456"/>
      </w:tblGrid>
      <w:tr>
        <w:tc>
          <w:tcPr>
            <w:tcW w:type="dxa" w:w="3600"/>
            <w:vAlign w:val="center"/>
            <w:shd w:fill="FFFFFF"/>
          </w:tcPr>
          <w:p>
            <w:pPr>
              <w:spacing w:after="30" w:line="252" w:lineRule="auto"/>
            </w:pPr>
            <w:r>
              <w:rPr>
                <w:color w:val="000000"/>
                <w:u w:val="none"/>
              </w:rPr>
            </w:r>
            <w:r>
              <w:rPr>
                <w:rFonts w:ascii="Times New Roman" w:hAnsi="Times New Roman" w:eastAsia="Times New Roman"/>
                <w:b/>
                <w:color w:val="000000"/>
                <w:sz w:val="19"/>
                <w:u w:val="none"/>
              </w:rPr>
              <w:t>Mã / hành động</w:t>
            </w:r>
          </w:p>
        </w:tc>
        <w:tc>
          <w:tcPr>
            <w:tcW w:type="dxa" w:w="2520"/>
            <w:vAlign w:val="center"/>
            <w:shd w:fill="FFFFFF"/>
          </w:tcPr>
          <w:p>
            <w:pPr>
              <w:spacing w:after="30" w:line="252" w:lineRule="auto"/>
            </w:pPr>
            <w:r>
              <w:rPr>
                <w:color w:val="000000"/>
                <w:u w:val="none"/>
              </w:rPr>
            </w:r>
            <w:r>
              <w:rPr>
                <w:rFonts w:ascii="Times New Roman" w:hAnsi="Times New Roman" w:eastAsia="Times New Roman"/>
                <w:b/>
                <w:color w:val="000000"/>
                <w:sz w:val="19"/>
                <w:u w:val="none"/>
              </w:rPr>
              <w:t>Theo dõi và thời điểm</w:t>
            </w:r>
          </w:p>
        </w:tc>
        <w:tc>
          <w:tcPr>
            <w:tcW w:type="dxa" w:w="3312"/>
            <w:vAlign w:val="center"/>
            <w:shd w:fill="FFFFFF"/>
          </w:tcPr>
          <w:p>
            <w:pPr>
              <w:spacing w:after="30" w:line="252" w:lineRule="auto"/>
            </w:pPr>
            <w:r>
              <w:rPr>
                <w:color w:val="000000"/>
                <w:u w:val="none"/>
              </w:rPr>
            </w:r>
            <w:r>
              <w:rPr>
                <w:rFonts w:ascii="Times New Roman" w:hAnsi="Times New Roman" w:eastAsia="Times New Roman"/>
                <w:b/>
                <w:color w:val="000000"/>
                <w:sz w:val="19"/>
                <w:u w:val="none"/>
              </w:rPr>
              <w:t>Bằng chứng / tiêu chí</w:t>
            </w:r>
          </w:p>
        </w:tc>
      </w:tr>
      <w:tr>
        <w:tc>
          <w:tcPr>
            <w:tcW w:type="dxa" w:w="360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A-01: Thống nhất nơi ghi nhận thay đổi quy tắc, người xác nhận và cách thông báo.</w:t>
            </w:r>
          </w:p>
        </w:tc>
        <w:tc>
          <w:tcPr>
            <w:tcW w:type="dxa" w:w="252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Scrum Team; Scrum Master theo dõi. Thiết lập Ngày 1, rà soát cuối Sprint.</w:t>
            </w:r>
          </w:p>
        </w:tc>
        <w:tc>
          <w:tcPr>
            <w:tcW w:type="dxa" w:w="331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100% thay đổi phát sinh có bản ghi, người xác nhận và thông báo theo quy ước.</w:t>
            </w:r>
          </w:p>
        </w:tc>
      </w:tr>
      <w:tr>
        <w:tc>
          <w:tcPr>
            <w:tcW w:type="dxa" w:w="360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A-02: Kiểm tra tích hợp sớm ngay khi môi trường sẵn sàng.</w:t>
            </w:r>
          </w:p>
        </w:tc>
        <w:tc>
          <w:tcPr>
            <w:tcW w:type="dxa" w:w="2520"/>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Developers; Scrum Master theo dõi. Bắt đầu Ngày 1, kiểm tra giữa và cuối Sprint.</w:t>
            </w:r>
          </w:p>
        </w:tc>
        <w:tc>
          <w:tcPr>
            <w:tcW w:type="dxa" w:w="331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Có bằng chứng kiểm tra trước giữa Sprint; lỗi được ghi nhận và theo dõi trước cuối Sprint.</w:t>
            </w:r>
          </w:p>
        </w:tc>
      </w:tr>
    </w:tbl>
    <w:p>
      <w:pPr>
        <w:spacing w:after="80" w:line="259" w:lineRule="auto"/>
      </w:pPr>
    </w:p>
    <w:p>
      <w:pPr>
        <w:pStyle w:val="Heading1"/>
      </w:pPr>
      <w:r>
        <w:rPr>
          <w:color w:val="000000"/>
          <w:u w:val="none"/>
        </w:rPr>
        <w:t>4. CHỌN KỸ THUẬT RETRO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FFFFFF"/>
          </w:tcPr>
          <w:p>
            <w:pPr>
              <w:spacing w:after="30" w:line="252" w:lineRule="auto"/>
            </w:pPr>
            <w:r>
              <w:rPr>
                <w:color w:val="000000"/>
                <w:u w:val="none"/>
              </w:rPr>
            </w:r>
            <w:r>
              <w:rPr>
                <w:rFonts w:ascii="Times New Roman" w:hAnsi="Times New Roman" w:eastAsia="Times New Roman"/>
                <w:b/>
                <w:color w:val="000000"/>
                <w:sz w:val="19"/>
                <w:u w:val="none"/>
              </w:rPr>
              <w:t>Tiêu chí</w:t>
            </w:r>
          </w:p>
        </w:tc>
        <w:tc>
          <w:tcPr>
            <w:tcW w:type="dxa" w:w="3672"/>
            <w:vAlign w:val="center"/>
            <w:shd w:fill="FFFFFF"/>
          </w:tcPr>
          <w:p>
            <w:pPr>
              <w:spacing w:after="30" w:line="252" w:lineRule="auto"/>
            </w:pPr>
            <w:r>
              <w:rPr>
                <w:color w:val="000000"/>
                <w:u w:val="none"/>
              </w:rPr>
            </w:r>
            <w:r>
              <w:rPr>
                <w:rFonts w:ascii="Times New Roman" w:hAnsi="Times New Roman" w:eastAsia="Times New Roman"/>
                <w:b/>
                <w:color w:val="000000"/>
                <w:sz w:val="19"/>
                <w:u w:val="none"/>
              </w:rPr>
              <w:t>Start–Stop–Continue</w:t>
            </w:r>
          </w:p>
        </w:tc>
        <w:tc>
          <w:tcPr>
            <w:tcW w:type="dxa" w:w="4032"/>
            <w:vAlign w:val="center"/>
            <w:shd w:fill="FFFFFF"/>
          </w:tcPr>
          <w:p>
            <w:pPr>
              <w:spacing w:after="30" w:line="252" w:lineRule="auto"/>
            </w:pPr>
            <w:r>
              <w:rPr>
                <w:color w:val="000000"/>
                <w:u w:val="none"/>
              </w:rPr>
            </w:r>
            <w:r>
              <w:rPr>
                <w:rFonts w:ascii="Times New Roman" w:hAnsi="Times New Roman" w:eastAsia="Times New Roman"/>
                <w:b/>
                <w:color w:val="000000"/>
                <w:sz w:val="19"/>
                <w:u w:val="none"/>
              </w:rPr>
              <w:t>4Ls</w:t>
            </w:r>
          </w:p>
        </w:tc>
      </w:tr>
      <w:tr>
        <w:tc>
          <w:tcPr>
            <w:tcW w:type="dxa" w:w="17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An toàn</w:t>
            </w:r>
          </w:p>
        </w:tc>
        <w:tc>
          <w:tcPr>
            <w:tcW w:type="dxa" w:w="367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Tốt nếu tập trung vào quy trình</w:t>
            </w:r>
          </w:p>
        </w:tc>
        <w:tc>
          <w:tcPr>
            <w:tcW w:type="dxa" w:w="403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Khuyến khích chia sẻ trải nghiệm</w:t>
            </w:r>
          </w:p>
        </w:tc>
      </w:tr>
      <w:tr>
        <w:tc>
          <w:tcPr>
            <w:tcW w:type="dxa" w:w="17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Nguyên nhân</w:t>
            </w:r>
          </w:p>
        </w:tc>
        <w:tc>
          <w:tcPr>
            <w:tcW w:type="dxa" w:w="367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Nhanh, trực tiếp</w:t>
            </w:r>
          </w:p>
        </w:tc>
        <w:tc>
          <w:tcPr>
            <w:tcW w:type="dxa" w:w="403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Khai thác điều học được và điều còn thiếu</w:t>
            </w:r>
          </w:p>
        </w:tc>
      </w:tr>
      <w:tr>
        <w:tc>
          <w:tcPr>
            <w:tcW w:type="dxa" w:w="17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Hành động</w:t>
            </w:r>
          </w:p>
        </w:tc>
        <w:tc>
          <w:tcPr>
            <w:tcW w:type="dxa" w:w="367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Dễ chuyển thành việc cần làm</w:t>
            </w:r>
          </w:p>
        </w:tc>
        <w:tc>
          <w:tcPr>
            <w:tcW w:type="dxa" w:w="403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Cần thêm bước tổng hợp</w:t>
            </w:r>
          </w:p>
        </w:tc>
      </w:tr>
      <w:tr>
        <w:tc>
          <w:tcPr>
            <w:tcW w:type="dxa" w:w="1728"/>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Thời lượng / người ít nói</w:t>
            </w:r>
          </w:p>
        </w:tc>
        <w:tc>
          <w:tcPr>
            <w:tcW w:type="dxa" w:w="367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Dễ kiểm soát; có thể viết riêng</w:t>
            </w:r>
          </w:p>
        </w:tc>
        <w:tc>
          <w:tcPr>
            <w:tcW w:type="dxa" w:w="4032"/>
            <w:vAlign w:val="center"/>
            <w:shd w:fill="FFFFFF"/>
          </w:tcPr>
          <w:p>
            <w:pPr>
              <w:spacing w:after="30" w:line="252" w:lineRule="auto"/>
            </w:pPr>
            <w:r>
              <w:rPr>
                <w:color w:val="000000"/>
                <w:u w:val="none"/>
              </w:rPr>
            </w:r>
            <w:r>
              <w:rPr>
                <w:rFonts w:ascii="Times New Roman" w:hAnsi="Times New Roman" w:eastAsia="Times New Roman"/>
                <w:b w:val="0"/>
                <w:color w:val="000000"/>
                <w:sz w:val="19"/>
                <w:u w:val="none"/>
              </w:rPr>
              <w:t>Cần kiểm soát thời gian; có thể ghi ý kiến theo nhóm</w:t>
            </w:r>
          </w:p>
        </w:tc>
      </w:tr>
    </w:tbl>
    <w:p>
      <w:pPr>
        <w:spacing w:after="80" w:line="259" w:lineRule="auto"/>
      </w:pPr>
    </w:p>
    <w:p>
      <w:pPr>
        <w:spacing w:after="80" w:line="259" w:lineRule="auto"/>
      </w:pPr>
      <w:r>
        <w:rPr>
          <w:color w:val="000000"/>
          <w:sz w:val="22"/>
          <w:u w:val="none"/>
        </w:rPr>
        <w:t>Chọn 4Ls (Liked, Learned, Lacked, Longed For) vì mức an toàn chỉ 2,8/5 và Retro cũ có đổ lỗi. Trade-off: cần thời gian tổng hợp; dành 5–10 phút cuối để chốt tối đa hai Action Item. Nếu nhóm an toàn hơn và cần hành động nhanh, dùng Start–Stop–Continue hoặc kết hợp cả hai trong 60 phút.</w:t>
      </w:r>
    </w:p>
    <w:p>
      <w:pPr>
        <w:pStyle w:val="Heading1"/>
      </w:pPr>
      <w:r>
        <w:rPr>
          <w:color w:val="000000"/>
          <w:u w:val="none"/>
        </w:rPr>
        <w:t>5. CHU TRÌNH INSPECT AND ADAPT SANG SPRINT 15</w:t>
      </w:r>
    </w:p>
    <w:p>
      <w:pPr>
        <w:spacing w:after="80" w:line="259" w:lineRule="auto"/>
      </w:pPr>
      <w:r>
        <w:rPr>
          <w:color w:val="000000"/>
          <w:sz w:val="22"/>
          <w:u w:val="none"/>
        </w:rPr>
        <w:t>Sprint Review → Feedback Log → Product Backlog → Retrospective → Action Item → Kiểm tra Sprint 15 → Inspect and Adapt tiếp theo.</w:t>
      </w:r>
    </w:p>
    <w:p>
      <w:pPr>
        <w:spacing w:after="80" w:line="259" w:lineRule="auto"/>
      </w:pPr>
      <w:r>
        <w:rPr>
          <w:color w:val="000000"/>
          <w:sz w:val="22"/>
          <w:u w:val="none"/>
        </w:rPr>
        <w:t>F-04 – Thiếu lịch sử đa kênh: bằng chứng hiện có là phản hồi, nhưng chưa rõ kênh và phạm vi lịch sử. Stakeholders làm rõ nhu cầu; PO quyết định ưu tiên và cập nhật Product Backlog. Nếu được đưa vào Sprint 15, kiểm tra khả năng xem lịch sử và trạng thái đơn; tiêu chí đo là yêu cầu được xác định rõ, kiểm thử theo tình huống thống nhất đạt và Increment đáp ứng DoD.</w:t>
      </w:r>
    </w:p>
    <w:p>
      <w:pPr>
        <w:spacing w:after="80" w:line="259" w:lineRule="auto"/>
      </w:pPr>
      <w:r>
        <w:rPr>
          <w:color w:val="000000"/>
          <w:sz w:val="22"/>
          <w:u w:val="none"/>
        </w:rPr>
        <w:t>A-02 – Kiểm tra tích hợp sớm: vấn đề là Integration Test chỉ diễn ra Ngày 8; giả thuyết cần kiểm chứng là kiểm thử muộn làm giảm thời gian xử lý lỗi. Developers thực hiện, Scrum Master theo dõi. Bằng chứng gồm thời điểm kiểm tra, kết quả và danh sách lỗi; tiêu chí là có kiểm tra trước giữa Sprint, lỗi được theo dõi trước cuối Sprint và kết quả được so sánh với Sprint 14.</w:t>
      </w:r>
    </w:p>
    <w:p>
      <w:pPr>
        <w:spacing w:after="80" w:line="259" w:lineRule="auto"/>
      </w:pPr>
      <w:r>
        <w:rPr>
          <w:color w:val="000000"/>
          <w:sz w:val="22"/>
          <w:u w:val="none"/>
        </w:rPr>
        <w:t>Ngoại lệ: Thiếu dữ liệu thì ghi rõ nội dung cần xác minh, không tự đặt số liệu. Còn lỗi cao hoặc chưa đạt quyền riêng tư thì không tuyên bố Done. Feedback ngoài phạm vi được PO đánh giá trong Backlog; Action không đạt mục tiêu được xem xét lại dựa trên bằng chứng, không đổ lỗi. Khi có thay đổi, Scrum Team điều chỉnh kế hoạch và bảo vệ Sprint Goal.</w:t>
      </w:r>
    </w:p>
    <w:p>
      <w:pPr>
        <w:spacing w:after="80" w:line="259" w:lineRule="auto"/>
      </w:pPr>
      <w:r>
        <w:rPr>
          <w:color w:val="000000"/>
          <w:sz w:val="22"/>
          <w:u w:val="none"/>
        </w:rPr>
        <w:t>Kết luận: Review tập trung vào Increment, giá trị sản phẩm và Feedback; Retrospective tập trung vào dữ liệu và cải tiến nội bộ. Hai sự kiện liên kết bằng bằng chứng nhưng không gộp làm một. Sprint 15 theo dõi tối đa hai Action Item và chỉ xác nhận Done khi đáp ứng đầy đủ DoD.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Times New Roman" w:hAnsi="Times New Roman" w:eastAsia="Times New Roman"/>
      <w:b/>
      <w:bCs/>
      <w:color w:val="000000"/>
      <w:sz w:val="21"/>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