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D7C24">
      <w:pPr>
        <w:pStyle w:val="23"/>
        <w:spacing w:after="280"/>
        <w:jc w:val="center"/>
      </w:pPr>
      <w:r>
        <w:rPr>
          <w:rFonts w:ascii="Times New Roman" w:hAnsi="Times New Roman" w:eastAsia="SimHei"/>
          <w:b/>
          <w:sz w:val="36"/>
        </w:rPr>
        <w:t>基于滑窗最小二乘的局部-全局坐标系</w:t>
      </w:r>
      <w:bookmarkStart w:id="26" w:name="_GoBack"/>
      <w:bookmarkEnd w:id="26"/>
      <w:r>
        <w:rPr>
          <w:rFonts w:ascii="Times New Roman" w:hAnsi="Times New Roman" w:eastAsia="SimHei"/>
          <w:b/>
          <w:sz w:val="36"/>
        </w:rPr>
        <w:t>在线标定方法</w:t>
      </w:r>
    </w:p>
    <w:p w14:paraId="23F38156">
      <w:pPr>
        <w:pStyle w:val="3"/>
      </w:pPr>
      <w:r>
        <w:rPr>
          <w:rFonts w:ascii="Times New Roman" w:hAnsi="Times New Roman" w:eastAsia="SimSun"/>
          <w:b/>
        </w:rPr>
        <w:t>摘要：</w:t>
      </w:r>
      <w:r>
        <w:rPr>
          <w:rFonts w:ascii="Times New Roman" w:hAnsi="Times New Roman" w:eastAsia="SimSun"/>
        </w:rPr>
        <w:t>多机器人协同或单机按全局坐标执行任务，都要求把机器人局部位姿关联到全局参考系。全局定位源通常只提供三维位置、不提供姿态；机器人自身可通过任意手段获得的局部位姿则会随时间与运动距离积累漂移，因而局部-全局坐标变换无法一次性标定后固定使用，只能在线持续更新。本文研究该条件下局部-全局SE(2)刚体变换的在线求解问题，证明其为经典Horn/Umeyama轨迹对齐方法（亦即Wahba姿态确定问题）在二维仅航向角自由度下的退化情形，具有闭式解θ*=atan2(S,C)。提出基于滑窗的在线估计机制，用运动中自然产生的位移段代替专门标定动作，推导了估计量的噪声传播模型并证明其达到Cramér-Rao下界，是渐近有效估计量；针对绝对观测中可能出现的野值，设计了基于Huber损失的迭代重加权抗差方案。核心估计器独立作用于单个智能体，不依赖机器人数量与具体传感器类型，多机器人部署仅需并行调用与一次简单的坐标变换组合。</w:t>
      </w:r>
    </w:p>
    <w:p w14:paraId="6787B15E">
      <w:pPr>
        <w:pStyle w:val="3"/>
      </w:pPr>
      <w:r>
        <w:rPr>
          <w:rFonts w:ascii="Times New Roman" w:hAnsi="Times New Roman" w:eastAsia="SimSun"/>
          <w:b/>
        </w:rPr>
        <w:t>关键词：</w:t>
      </w:r>
      <w:r>
        <w:rPr>
          <w:rFonts w:ascii="Times New Roman" w:hAnsi="Times New Roman" w:eastAsia="SimSun"/>
        </w:rPr>
        <w:t>坐标系标定；SE(2)刚体变换；在线估计；超宽带定位；多机器人协同；最小二乘</w:t>
      </w:r>
    </w:p>
    <w:p w14:paraId="33277AD9">
      <w:pPr>
        <w:pStyle w:val="3"/>
      </w:pPr>
      <w:r>
        <w:rPr>
          <w:rFonts w:ascii="Times New Roman" w:hAnsi="Times New Roman" w:eastAsia="SimSun"/>
          <w:b/>
        </w:rPr>
        <w:t>Abstract:</w:t>
      </w:r>
      <w:r>
        <w:rPr>
          <w:rFonts w:ascii="Times New Roman" w:hAnsi="Times New Roman" w:eastAsia="SimSun"/>
        </w:rPr>
        <w:t xml:space="preserve"> Multi-robot coordination, and single-robot task execution specified in global coordinates, both require relating a robot’s local pose to a global reference frame. Global positioning sources typically provide only three-dimensional position, not orientation, while a robot’s own local pose, obtained by whatever means, accumulates drift over time and distance; consequently the local-to-global transform cannot be calibrated once and then held fixed, but must be updated online and continuously. This paper addresses online solution of the local-to-global SE(2) rigid transform under this condition, showing the problem to be the two-dimensional, yaw-only degeneracy of the classical Horn/Umeyama alignment method (equivalently, Wahba’s problem), which admits the closed-form solution θ*=atan2(S,C). A sliding-window online estimator is proposed that uses displacement segments arising naturally from motion; its noise-propagation model is derived and shown to attain the Cramér-Rao lower bound, making it asymptotically efficient, and a Huber-loss iteratively reweighted variant is designed against outliers that may arise in the absolute observations. The estimator runs independently per agent, is agnostic to robot count and sensor type, and multi-robot deployment requires only parallel invocation plus a trivial coordinate composition.</w:t>
      </w:r>
    </w:p>
    <w:p w14:paraId="35E678C9">
      <w:pPr>
        <w:pStyle w:val="3"/>
      </w:pPr>
      <w:r>
        <w:rPr>
          <w:rFonts w:ascii="Times New Roman" w:hAnsi="Times New Roman" w:eastAsia="SimSun"/>
          <w:b/>
        </w:rPr>
        <w:t>Keywords:</w:t>
      </w:r>
      <w:r>
        <w:rPr>
          <w:rFonts w:ascii="Times New Roman" w:hAnsi="Times New Roman" w:eastAsia="SimSun"/>
        </w:rPr>
        <w:t xml:space="preserve"> coordinate frame calibration; SE(2) rigid transformation; online estimation; ultra-wideband positioning; multi-robot coordination; least squares</w:t>
      </w:r>
    </w:p>
    <w:p w14:paraId="342F7BA1">
      <w:pPr>
        <w:pStyle w:val="4"/>
      </w:pPr>
      <w:bookmarkStart w:id="0" w:name="引言"/>
      <w:r>
        <w:t>1 引言</w:t>
      </w:r>
    </w:p>
    <w:p w14:paraId="55F4C5D0">
      <w:pPr>
        <w:pStyle w:val="5"/>
      </w:pPr>
      <w:bookmarkStart w:id="1" w:name="研究背景"/>
      <w:r>
        <w:t>1.1 研究背景</w:t>
      </w:r>
    </w:p>
    <w:p w14:paraId="4E41A417">
      <w:pPr>
        <w:pStyle w:val="23"/>
      </w:pPr>
      <w:r>
        <w:t>多机器人协同或单机按全局坐标执行任务，都要求把机器人的局部位姿关联到全局参考系。全局定位源（如UWB、GPS、声学定位）通常只能提供三维位置，不提供姿态；机器人自身可以通过任意手段（SLAM、视觉或惯性里程计等，本文方法不限定具体实现）获得连续的局部六自由度位姿估计，但这类局部估计会随时间与运动距离积累误差而漂移。</w:t>
      </w:r>
    </w:p>
    <w:p w14:paraId="5B667988">
      <w:pPr>
        <w:pStyle w:val="3"/>
      </w:pPr>
      <w:r>
        <w:t>求解局部到全局坐标变换的动机有二：其一是多机器人协同（编队避障、共享地图、集中调度）要求各机的局部坐标系统一到同一个全局参考系；其二是即便单机场景，只要作业目标以全局坐标给出，例如按全局位置导航或前往指定地点执行任务，也需要该变换把全局目标换算到机器人自身的局部系中执行。由于局部位姿持续漂移，一次性标定得到的变换会随时间失效，局部到全局的坐标变换因而不能标定一次后固定使用，只能在线、持续地更新。</w:t>
      </w:r>
    </w:p>
    <w:p w14:paraId="46B09922">
      <w:pPr>
        <w:pStyle w:val="3"/>
      </w:pPr>
      <w:r>
        <w:t>是否能够从单次观测直接测得该变换的旋转分量，取决于每个机器人身上部署了多少个同步的绝对观测点：若为每个机器人配备多点观测——动作捕捉对刚体标记点的跟踪、双天线定向GPS、双标签UWB测向——旋转理论上可以直接测出，但除了需要额外配置多个同步观测点与已知的机上几何基线、硬件与标定成本较高之外，其测向精度还从根本上受基线长度制约，基线越短角度误差越大，对体积受限、只能采用短基线的小型机器人尤其不利，量化分析见第4.3节。更常见、部署门槛更低的方案是每个机器人只携带单一位置观测点：单标签UWB测距、单天线GPS、声学定位信标、单个视觉信标检测等，这类方案只能提供全局位置。本文研究的问题是：全局观测只提供三维位置、局部位姿持续漂移因而只能在线标定的条件下，如何求解局部坐标系到全局坐标系的SE(2)变换。这一约束组合与动作捕捉、多点观测直接定向、点云配准等已有方法的适用条件均不同。</w:t>
      </w:r>
    </w:p>
    <w:p w14:paraId="036E4EFB">
      <w:pPr>
        <w:pStyle w:val="3"/>
      </w:pPr>
      <w:r>
        <w:t>本文方法的核心估计器不依赖多机器人这一设定。方法的输入仅为单个智能体自身的局部位姿（取其位置分量）与其接收到的全局位置观测，计算独立地在该智能体上完成，与是否存在其他机器人无关——单机按全局坐标执行任务时同样需要这一变换。多机器人场景中，本文方法只是对每个智能体分别独立调用；若还需要机间相对位姿，只需两台机器人各自独立标定出世界系到自身地图系的变换后，通过共享的世界系做一次坐标链式复合即可得到，这一步复杂度可忽略。因此本文方法同样适用于单智能体场景，多机器人协同飞行仅是本文的验证载体。</w:t>
      </w:r>
    </w:p>
    <w:p w14:paraId="7D0D583E">
      <w:pPr>
        <w:pStyle w:val="3"/>
      </w:pPr>
      <w:r>
        <w:t>可直接迁移本文方法的场景，其共同特征是全局观测仅提供位置、局部位姿存在漂移：仓储物流机器人集群（单标签UWB基站测距配合惯性/轮式里程计，本文的验证场景）、搜救应急编队、地下与隧道机器人、工地多机协同；水下机器人（DVL计程仪加IMU的局部航位推算，母船USBL声学定位提供的多数为单点位置，不含姿态）；无RTK双天线定向硬件的地面或农业机器人（单天线GPS/GNSS只提供位置轨迹）；室内行人导航（脚绑IMU航位推算配合WiFi/UWB信标）。若将问题从SE(2)扩展为完整SE(3)，本文思路还可延伸到多相机外参在线标定、航天器编队等场景，但会失去闭式解的简洁性（见第2.8节）。</w:t>
      </w:r>
    </w:p>
    <w:bookmarkEnd w:id="1"/>
    <w:p w14:paraId="418CC4C7">
      <w:pPr>
        <w:pStyle w:val="5"/>
      </w:pPr>
      <w:bookmarkStart w:id="2" w:name="相关工作"/>
      <w:r>
        <w:t>1.2 相关工作</w:t>
      </w:r>
    </w:p>
    <w:p w14:paraId="79D8DC2C">
      <w:pPr>
        <w:pStyle w:val="23"/>
      </w:pPr>
      <w:r>
        <w:t>现有UWB与里程计融合的多机器人定位研究，绝大多数解决的是机间相对定位问题：机器人携带UWB标签直接测量彼此距离或方位，估计的是机器人间的相对位姿，不涉及统一到外部全局参考系。Nagavalli等[1]提出通过机间相对位置测量对齐坐标系朝向的算法；邓忠元等[2]及其配套专利[3]提出基于单UWB融合里程计的多机器人相对定位方法，滑动窗口构建非线性最小二乘，在6 m×12 m环境下取得0.32 m的相对位置精度和4.16°的相对角度精度；电子与信息学报刊载的多UWB节点阵列方法[4]采用类似框架；Shin等[5]在IEEE Transactions on Robotics给出机间相对位姿估计的可观测性分析。这些工作的观测量均为机器人间的相对测量，与本文每个机器人独立对齐到共享外部绝对参考系的问题结构不同，本文称前者为机间相对定位，后者为局部-全局坐标系对齐。</w:t>
      </w:r>
    </w:p>
    <w:p w14:paraId="15B59842">
      <w:pPr>
        <w:pStyle w:val="3"/>
      </w:pPr>
      <w:r>
        <w:t>与本文最相关的近期工作是Coordinate-Consistent Localization[6]，同样面向低成本UWB加SLAM的硬件约束，但解决的是单个机器人跨多次运行之间的坐标一致性问题，采用批量连续时间优化、依赖多个固定锚点；本文解决多机器人间的在线对齐问题，采用递归闭式解、仅需单一绝对位置源。Autocalibration of a Mobile UWB Localization System[7]标定的是UWB锚点系统自身的位置，属于基础设施自标定，与机器人坐标系对齐是不同问题。</w:t>
      </w:r>
    </w:p>
    <w:p w14:paraId="3D1BE62B">
      <w:pPr>
        <w:pStyle w:val="3"/>
      </w:pPr>
      <w:r>
        <w:t>本文数学基础是Horn[8]的绝对定向法与Umeyama[9]方法：给定两组配对的点或位移向量，最小二乘求解使其近似重合的刚体变换，是SLAM社区评测工具对齐估计轨迹与真值轨迹的标准算法。本文与该方法的区别不在于最小二乘刚体对齐本身，而在于配对关系需要在线、增量地从两路异步数据流中构造出来，这一前置问题在Horn/Umeyama方法中被假定为已给定。该问题在二维、仅航向角自由度下退化到与Wahba姿态确定问题[10]相同的闭式解形式。点云配准方法（ICP及变体）依赖点云重叠区域且计算成本较高，传统UWB多基站三边定位需要预先测量固定锚点，二者均不适用于本文的约束条件。</w:t>
      </w:r>
    </w:p>
    <w:bookmarkEnd w:id="2"/>
    <w:p w14:paraId="1348BC22">
      <w:pPr>
        <w:pStyle w:val="5"/>
      </w:pPr>
      <w:bookmarkStart w:id="3" w:name="本文贡献"/>
      <w:r>
        <w:t>1.3 本文贡献</w:t>
      </w:r>
    </w:p>
    <w:p w14:paraId="277C449E">
      <w:pPr>
        <w:pStyle w:val="23"/>
      </w:pPr>
      <w:r>
        <w:t>本文提出局部-全局坐标系SE(2)在线标定方法，给出闭式解、滑窗估计机制、噪声传播模型及其与Cramér-Rao下界的对照，并设计应对UWB多径观测野值的抗差扩展；报告并修复两类在线估计系统的工程缺陷；通过定量预测识别并验证一个架构层面的时序问题；在真实硬件平台验证方法的泛化能力。现有多机器人UWB定位文献几乎全部集中于机间相对定位问题，本文解决的局部-全局坐标系对齐问题此前未见系统处理，这是本文相对已有工作的主要区别。</w:t>
      </w:r>
    </w:p>
    <w:bookmarkEnd w:id="0"/>
    <w:bookmarkEnd w:id="3"/>
    <w:p w14:paraId="7507EEF9">
      <w:pPr>
        <w:pStyle w:val="4"/>
      </w:pPr>
      <w:bookmarkStart w:id="4" w:name="方法"/>
      <w:r>
        <w:t>2 方法</w:t>
      </w:r>
    </w:p>
    <w:p w14:paraId="50F515E8">
      <w:pPr>
        <w:pStyle w:val="5"/>
      </w:pPr>
      <w:bookmarkStart w:id="5" w:name="单智能体估计器"/>
      <w:r>
        <w:t>2.1 单智能体估计器</w:t>
      </w:r>
    </w:p>
    <w:p w14:paraId="68C8D29A">
      <w:pPr>
        <w:pStyle w:val="23"/>
      </w:pPr>
      <w:r>
        <w:t>本文方法的核心估计器作用于单个智能体，输入为两类观测流：局部相对运动估计（可以是激光惯性里程计、轮式里程计或视觉里程计，本文以DLIO为验证实例）给出的连续位移，以及稀疏绝对位置观测（本文以UWB为验证实例）给出的间歇性全局位置。设局部系下连续两次采样间的位移向量为</w:t>
      </w:r>
      <m:oMath>
        <m:sSub>
          <m:sSubPr/>
          <m:e>
            <m:r>
              <m:rPr/>
              <m:t>u</m:t>
            </m:r>
          </m:e>
          <m:sub>
            <m:r>
              <m:rPr/>
              <m:t>i</m:t>
            </m:r>
          </m:sub>
        </m:sSub>
        <m:r>
          <m:rPr>
            <m:sty m:val="p"/>
          </m:rPr>
          <m:t>=</m:t>
        </m:r>
        <m:d>
          <m:dPr>
            <m:sepChr m:val=""/>
          </m:dPr>
          <m:e>
            <m:sSub>
              <m:sSubPr/>
              <m:e>
                <m:r>
                  <m:rPr/>
                  <m:t>u</m:t>
                </m:r>
              </m:e>
              <m:sub>
                <m:r>
                  <m:rPr/>
                  <m:t>ix</m:t>
                </m:r>
              </m:sub>
            </m:sSub>
            <m:r>
              <m:rPr>
                <m:sty m:val="p"/>
              </m:rPr>
              <m:t>,</m:t>
            </m:r>
            <m:sSub>
              <m:sSubPr/>
              <m:e>
                <m:r>
                  <m:rPr/>
                  <m:t>u</m:t>
                </m:r>
              </m:e>
              <m:sub>
                <m:r>
                  <m:rPr/>
                  <m:t>iy</m:t>
                </m:r>
              </m:sub>
            </m:sSub>
          </m:e>
        </m:d>
      </m:oMath>
      <w:r>
        <w:t>，对应时间窗口内绝对观测的位移向量为</w:t>
      </w:r>
      <m:oMath>
        <m:sSub>
          <m:sSubPr/>
          <m:e>
            <m:r>
              <m:rPr/>
              <m:t>v</m:t>
            </m:r>
          </m:e>
          <m:sub>
            <m:r>
              <m:rPr/>
              <m:t>i</m:t>
            </m:r>
          </m:sub>
        </m:sSub>
        <m:r>
          <m:rPr>
            <m:sty m:val="p"/>
          </m:rPr>
          <m:t>=</m:t>
        </m:r>
        <m:d>
          <m:dPr>
            <m:sepChr m:val=""/>
          </m:dPr>
          <m:e>
            <m:sSub>
              <m:sSubPr/>
              <m:e>
                <m:r>
                  <m:rPr/>
                  <m:t>v</m:t>
                </m:r>
              </m:e>
              <m:sub>
                <m:r>
                  <m:rPr/>
                  <m:t>ix</m:t>
                </m:r>
              </m:sub>
            </m:sSub>
            <m:r>
              <m:rPr>
                <m:sty m:val="p"/>
              </m:rPr>
              <m:t>,</m:t>
            </m:r>
            <m:sSub>
              <m:sSubPr/>
              <m:e>
                <m:r>
                  <m:rPr/>
                  <m:t>v</m:t>
                </m:r>
              </m:e>
              <m:sub>
                <m:r>
                  <m:rPr/>
                  <m:t>iy</m:t>
                </m:r>
              </m:sub>
            </m:sSub>
          </m:e>
        </m:d>
      </m:oMath>
      <w:r>
        <w:t>，理想无噪声情形下二者满足：</w:t>
      </w:r>
    </w:p>
    <w:p w14:paraId="0C31C904">
      <w:pPr>
        <w:pStyle w:val="3"/>
        <w:tabs>
          <w:tab w:val="center" w:pos="4150"/>
          <w:tab w:val="right" w:pos="8300"/>
        </w:tabs>
        <w:jc w:val="left"/>
      </w:pPr>
      <w:r>
        <w:tab/>
      </w:r>
      <m:oMath>
        <m:sSub>
          <m:sSubPr/>
          <m:e>
            <m:r>
              <m:rPr/>
              <m:t>v</m:t>
            </m:r>
          </m:e>
          <m:sub>
            <m:r>
              <m:rPr/>
              <m:t>i</m:t>
            </m:r>
          </m:sub>
        </m:sSub>
        <m:r>
          <m:rPr>
            <m:sty m:val="p"/>
          </m:rPr>
          <m:t>=</m:t>
        </m:r>
        <m:r>
          <m:rPr/>
          <m:t>R</m:t>
        </m:r>
        <m:d>
          <m:dPr>
            <m:sepChr m:val=""/>
          </m:dPr>
          <m:e>
            <m:r>
              <m:rPr/>
              <m:t>θ</m:t>
            </m:r>
          </m:e>
        </m:d>
        <m:r>
          <m:rPr/>
          <m:t> </m:t>
        </m:r>
        <m:sSub>
          <m:sSubPr/>
          <m:e>
            <m:r>
              <m:rPr/>
              <m:t>u</m:t>
            </m:r>
          </m:e>
          <m:sub>
            <m:r>
              <m:rPr/>
              <m:t>i</m:t>
            </m:r>
          </m:sub>
        </m:sSub>
      </m:oMath>
      <w:r>
        <w:rPr>
          <w:rFonts w:ascii="Times New Roman" w:hAnsi="Times New Roman" w:eastAsia="Times New Roman"/>
        </w:rPr>
        <w:tab/>
      </w:r>
      <w:r>
        <w:rPr>
          <w:rFonts w:ascii="Times New Roman" w:hAnsi="Times New Roman" w:eastAsia="Times New Roman"/>
        </w:rPr>
        <w:t>(1)</w:t>
      </w:r>
    </w:p>
    <w:p w14:paraId="02356B7B">
      <w:pPr>
        <w:pStyle w:val="23"/>
      </w:pPr>
      <w:r>
        <w:t>其中</w:t>
      </w:r>
      <m:oMath>
        <m:r>
          <m:rPr/>
          <m:t>R</m:t>
        </m:r>
        <m:d>
          <m:dPr>
            <m:sepChr m:val=""/>
          </m:dPr>
          <m:e>
            <m:r>
              <m:rPr/>
              <m:t>θ</m:t>
            </m:r>
          </m:e>
        </m:d>
      </m:oMath>
      <w:r>
        <w:t>为局部系到全局系航向角偏差对应的二维旋转矩阵：</w:t>
      </w:r>
    </w:p>
    <w:p w14:paraId="6ADDADEE">
      <w:pPr>
        <w:pStyle w:val="3"/>
        <w:tabs>
          <w:tab w:val="center" w:pos="4150"/>
          <w:tab w:val="right" w:pos="8300"/>
        </w:tabs>
        <w:jc w:val="left"/>
      </w:pPr>
      <w:r>
        <w:tab/>
      </w:r>
      <m:oMath>
        <m:r>
          <m:rPr/>
          <m:t>R</m:t>
        </m:r>
        <m:d>
          <m:dPr>
            <m:sepChr m:val=""/>
          </m:dPr>
          <m:e>
            <m:r>
              <m:rPr/>
              <m:t>θ</m:t>
            </m:r>
          </m:e>
        </m:d>
        <m:r>
          <m:rPr>
            <m:sty m:val="p"/>
          </m:rPr>
          <m:t>=</m:t>
        </m:r>
        <m:d>
          <m:dPr>
            <m:sepChr m:val=""/>
          </m:dPr>
          <m:e>
            <m:m>
              <m:mPr>
                <m:mcs>
                  <m:mc>
                    <m:mcPr>
                      <m:count m:val="2"/>
                      <m:mcJc m:val="center"/>
                    </m:mcPr>
                  </m:mc>
                </m:mcs>
                <m:plcHide m:val="1"/>
              </m:mPr>
              <m:mr>
                <m:e>
                  <m:r>
                    <m:rPr>
                      <m:sty m:val="p"/>
                    </m:rPr>
                    <m:t>cos</m:t>
                  </m:r>
                  <m:r>
                    <m:rPr/>
                    <m:t>θ</m:t>
                  </m:r>
                </m:e>
                <m:e>
                  <m:r>
                    <m:rPr>
                      <m:sty m:val="p"/>
                    </m:rPr>
                    <m:t>−sin</m:t>
                  </m:r>
                  <m:r>
                    <m:rPr/>
                    <m:t>θ</m:t>
                  </m:r>
                </m:e>
              </m:mr>
              <m:mr>
                <m:e>
                  <m:r>
                    <m:rPr>
                      <m:sty m:val="p"/>
                    </m:rPr>
                    <m:t>sin</m:t>
                  </m:r>
                  <m:r>
                    <m:rPr/>
                    <m:t>θ</m:t>
                  </m:r>
                </m:e>
                <m:e>
                  <m:r>
                    <m:rPr>
                      <m:sty m:val="p"/>
                    </m:rPr>
                    <m:t>cos</m:t>
                  </m:r>
                  <m:r>
                    <m:rPr/>
                    <m:t>θ</m:t>
                  </m:r>
                </m:e>
              </m:mr>
            </m:m>
          </m:e>
        </m:d>
      </m:oMath>
      <w:r>
        <w:rPr>
          <w:rFonts w:ascii="Times New Roman" w:hAnsi="Times New Roman" w:eastAsia="Times New Roman"/>
        </w:rPr>
        <w:tab/>
      </w:r>
      <w:r>
        <w:rPr>
          <w:rFonts w:ascii="Times New Roman" w:hAnsi="Times New Roman" w:eastAsia="Times New Roman"/>
        </w:rPr>
        <w:t>(2)</w:t>
      </w:r>
    </w:p>
    <w:p w14:paraId="5DB6AE5C">
      <w:pPr>
        <w:pStyle w:val="23"/>
      </w:pPr>
      <w:r>
        <w:t>式(1)(2)不含任何与机器人数量相关的量。多机器人部署时，每个智能体独立求解各自的</w:t>
      </w:r>
      <m:oMath>
        <m:r>
          <m:rPr/>
          <m:t>θ</m:t>
        </m:r>
      </m:oMath>
      <w:r>
        <w:t>。</w:t>
      </w:r>
    </w:p>
    <w:bookmarkEnd w:id="5"/>
    <w:p w14:paraId="16B7FC01">
      <w:pPr>
        <w:pStyle w:val="5"/>
      </w:pPr>
      <w:bookmarkStart w:id="6" w:name="最小二乘代价函数与闭式解"/>
      <w:r>
        <w:t>2.2 最小二乘代价函数与闭式解</w:t>
      </w:r>
    </w:p>
    <w:p w14:paraId="5A335BDA">
      <w:pPr>
        <w:pStyle w:val="23"/>
      </w:pPr>
      <w:r>
        <w:t>给定滑动窗口内</w:t>
      </w:r>
      <m:oMath>
        <m:r>
          <m:rPr/>
          <m:t>W</m:t>
        </m:r>
      </m:oMath>
      <w:r>
        <w:t>段观测</w:t>
      </w:r>
      <m:oMath>
        <m:r>
          <m:rPr>
            <m:sty m:val="p"/>
          </m:rPr>
          <m:t>{</m:t>
        </m:r>
        <m:d>
          <m:dPr>
            <m:sepChr m:val=""/>
          </m:dPr>
          <m:e>
            <m:sSub>
              <m:sSubPr/>
              <m:e>
                <m:r>
                  <m:rPr/>
                  <m:t>u</m:t>
                </m:r>
              </m:e>
              <m:sub>
                <m:r>
                  <m:rPr/>
                  <m:t>i</m:t>
                </m:r>
              </m:sub>
            </m:sSub>
            <m:r>
              <m:rPr>
                <m:sty m:val="p"/>
              </m:rPr>
              <m:t>,</m:t>
            </m:r>
            <m:sSub>
              <m:sSubPr/>
              <m:e>
                <m:r>
                  <m:rPr/>
                  <m:t>v</m:t>
                </m:r>
              </m:e>
              <m:sub>
                <m:r>
                  <m:rPr/>
                  <m:t>i</m:t>
                </m:r>
              </m:sub>
            </m:sSub>
          </m:e>
        </m:d>
        <m:sSubSup>
          <m:sSubSupPr/>
          <m:e>
            <m:r>
              <m:rPr>
                <m:sty m:val="p"/>
              </m:rPr>
              <m:t>}</m:t>
            </m:r>
          </m:e>
          <m:sub>
            <m:r>
              <m:rPr/>
              <m:t>i</m:t>
            </m:r>
            <m:r>
              <m:rPr>
                <m:sty m:val="p"/>
              </m:rPr>
              <m:t>=</m:t>
            </m:r>
            <m:r>
              <m:rPr/>
              <m:t>1</m:t>
            </m:r>
          </m:sub>
          <m:sup>
            <m:r>
              <m:rPr/>
              <m:t>W</m:t>
            </m:r>
          </m:sup>
        </m:sSubSup>
      </m:oMath>
      <w:r>
        <w:t>，构造最小二乘代价函数：</w:t>
      </w:r>
    </w:p>
    <w:p w14:paraId="2AD05784">
      <w:pPr>
        <w:pStyle w:val="3"/>
        <w:tabs>
          <w:tab w:val="center" w:pos="4150"/>
          <w:tab w:val="right" w:pos="8300"/>
        </w:tabs>
        <w:jc w:val="left"/>
      </w:pPr>
      <w:r>
        <w:tab/>
      </w:r>
      <m:oMath>
        <m:r>
          <m:rPr/>
          <m:t>J</m:t>
        </m:r>
        <m:d>
          <m:dPr>
            <m:sepChr m:val=""/>
          </m:dPr>
          <m:e>
            <m:r>
              <m:rPr/>
              <m:t>θ</m:t>
            </m:r>
          </m:e>
        </m:d>
        <m:r>
          <m:rPr>
            <m:sty m:val="p"/>
          </m:rPr>
          <m:t>=</m:t>
        </m:r>
        <m:nary>
          <m:naryPr>
            <m:chr m:val="∑"/>
            <m:limLoc m:val="undOvr"/>
          </m:naryPr>
          <m:sub>
            <m:r>
              <m:rPr/>
              <m:t>i</m:t>
            </m:r>
            <m:r>
              <m:rPr>
                <m:sty m:val="p"/>
              </m:rPr>
              <m:t>=</m:t>
            </m:r>
            <m:r>
              <m:rPr/>
              <m:t>1</m:t>
            </m:r>
          </m:sub>
          <m:sup>
            <m:r>
              <m:rPr/>
              <m:t>W</m:t>
            </m:r>
          </m:sup>
          <m:e>
            <m:sSup>
              <m:sSupPr/>
              <m:e>
                <m:d>
                  <m:dPr>
                    <m:begChr m:val="∥"/>
                    <m:sepChr m:val=""/>
                    <m:endChr m:val="∥"/>
                  </m:dPr>
                  <m:e>
                    <m:sSub>
                      <m:sSubPr/>
                      <m:e>
                        <m:r>
                          <m:rPr/>
                          <m:t>v</m:t>
                        </m:r>
                      </m:e>
                      <m:sub>
                        <m:r>
                          <m:rPr/>
                          <m:t>i</m:t>
                        </m:r>
                      </m:sub>
                    </m:sSub>
                    <m:r>
                      <m:rPr>
                        <m:sty m:val="p"/>
                      </m:rPr>
                      <m:t>−</m:t>
                    </m:r>
                    <m:r>
                      <m:rPr/>
                      <m:t>R</m:t>
                    </m:r>
                    <m:d>
                      <m:dPr>
                        <m:sepChr m:val=""/>
                      </m:dPr>
                      <m:e>
                        <m:r>
                          <m:rPr/>
                          <m:t>θ</m:t>
                        </m:r>
                      </m:e>
                    </m:d>
                    <m:sSub>
                      <m:sSubPr/>
                      <m:e>
                        <m:r>
                          <m:rPr/>
                          <m:t>u</m:t>
                        </m:r>
                      </m:e>
                      <m:sub>
                        <m:r>
                          <m:rPr/>
                          <m:t>i</m:t>
                        </m:r>
                      </m:sub>
                    </m:sSub>
                  </m:e>
                </m:d>
              </m:e>
              <m:sup>
                <m:r>
                  <m:rPr/>
                  <m:t>2</m:t>
                </m:r>
              </m:sup>
            </m:sSup>
          </m:e>
        </m:nary>
      </m:oMath>
      <w:r>
        <w:rPr>
          <w:rFonts w:ascii="Times New Roman" w:hAnsi="Times New Roman" w:eastAsia="Times New Roman"/>
        </w:rPr>
        <w:tab/>
      </w:r>
      <w:r>
        <w:rPr>
          <w:rFonts w:ascii="Times New Roman" w:hAnsi="Times New Roman" w:eastAsia="Times New Roman"/>
        </w:rPr>
        <w:t>(3)</w:t>
      </w:r>
    </w:p>
    <w:p w14:paraId="70C87BBC">
      <w:pPr>
        <w:pStyle w:val="23"/>
      </w:pPr>
      <w:r>
        <w:t>展开后为：</w:t>
      </w:r>
    </w:p>
    <w:p w14:paraId="1519EEEC">
      <w:pPr>
        <w:pStyle w:val="3"/>
        <w:tabs>
          <w:tab w:val="center" w:pos="4150"/>
          <w:tab w:val="right" w:pos="8300"/>
        </w:tabs>
        <w:jc w:val="left"/>
      </w:pPr>
      <w:r>
        <w:tab/>
      </w:r>
      <m:oMath>
        <m:r>
          <m:rPr/>
          <m:t>J</m:t>
        </m:r>
        <m:d>
          <m:dPr>
            <m:sepChr m:val=""/>
          </m:dPr>
          <m:e>
            <m:r>
              <m:rPr/>
              <m:t>θ</m:t>
            </m:r>
          </m:e>
        </m:d>
        <m:r>
          <m:rPr>
            <m:sty m:val="p"/>
          </m:rPr>
          <m:t>=</m:t>
        </m:r>
        <m:nary>
          <m:naryPr>
            <m:chr m:val="∑"/>
            <m:limLoc m:val="undOvr"/>
            <m:supHide m:val="1"/>
          </m:naryPr>
          <m:sub>
            <m:r>
              <m:rPr/>
              <m:t>i</m:t>
            </m:r>
          </m:sub>
          <m:sup>
            <m:r>
              <m:rPr/>
              <m:t>​</m:t>
            </m:r>
          </m:sup>
          <m:e>
            <m:d>
              <m:dPr>
                <m:begChr m:val="["/>
                <m:sepChr m:val=""/>
                <m:endChr m:val="]"/>
              </m:dPr>
              <m:e>
                <m:sSup>
                  <m:sSupPr/>
                  <m:e>
                    <m:d>
                      <m:dPr>
                        <m:sepChr m:val=""/>
                      </m:dPr>
                      <m:e>
                        <m:sSub>
                          <m:sSubPr/>
                          <m:e>
                            <m:r>
                              <m:rPr/>
                              <m:t>v</m:t>
                            </m:r>
                          </m:e>
                          <m:sub>
                            <m:r>
                              <m:rPr/>
                              <m:t>ix</m:t>
                            </m:r>
                          </m:sub>
                        </m:sSub>
                        <m:r>
                          <m:rPr>
                            <m:sty m:val="p"/>
                          </m:rPr>
                          <m:t>−</m:t>
                        </m:r>
                        <m:sSub>
                          <m:sSubPr/>
                          <m:e>
                            <m:r>
                              <m:rPr/>
                              <m:t>u</m:t>
                            </m:r>
                          </m:e>
                          <m:sub>
                            <m:r>
                              <m:rPr/>
                              <m:t>ix</m:t>
                            </m:r>
                          </m:sub>
                        </m:sSub>
                        <m:r>
                          <m:rPr>
                            <m:sty m:val="p"/>
                          </m:rPr>
                          <m:t>cos</m:t>
                        </m:r>
                        <m:r>
                          <m:rPr/>
                          <m:t>θ</m:t>
                        </m:r>
                        <m:r>
                          <m:rPr>
                            <m:sty m:val="p"/>
                          </m:rPr>
                          <m:t>+</m:t>
                        </m:r>
                        <m:sSub>
                          <m:sSubPr/>
                          <m:e>
                            <m:r>
                              <m:rPr/>
                              <m:t>u</m:t>
                            </m:r>
                          </m:e>
                          <m:sub>
                            <m:r>
                              <m:rPr/>
                              <m:t>iy</m:t>
                            </m:r>
                          </m:sub>
                        </m:sSub>
                        <m:r>
                          <m:rPr>
                            <m:sty m:val="p"/>
                          </m:rPr>
                          <m:t>sin</m:t>
                        </m:r>
                        <m:r>
                          <m:rPr/>
                          <m:t>θ</m:t>
                        </m:r>
                      </m:e>
                    </m:d>
                  </m:e>
                  <m:sup>
                    <m:r>
                      <m:rPr/>
                      <m:t>2</m:t>
                    </m:r>
                  </m:sup>
                </m:sSup>
                <m:r>
                  <m:rPr>
                    <m:sty m:val="p"/>
                  </m:rPr>
                  <m:t>+</m:t>
                </m:r>
                <m:sSup>
                  <m:sSupPr/>
                  <m:e>
                    <m:d>
                      <m:dPr>
                        <m:sepChr m:val=""/>
                      </m:dPr>
                      <m:e>
                        <m:sSub>
                          <m:sSubPr/>
                          <m:e>
                            <m:r>
                              <m:rPr/>
                              <m:t>v</m:t>
                            </m:r>
                          </m:e>
                          <m:sub>
                            <m:r>
                              <m:rPr/>
                              <m:t>iy</m:t>
                            </m:r>
                          </m:sub>
                        </m:sSub>
                        <m:r>
                          <m:rPr>
                            <m:sty m:val="p"/>
                          </m:rPr>
                          <m:t>−</m:t>
                        </m:r>
                        <m:sSub>
                          <m:sSubPr/>
                          <m:e>
                            <m:r>
                              <m:rPr/>
                              <m:t>u</m:t>
                            </m:r>
                          </m:e>
                          <m:sub>
                            <m:r>
                              <m:rPr/>
                              <m:t>ix</m:t>
                            </m:r>
                          </m:sub>
                        </m:sSub>
                        <m:r>
                          <m:rPr>
                            <m:sty m:val="p"/>
                          </m:rPr>
                          <m:t>sin</m:t>
                        </m:r>
                        <m:r>
                          <m:rPr/>
                          <m:t>θ</m:t>
                        </m:r>
                        <m:r>
                          <m:rPr>
                            <m:sty m:val="p"/>
                          </m:rPr>
                          <m:t>−</m:t>
                        </m:r>
                        <m:sSub>
                          <m:sSubPr/>
                          <m:e>
                            <m:r>
                              <m:rPr/>
                              <m:t>u</m:t>
                            </m:r>
                          </m:e>
                          <m:sub>
                            <m:r>
                              <m:rPr/>
                              <m:t>iy</m:t>
                            </m:r>
                          </m:sub>
                        </m:sSub>
                        <m:r>
                          <m:rPr>
                            <m:sty m:val="p"/>
                          </m:rPr>
                          <m:t>cos</m:t>
                        </m:r>
                        <m:r>
                          <m:rPr/>
                          <m:t>θ</m:t>
                        </m:r>
                      </m:e>
                    </m:d>
                  </m:e>
                  <m:sup>
                    <m:r>
                      <m:rPr/>
                      <m:t>2</m:t>
                    </m:r>
                  </m:sup>
                </m:sSup>
              </m:e>
            </m:d>
          </m:e>
        </m:nary>
      </m:oMath>
      <w:r>
        <w:rPr>
          <w:rFonts w:ascii="Times New Roman" w:hAnsi="Times New Roman" w:eastAsia="Times New Roman"/>
        </w:rPr>
        <w:tab/>
      </w:r>
      <w:r>
        <w:rPr>
          <w:rFonts w:ascii="Times New Roman" w:hAnsi="Times New Roman" w:eastAsia="Times New Roman"/>
        </w:rPr>
        <w:t>(4)</w:t>
      </w:r>
    </w:p>
    <w:p w14:paraId="1ED77376">
      <w:pPr>
        <w:pStyle w:val="23"/>
      </w:pPr>
      <w:r>
        <w:t>对</w:t>
      </w:r>
      <m:oMath>
        <m:r>
          <m:rPr/>
          <m:t>θ</m:t>
        </m:r>
      </m:oMath>
      <w:r>
        <w:t>求导并令其为零，二次项相互抵消，得：</w:t>
      </w:r>
    </w:p>
    <w:p w14:paraId="6170E538">
      <w:pPr>
        <w:pStyle w:val="3"/>
        <w:tabs>
          <w:tab w:val="center" w:pos="4150"/>
          <w:tab w:val="right" w:pos="8300"/>
        </w:tabs>
        <w:jc w:val="left"/>
      </w:pPr>
      <w:r>
        <w:tab/>
      </w:r>
      <m:oMath>
        <m:r>
          <m:rPr>
            <m:sty m:val="p"/>
          </m:rPr>
          <m:t>sin</m:t>
        </m:r>
        <m:r>
          <m:rPr/>
          <m:t>θ</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ix</m:t>
                    </m:r>
                  </m:sub>
                </m:sSub>
                <m:r>
                  <m:rPr>
                    <m:sty m:val="p"/>
                  </m:rPr>
                  <m:t>+</m:t>
                </m:r>
                <m:sSub>
                  <m:sSubPr/>
                  <m:e>
                    <m:r>
                      <m:rPr/>
                      <m:t>u</m:t>
                    </m:r>
                  </m:e>
                  <m:sub>
                    <m:r>
                      <m:rPr/>
                      <m:t>iy</m:t>
                    </m:r>
                  </m:sub>
                </m:sSub>
                <m:sSub>
                  <m:sSubPr/>
                  <m:e>
                    <m:r>
                      <m:rPr/>
                      <m:t>v</m:t>
                    </m:r>
                  </m:e>
                  <m:sub>
                    <m:r>
                      <m:rPr/>
                      <m:t>iy</m:t>
                    </m:r>
                  </m:sub>
                </m:sSub>
              </m:e>
            </m:d>
          </m:e>
        </m:nary>
        <m:r>
          <m:rPr>
            <m:sty m:val="p"/>
          </m:rPr>
          <m:t>=cos</m:t>
        </m:r>
        <m:r>
          <m:rPr/>
          <m:t>θ</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iy</m:t>
                    </m:r>
                  </m:sub>
                </m:sSub>
                <m:r>
                  <m:rPr>
                    <m:sty m:val="p"/>
                  </m:rPr>
                  <m:t>−</m:t>
                </m:r>
                <m:sSub>
                  <m:sSubPr/>
                  <m:e>
                    <m:r>
                      <m:rPr/>
                      <m:t>u</m:t>
                    </m:r>
                  </m:e>
                  <m:sub>
                    <m:r>
                      <m:rPr/>
                      <m:t>iy</m:t>
                    </m:r>
                  </m:sub>
                </m:sSub>
                <m:sSub>
                  <m:sSubPr/>
                  <m:e>
                    <m:r>
                      <m:rPr/>
                      <m:t>v</m:t>
                    </m:r>
                  </m:e>
                  <m:sub>
                    <m:r>
                      <m:rPr/>
                      <m:t>ix</m:t>
                    </m:r>
                  </m:sub>
                </m:sSub>
              </m:e>
            </m:d>
          </m:e>
        </m:nary>
      </m:oMath>
      <w:r>
        <w:rPr>
          <w:rFonts w:ascii="Times New Roman" w:hAnsi="Times New Roman" w:eastAsia="Times New Roman"/>
        </w:rPr>
        <w:tab/>
      </w:r>
      <w:r>
        <w:rPr>
          <w:rFonts w:ascii="Times New Roman" w:hAnsi="Times New Roman" w:eastAsia="Times New Roman"/>
        </w:rPr>
        <w:t>(5)</w:t>
      </w:r>
    </w:p>
    <w:p w14:paraId="3B9FED60">
      <w:pPr>
        <w:pStyle w:val="23"/>
      </w:pPr>
      <w:r>
        <w:t>记：</w:t>
      </w:r>
    </w:p>
    <w:p w14:paraId="783EB22B">
      <w:pPr>
        <w:pStyle w:val="3"/>
        <w:tabs>
          <w:tab w:val="center" w:pos="4150"/>
          <w:tab w:val="right" w:pos="8300"/>
        </w:tabs>
        <w:jc w:val="left"/>
      </w:pPr>
      <w:r>
        <w:tab/>
      </w:r>
      <m:oMath>
        <m:r>
          <m:rPr/>
          <m:t>C</m:t>
        </m:r>
        <m:r>
          <m:rPr>
            <m:sty m:val="p"/>
          </m:rPr>
          <m:t>≜</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ix</m:t>
                    </m:r>
                  </m:sub>
                </m:sSub>
                <m:r>
                  <m:rPr>
                    <m:sty m:val="p"/>
                  </m:rPr>
                  <m:t>+</m:t>
                </m:r>
                <m:sSub>
                  <m:sSubPr/>
                  <m:e>
                    <m:r>
                      <m:rPr/>
                      <m:t>u</m:t>
                    </m:r>
                  </m:e>
                  <m:sub>
                    <m:r>
                      <m:rPr/>
                      <m:t>iy</m:t>
                    </m:r>
                  </m:sub>
                </m:sSub>
                <m:sSub>
                  <m:sSubPr/>
                  <m:e>
                    <m:r>
                      <m:rPr/>
                      <m:t>v</m:t>
                    </m:r>
                  </m:e>
                  <m:sub>
                    <m:r>
                      <m:rPr/>
                      <m:t>iy</m:t>
                    </m:r>
                  </m:sub>
                </m:sSub>
              </m:e>
            </m:d>
          </m:e>
        </m:nary>
        <m:r>
          <m:rPr>
            <m:sty m:val="p"/>
          </m:rPr>
          <m:t>,</m:t>
        </m:r>
        <m:r>
          <m:rPr/>
          <m:t>  S</m:t>
        </m:r>
        <m:r>
          <m:rPr>
            <m:sty m:val="p"/>
          </m:rPr>
          <m:t>≜</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iy</m:t>
                    </m:r>
                  </m:sub>
                </m:sSub>
                <m:r>
                  <m:rPr>
                    <m:sty m:val="p"/>
                  </m:rPr>
                  <m:t>−</m:t>
                </m:r>
                <m:sSub>
                  <m:sSubPr/>
                  <m:e>
                    <m:r>
                      <m:rPr/>
                      <m:t>u</m:t>
                    </m:r>
                  </m:e>
                  <m:sub>
                    <m:r>
                      <m:rPr/>
                      <m:t>iy</m:t>
                    </m:r>
                  </m:sub>
                </m:sSub>
                <m:sSub>
                  <m:sSubPr/>
                  <m:e>
                    <m:r>
                      <m:rPr/>
                      <m:t>v</m:t>
                    </m:r>
                  </m:e>
                  <m:sub>
                    <m:r>
                      <m:rPr/>
                      <m:t>ix</m:t>
                    </m:r>
                  </m:sub>
                </m:sSub>
              </m:e>
            </m:d>
          </m:e>
        </m:nary>
      </m:oMath>
      <w:r>
        <w:rPr>
          <w:rFonts w:ascii="Times New Roman" w:hAnsi="Times New Roman" w:eastAsia="Times New Roman"/>
        </w:rPr>
        <w:tab/>
      </w:r>
      <w:r>
        <w:rPr>
          <w:rFonts w:ascii="Times New Roman" w:hAnsi="Times New Roman" w:eastAsia="Times New Roman"/>
        </w:rPr>
        <w:t>(6)</w:t>
      </w:r>
    </w:p>
    <w:p w14:paraId="652B0660">
      <w:pPr>
        <w:pStyle w:val="23"/>
      </w:pPr>
      <m:oMath>
        <m:r>
          <m:rPr/>
          <m:t>C</m:t>
        </m:r>
      </m:oMath>
      <w:r>
        <w:t>为各段位移的点积和，</w:t>
      </w:r>
      <m:oMath>
        <m:r>
          <m:rPr/>
          <m:t>S</m:t>
        </m:r>
      </m:oMath>
      <w:r>
        <w:t>为叉积和，由式(5)(6)得闭式解：</w:t>
      </w:r>
    </w:p>
    <w:p w14:paraId="1C8106D6">
      <w:pPr>
        <w:pStyle w:val="3"/>
        <w:tabs>
          <w:tab w:val="center" w:pos="4150"/>
          <w:tab w:val="right" w:pos="8300"/>
        </w:tabs>
        <w:jc w:val="left"/>
      </w:pPr>
      <w:r>
        <w:tab/>
      </w:r>
      <m:oMath>
        <m:sSup>
          <m:sSupPr/>
          <m:e>
            <m:r>
              <m:rPr/>
              <m:t>θ</m:t>
            </m:r>
          </m:e>
          <m:sup>
            <m:r>
              <m:rPr>
                <m:sty m:val="p"/>
              </m:rPr>
              <m:t>∗</m:t>
            </m:r>
          </m:sup>
        </m:sSup>
        <m:r>
          <m:rPr>
            <m:sty m:val="p"/>
          </m:rPr>
          <m:t>=atan2</m:t>
        </m:r>
        <m:d>
          <m:dPr>
            <m:sepChr m:val=""/>
          </m:dPr>
          <m:e>
            <m:r>
              <m:rPr/>
              <m:t>S</m:t>
            </m:r>
            <m:r>
              <m:rPr>
                <m:sty m:val="p"/>
              </m:rPr>
              <m:t>,</m:t>
            </m:r>
            <m:r>
              <m:rPr/>
              <m:t> C</m:t>
            </m:r>
          </m:e>
        </m:d>
      </m:oMath>
      <w:r>
        <w:rPr>
          <w:rFonts w:ascii="Times New Roman" w:hAnsi="Times New Roman" w:eastAsia="Times New Roman"/>
        </w:rPr>
        <w:tab/>
      </w:r>
      <w:r>
        <w:rPr>
          <w:rFonts w:ascii="Times New Roman" w:hAnsi="Times New Roman" w:eastAsia="Times New Roman"/>
        </w:rPr>
        <w:t>(7)</w:t>
      </w:r>
    </w:p>
    <w:p w14:paraId="7E5428FB">
      <w:pPr>
        <w:pStyle w:val="23"/>
      </w:pPr>
      <w:r>
        <w:t>每段位移的隐式权重正比于</w:t>
      </w:r>
      <m:oMath>
        <m:d>
          <m:dPr>
            <m:begChr m:val="|"/>
            <m:sepChr m:val=""/>
            <m:endChr m:val="|"/>
          </m:dPr>
          <m:e>
            <m:sSub>
              <m:sSubPr/>
              <m:e>
                <m:r>
                  <m:rPr/>
                  <m:t>u</m:t>
                </m:r>
              </m:e>
              <m:sub>
                <m:r>
                  <m:rPr/>
                  <m:t>i</m:t>
                </m:r>
              </m:sub>
            </m:sSub>
          </m:e>
        </m:d>
        <m:r>
          <m:rPr>
            <m:sty m:val="p"/>
          </m:rPr>
          <m:t>⋅</m:t>
        </m:r>
        <m:d>
          <m:dPr>
            <m:begChr m:val="|"/>
            <m:sepChr m:val=""/>
            <m:endChr m:val="|"/>
          </m:dPr>
          <m:e>
            <m:sSub>
              <m:sSubPr/>
              <m:e>
                <m:r>
                  <m:rPr/>
                  <m:t>v</m:t>
                </m:r>
              </m:e>
              <m:sub>
                <m:r>
                  <m:rPr/>
                  <m:t>i</m:t>
                </m:r>
              </m:sub>
            </m:sSub>
          </m:e>
        </m:d>
      </m:oMath>
      <w:r>
        <w:t>，长距离、信噪比好的位移段自动获得更大权重。该推导已用复数形式</w:t>
      </w:r>
      <m:oMath>
        <m:sSub>
          <m:sSubPr/>
          <m:e>
            <m:r>
              <m:rPr/>
              <m:t>v</m:t>
            </m:r>
          </m:e>
          <m:sub>
            <m:r>
              <m:rPr/>
              <m:t>i</m:t>
            </m:r>
          </m:sub>
        </m:sSub>
        <m:r>
          <m:rPr>
            <m:sty m:val="p"/>
          </m:rPr>
          <m:t>=</m:t>
        </m:r>
        <m:sSup>
          <m:sSupPr/>
          <m:e>
            <m:r>
              <m:rPr/>
              <m:t>e</m:t>
            </m:r>
          </m:e>
          <m:sup>
            <m:r>
              <m:rPr/>
              <m:t>jθ</m:t>
            </m:r>
          </m:sup>
        </m:sSup>
        <m:sSub>
          <m:sSubPr/>
          <m:e>
            <m:r>
              <m:rPr/>
              <m:t>u</m:t>
            </m:r>
          </m:e>
          <m:sub>
            <m:r>
              <m:rPr/>
              <m:t>i</m:t>
            </m:r>
          </m:sub>
        </m:sSub>
      </m:oMath>
      <w:r>
        <w:t>代入标准Wahba问题闭式解交叉验证。</w:t>
      </w:r>
    </w:p>
    <w:bookmarkEnd w:id="6"/>
    <w:p w14:paraId="1E4036F0">
      <w:pPr>
        <w:pStyle w:val="5"/>
      </w:pPr>
      <w:bookmarkStart w:id="7" w:name="平移锚点与se2整体重构"/>
      <w:r>
        <w:t>2.3 平移锚点与SE(2)整体重构</w:t>
      </w:r>
    </w:p>
    <w:p w14:paraId="182AE9B5">
      <w:pPr>
        <w:pStyle w:val="23"/>
      </w:pPr>
      <w:r>
        <w:t>静止条件下可获得局部里程计位置与绝对观测位置的一组样本均值，记为平移锚点</w:t>
      </w:r>
      <m:oMath>
        <m:d>
          <m:dPr>
            <m:sepChr m:val=""/>
          </m:dPr>
          <m:e>
            <m:r>
              <m:rPr/>
              <m:t>local</m:t>
            </m:r>
            <m:r>
              <m:rPr>
                <m:sty m:val="p"/>
              </m:rPr>
              <m:t>_</m:t>
            </m:r>
            <m:r>
              <m:rPr/>
              <m:t>lock</m:t>
            </m:r>
            <m:r>
              <m:rPr>
                <m:sty m:val="p"/>
              </m:rPr>
              <m:t>,</m:t>
            </m:r>
            <m:r>
              <m:rPr/>
              <m:t> uwb</m:t>
            </m:r>
            <m:r>
              <m:rPr>
                <m:sty m:val="p"/>
              </m:rPr>
              <m:t>_</m:t>
            </m:r>
            <m:r>
              <m:rPr/>
              <m:t>lock</m:t>
            </m:r>
          </m:e>
        </m:d>
      </m:oMath>
      <w:r>
        <w:t>。每次</w:t>
      </w:r>
      <m:oMath>
        <m:sSup>
          <m:sSupPr/>
          <m:e>
            <m:r>
              <m:rPr/>
              <m:t>θ</m:t>
            </m:r>
          </m:e>
          <m:sup>
            <m:r>
              <m:rPr>
                <m:sty m:val="p"/>
              </m:rPr>
              <m:t>∗</m:t>
            </m:r>
          </m:sup>
        </m:sSup>
      </m:oMath>
      <w:r>
        <w:t>更新后，复用同一对锚点重新计算平移：</w:t>
      </w:r>
    </w:p>
    <w:p w14:paraId="406DEEC5">
      <w:pPr>
        <w:pStyle w:val="3"/>
        <w:tabs>
          <w:tab w:val="center" w:pos="4150"/>
          <w:tab w:val="right" w:pos="8300"/>
        </w:tabs>
        <w:jc w:val="left"/>
      </w:pPr>
      <w:r>
        <w:tab/>
      </w:r>
      <m:oMath>
        <m:r>
          <m:rPr/>
          <m:t>t</m:t>
        </m:r>
        <m:r>
          <m:rPr>
            <m:sty m:val="p"/>
          </m:rPr>
          <m:t>=</m:t>
        </m:r>
        <m:r>
          <m:rPr/>
          <m:t>uwb</m:t>
        </m:r>
        <m:r>
          <m:rPr>
            <m:sty m:val="p"/>
          </m:rPr>
          <m:t>_</m:t>
        </m:r>
        <m:r>
          <m:rPr/>
          <m:t>lock</m:t>
        </m:r>
        <m:r>
          <m:rPr>
            <m:sty m:val="p"/>
          </m:rPr>
          <m:t>−</m:t>
        </m:r>
        <m:r>
          <m:rPr/>
          <m:t>R</m:t>
        </m:r>
        <m:d>
          <m:dPr>
            <m:sepChr m:val=""/>
          </m:dPr>
          <m:e>
            <m:sSup>
              <m:sSupPr/>
              <m:e>
                <m:r>
                  <m:rPr/>
                  <m:t>θ</m:t>
                </m:r>
              </m:e>
              <m:sup>
                <m:r>
                  <m:rPr>
                    <m:sty m:val="p"/>
                  </m:rPr>
                  <m:t>∗</m:t>
                </m:r>
              </m:sup>
            </m:sSup>
          </m:e>
        </m:d>
        <m:r>
          <m:rPr>
            <m:sty m:val="p"/>
          </m:rPr>
          <m:t>⋅</m:t>
        </m:r>
        <m:r>
          <m:rPr/>
          <m:t>local</m:t>
        </m:r>
        <m:r>
          <m:rPr>
            <m:sty m:val="p"/>
          </m:rPr>
          <m:t>_</m:t>
        </m:r>
        <m:r>
          <m:rPr/>
          <m:t>lock</m:t>
        </m:r>
      </m:oMath>
      <w:r>
        <w:rPr>
          <w:rFonts w:ascii="Times New Roman" w:hAnsi="Times New Roman" w:eastAsia="Times New Roman"/>
        </w:rPr>
        <w:tab/>
      </w:r>
      <w:r>
        <w:rPr>
          <w:rFonts w:ascii="Times New Roman" w:hAnsi="Times New Roman" w:eastAsia="Times New Roman"/>
        </w:rPr>
        <w:t>(8)</w:t>
      </w:r>
    </w:p>
    <w:p w14:paraId="6CE5E4E5">
      <w:pPr>
        <w:pStyle w:val="23"/>
      </w:pPr>
      <w:r>
        <w:t>得到自洽的SE(2)变换</w:t>
      </w:r>
      <m:oMath>
        <m:d>
          <m:dPr>
            <m:sepChr m:val=""/>
          </m:dPr>
          <m:e>
            <m:r>
              <m:rPr/>
              <m:t>R</m:t>
            </m:r>
            <m:d>
              <m:dPr>
                <m:sepChr m:val=""/>
              </m:dPr>
              <m:e>
                <m:sSup>
                  <m:sSupPr/>
                  <m:e>
                    <m:r>
                      <m:rPr/>
                      <m:t>θ</m:t>
                    </m:r>
                  </m:e>
                  <m:sup>
                    <m:r>
                      <m:rPr>
                        <m:sty m:val="p"/>
                      </m:rPr>
                      <m:t>∗</m:t>
                    </m:r>
                  </m:sup>
                </m:sSup>
              </m:e>
            </m:d>
            <m:r>
              <m:rPr>
                <m:sty m:val="p"/>
              </m:rPr>
              <m:t>,</m:t>
            </m:r>
            <m:r>
              <m:rPr/>
              <m:t>t</m:t>
            </m:r>
          </m:e>
        </m:d>
      </m:oMath>
      <w:r>
        <w:t>。下游任意局部坐标点</w:t>
      </w:r>
      <m:oMath>
        <m:d>
          <m:dPr>
            <m:sepChr m:val=""/>
          </m:dPr>
          <m:e>
            <m:sSub>
              <m:sSubPr/>
              <m:e>
                <m:r>
                  <m:rPr/>
                  <m:t>l</m:t>
                </m:r>
              </m:e>
              <m:sub>
                <m:r>
                  <m:rPr/>
                  <m:t>x</m:t>
                </m:r>
              </m:sub>
            </m:sSub>
            <m:r>
              <m:rPr>
                <m:sty m:val="p"/>
              </m:rPr>
              <m:t>,</m:t>
            </m:r>
            <m:sSub>
              <m:sSubPr/>
              <m:e>
                <m:r>
                  <m:rPr/>
                  <m:t>l</m:t>
                </m:r>
              </m:e>
              <m:sub>
                <m:r>
                  <m:rPr/>
                  <m:t>y</m:t>
                </m:r>
              </m:sub>
            </m:sSub>
          </m:e>
        </m:d>
      </m:oMath>
      <w:r>
        <w:t>到全局坐标</w:t>
      </w:r>
      <m:oMath>
        <m:d>
          <m:dPr>
            <m:sepChr m:val=""/>
          </m:dPr>
          <m:e>
            <m:sSub>
              <m:sSubPr/>
              <m:e>
                <m:r>
                  <m:rPr/>
                  <m:t>w</m:t>
                </m:r>
              </m:e>
              <m:sub>
                <m:r>
                  <m:rPr/>
                  <m:t>x</m:t>
                </m:r>
              </m:sub>
            </m:sSub>
            <m:r>
              <m:rPr>
                <m:sty m:val="p"/>
              </m:rPr>
              <m:t>,</m:t>
            </m:r>
            <m:sSub>
              <m:sSubPr/>
              <m:e>
                <m:r>
                  <m:rPr/>
                  <m:t>w</m:t>
                </m:r>
              </m:e>
              <m:sub>
                <m:r>
                  <m:rPr/>
                  <m:t>y</m:t>
                </m:r>
              </m:sub>
            </m:sSub>
          </m:e>
        </m:d>
      </m:oMath>
      <w:r>
        <w:t>的正向变换为：</w:t>
      </w:r>
    </w:p>
    <w:p w14:paraId="436FE65A">
      <w:pPr>
        <w:pStyle w:val="3"/>
        <w:tabs>
          <w:tab w:val="center" w:pos="4150"/>
          <w:tab w:val="right" w:pos="8300"/>
        </w:tabs>
        <w:jc w:val="left"/>
      </w:pPr>
      <w:r>
        <w:tab/>
      </w:r>
      <m:oMath>
        <m:sSub>
          <m:sSubPr/>
          <m:e>
            <m:r>
              <m:rPr/>
              <m:t>w</m:t>
            </m:r>
          </m:e>
          <m:sub>
            <m:r>
              <m:rPr/>
              <m:t>x</m:t>
            </m:r>
          </m:sub>
        </m:sSub>
        <m:r>
          <m:rPr>
            <m:sty m:val="p"/>
          </m:rPr>
          <m:t>=</m:t>
        </m:r>
        <m:sSub>
          <m:sSubPr/>
          <m:e>
            <m:r>
              <m:rPr/>
              <m:t>t</m:t>
            </m:r>
          </m:e>
          <m:sub>
            <m:r>
              <m:rPr/>
              <m:t>x</m:t>
            </m:r>
          </m:sub>
        </m:sSub>
        <m:r>
          <m:rPr>
            <m:sty m:val="p"/>
          </m:rPr>
          <m:t>+</m:t>
        </m:r>
        <m:sSub>
          <m:sSubPr/>
          <m:e>
            <m:r>
              <m:rPr/>
              <m:t>l</m:t>
            </m:r>
          </m:e>
          <m:sub>
            <m:r>
              <m:rPr/>
              <m:t>x</m:t>
            </m:r>
          </m:sub>
        </m:sSub>
        <m:r>
          <m:rPr>
            <m:sty m:val="p"/>
          </m:rPr>
          <m:t>cos</m:t>
        </m:r>
        <m:sSup>
          <m:sSupPr/>
          <m:e>
            <m:r>
              <m:rPr/>
              <m:t>θ</m:t>
            </m:r>
          </m:e>
          <m:sup>
            <m:r>
              <m:rPr>
                <m:sty m:val="p"/>
              </m:rPr>
              <m:t>∗</m:t>
            </m:r>
          </m:sup>
        </m:sSup>
        <m:r>
          <m:rPr>
            <m:sty m:val="p"/>
          </m:rPr>
          <m:t>−</m:t>
        </m:r>
        <m:sSub>
          <m:sSubPr/>
          <m:e>
            <m:r>
              <m:rPr/>
              <m:t>l</m:t>
            </m:r>
          </m:e>
          <m:sub>
            <m:r>
              <m:rPr/>
              <m:t>y</m:t>
            </m:r>
          </m:sub>
        </m:sSub>
        <m:r>
          <m:rPr>
            <m:sty m:val="p"/>
          </m:rPr>
          <m:t>sin</m:t>
        </m:r>
        <m:sSup>
          <m:sSupPr/>
          <m:e>
            <m:r>
              <m:rPr/>
              <m:t>θ</m:t>
            </m:r>
          </m:e>
          <m:sup>
            <m:r>
              <m:rPr>
                <m:sty m:val="p"/>
              </m:rPr>
              <m:t>∗</m:t>
            </m:r>
          </m:sup>
        </m:sSup>
        <m:r>
          <m:rPr>
            <m:sty m:val="p"/>
          </m:rPr>
          <m:t>,</m:t>
        </m:r>
        <m:r>
          <m:rPr/>
          <m:t>  </m:t>
        </m:r>
        <m:sSub>
          <m:sSubPr/>
          <m:e>
            <m:r>
              <m:rPr/>
              <m:t>w</m:t>
            </m:r>
          </m:e>
          <m:sub>
            <m:r>
              <m:rPr/>
              <m:t>y</m:t>
            </m:r>
          </m:sub>
        </m:sSub>
        <m:r>
          <m:rPr>
            <m:sty m:val="p"/>
          </m:rPr>
          <m:t>=</m:t>
        </m:r>
        <m:sSub>
          <m:sSubPr/>
          <m:e>
            <m:r>
              <m:rPr/>
              <m:t>t</m:t>
            </m:r>
          </m:e>
          <m:sub>
            <m:r>
              <m:rPr/>
              <m:t>y</m:t>
            </m:r>
          </m:sub>
        </m:sSub>
        <m:r>
          <m:rPr>
            <m:sty m:val="p"/>
          </m:rPr>
          <m:t>+</m:t>
        </m:r>
        <m:sSub>
          <m:sSubPr/>
          <m:e>
            <m:r>
              <m:rPr/>
              <m:t>l</m:t>
            </m:r>
          </m:e>
          <m:sub>
            <m:r>
              <m:rPr/>
              <m:t>x</m:t>
            </m:r>
          </m:sub>
        </m:sSub>
        <m:r>
          <m:rPr>
            <m:sty m:val="p"/>
          </m:rPr>
          <m:t>sin</m:t>
        </m:r>
        <m:sSup>
          <m:sSupPr/>
          <m:e>
            <m:r>
              <m:rPr/>
              <m:t>θ</m:t>
            </m:r>
          </m:e>
          <m:sup>
            <m:r>
              <m:rPr>
                <m:sty m:val="p"/>
              </m:rPr>
              <m:t>∗</m:t>
            </m:r>
          </m:sup>
        </m:sSup>
        <m:r>
          <m:rPr>
            <m:sty m:val="p"/>
          </m:rPr>
          <m:t>+</m:t>
        </m:r>
        <m:sSub>
          <m:sSubPr/>
          <m:e>
            <m:r>
              <m:rPr/>
              <m:t>l</m:t>
            </m:r>
          </m:e>
          <m:sub>
            <m:r>
              <m:rPr/>
              <m:t>y</m:t>
            </m:r>
          </m:sub>
        </m:sSub>
        <m:r>
          <m:rPr>
            <m:sty m:val="p"/>
          </m:rPr>
          <m:t>cos</m:t>
        </m:r>
        <m:sSup>
          <m:sSupPr/>
          <m:e>
            <m:r>
              <m:rPr/>
              <m:t>θ</m:t>
            </m:r>
          </m:e>
          <m:sup>
            <m:r>
              <m:rPr>
                <m:sty m:val="p"/>
              </m:rPr>
              <m:t>∗</m:t>
            </m:r>
          </m:sup>
        </m:sSup>
      </m:oMath>
      <w:r>
        <w:rPr>
          <w:rFonts w:ascii="Times New Roman" w:hAnsi="Times New Roman" w:eastAsia="Times New Roman"/>
        </w:rPr>
        <w:tab/>
      </w:r>
      <w:r>
        <w:rPr>
          <w:rFonts w:ascii="Times New Roman" w:hAnsi="Times New Roman" w:eastAsia="Times New Roman"/>
        </w:rPr>
        <w:t>(9)</w:t>
      </w:r>
    </w:p>
    <w:p w14:paraId="209BAA22">
      <w:pPr>
        <w:pStyle w:val="23"/>
      </w:pPr>
      <w:r>
        <w:t>问题场景与</w:t>
      </w:r>
      <m:oMath>
        <m:sSub>
          <m:sSubPr/>
          <m:e>
            <m:r>
              <m:rPr/>
              <m:t>u</m:t>
            </m:r>
          </m:e>
          <m:sub>
            <m:r>
              <m:rPr/>
              <m:t>i</m:t>
            </m:r>
          </m:sub>
        </m:sSub>
      </m:oMath>
      <w:r>
        <w:t>、</w:t>
      </w:r>
      <m:oMath>
        <m:sSub>
          <m:sSubPr/>
          <m:e>
            <m:r>
              <m:rPr/>
              <m:t>v</m:t>
            </m:r>
          </m:e>
          <m:sub>
            <m:r>
              <m:rPr/>
              <m:t>i</m:t>
            </m:r>
          </m:sub>
        </m:sSub>
      </m:oMath>
      <w:r>
        <w:t>的几何关系如图1所示。</w:t>
      </w:r>
    </w:p>
    <w:p w14:paraId="36295C18">
      <w:pPr>
        <w:pStyle w:val="35"/>
        <w:jc w:val="center"/>
      </w:pPr>
      <w:r>
        <w:drawing>
          <wp:inline distT="0" distB="0" distL="114300" distR="114300">
            <wp:extent cx="5334000" cy="3879215"/>
            <wp:effectExtent l="0" t="0" r="0" b="0"/>
            <wp:docPr id="27" name="Picture" descr="图1 局部相对运动与稀疏绝对观测的抽象问题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图1 局部相对运动与稀疏绝对观测的抽象问题结构"/>
                    <pic:cNvPicPr>
                      <a:picLocks noChangeAspect="1" noChangeArrowheads="1"/>
                    </pic:cNvPicPr>
                  </pic:nvPicPr>
                  <pic:blipFill>
                    <a:blip r:embed="rId5"/>
                    <a:stretch>
                      <a:fillRect/>
                    </a:stretch>
                  </pic:blipFill>
                  <pic:spPr>
                    <a:xfrm>
                      <a:off x="0" y="0"/>
                      <a:ext cx="5334000" cy="3879272"/>
                    </a:xfrm>
                    <a:prstGeom prst="rect">
                      <a:avLst/>
                    </a:prstGeom>
                    <a:noFill/>
                    <a:ln w="9525">
                      <a:noFill/>
                    </a:ln>
                  </pic:spPr>
                </pic:pic>
              </a:graphicData>
            </a:graphic>
          </wp:inline>
        </w:drawing>
      </w:r>
    </w:p>
    <w:p w14:paraId="6BA0128F">
      <w:pPr>
        <w:pStyle w:val="33"/>
        <w:jc w:val="center"/>
      </w:pPr>
      <w:r>
        <w:t>图1 局部相对运动与稀疏绝对观测的抽象问题结构</w:t>
      </w:r>
    </w:p>
    <w:bookmarkEnd w:id="7"/>
    <w:p w14:paraId="12DE0BE4">
      <w:pPr>
        <w:pStyle w:val="5"/>
      </w:pPr>
      <w:bookmarkStart w:id="8" w:name="对恒定全局偏置的鲁棒性"/>
      <w:r>
        <w:t>2.4 对恒定全局偏置的鲁棒性</w:t>
      </w:r>
    </w:p>
    <w:p w14:paraId="2B22BA09">
      <w:pPr>
        <w:pStyle w:val="23"/>
      </w:pPr>
      <w:r>
        <w:t>第2.2、2.3节的推导假设绝对观测只含零均值噪声，但实际部署中绝对定位技术可能引入一个持续存在的系统性偏置（如信号传播路径异常导致的固定偏移）。设某次绝对观测的原始读数为</w:t>
      </w:r>
      <m:oMath>
        <m:sSub>
          <m:sSubPr/>
          <m:e>
            <m:acc>
              <m:accPr>
                <m:chr m:val="̃"/>
              </m:accPr>
              <m:e>
                <m:r>
                  <m:rPr/>
                  <m:t>p</m:t>
                </m:r>
              </m:e>
            </m:acc>
          </m:e>
          <m:sub>
            <m:r>
              <m:rPr/>
              <m:t>k</m:t>
            </m:r>
          </m:sub>
        </m:sSub>
        <m:r>
          <m:rPr>
            <m:sty m:val="p"/>
          </m:rPr>
          <m:t>=</m:t>
        </m:r>
        <m:sSub>
          <m:sSubPr/>
          <m:e>
            <m:r>
              <m:rPr/>
              <m:t>p</m:t>
            </m:r>
          </m:e>
          <m:sub>
            <m:r>
              <m:rPr/>
              <m:t>k</m:t>
            </m:r>
          </m:sub>
        </m:sSub>
        <m:r>
          <m:rPr>
            <m:sty m:val="p"/>
          </m:rPr>
          <m:t>+</m:t>
        </m:r>
        <m:r>
          <m:rPr/>
          <m:t>b</m:t>
        </m:r>
      </m:oMath>
      <w:r>
        <w:t>，其中</w:t>
      </w:r>
      <m:oMath>
        <m:sSub>
          <m:sSubPr/>
          <m:e>
            <m:r>
              <m:rPr/>
              <m:t>p</m:t>
            </m:r>
          </m:e>
          <m:sub>
            <m:r>
              <m:rPr/>
              <m:t>k</m:t>
            </m:r>
          </m:sub>
        </m:sSub>
      </m:oMath>
      <w:r>
        <w:t>为真实全局位置，</w:t>
      </w:r>
      <m:oMath>
        <m:r>
          <m:rPr/>
          <m:t>b</m:t>
        </m:r>
      </m:oMath>
      <w:r>
        <w:t>为固定不变的偏置向量。由于本文方法仅使用相邻两次绝对观测之差构造</w:t>
      </w:r>
      <m:oMath>
        <m:sSub>
          <m:sSubPr/>
          <m:e>
            <m:r>
              <m:rPr/>
              <m:t>v</m:t>
            </m:r>
          </m:e>
          <m:sub>
            <m:r>
              <m:rPr/>
              <m:t>i</m:t>
            </m:r>
          </m:sub>
        </m:sSub>
      </m:oMath>
      <w:r>
        <w:t>，偏置在差分时精确抵消：</w:t>
      </w:r>
    </w:p>
    <w:p w14:paraId="76678139">
      <w:pPr>
        <w:pStyle w:val="3"/>
        <w:tabs>
          <w:tab w:val="center" w:pos="4150"/>
          <w:tab w:val="right" w:pos="8300"/>
        </w:tabs>
        <w:jc w:val="left"/>
      </w:pPr>
      <w:r>
        <w:tab/>
      </w:r>
      <m:oMath>
        <m:sSub>
          <m:sSubPr/>
          <m:e>
            <m:r>
              <m:rPr/>
              <m:t>v</m:t>
            </m:r>
          </m:e>
          <m:sub>
            <m:r>
              <m:rPr/>
              <m:t>i</m:t>
            </m:r>
          </m:sub>
        </m:sSub>
        <m:r>
          <m:rPr>
            <m:sty m:val="p"/>
          </m:rPr>
          <m:t>=</m:t>
        </m:r>
        <m:sSub>
          <m:sSubPr/>
          <m:e>
            <m:acc>
              <m:accPr>
                <m:chr m:val="̃"/>
              </m:accPr>
              <m:e>
                <m:r>
                  <m:rPr/>
                  <m:t>p</m:t>
                </m:r>
              </m:e>
            </m:acc>
          </m:e>
          <m:sub>
            <m:sSub>
              <m:sSubPr/>
              <m:e>
                <m:r>
                  <m:rPr/>
                  <m:t>k</m:t>
                </m:r>
              </m:e>
              <m:sub>
                <m:r>
                  <m:rPr/>
                  <m:t>i</m:t>
                </m:r>
              </m:sub>
            </m:sSub>
          </m:sub>
        </m:sSub>
        <m:r>
          <m:rPr>
            <m:sty m:val="p"/>
          </m:rPr>
          <m:t>−</m:t>
        </m:r>
        <m:sSub>
          <m:sSubPr/>
          <m:e>
            <m:acc>
              <m:accPr>
                <m:chr m:val="̃"/>
              </m:accPr>
              <m:e>
                <m:r>
                  <m:rPr/>
                  <m:t>p</m:t>
                </m:r>
              </m:e>
            </m:acc>
          </m:e>
          <m:sub>
            <m:sSub>
              <m:sSubPr/>
              <m:e>
                <m:r>
                  <m:rPr/>
                  <m:t>k</m:t>
                </m:r>
              </m:e>
              <m:sub>
                <m:r>
                  <m:rPr/>
                  <m:t>i</m:t>
                </m:r>
              </m:sub>
            </m:sSub>
            <m:r>
              <m:rPr>
                <m:sty m:val="p"/>
              </m:rPr>
              <m:t>−</m:t>
            </m:r>
            <m:r>
              <m:rPr/>
              <m:t>1</m:t>
            </m:r>
          </m:sub>
        </m:sSub>
        <m:r>
          <m:rPr>
            <m:sty m:val="p"/>
          </m:rPr>
          <m:t>=</m:t>
        </m:r>
        <m:d>
          <m:dPr>
            <m:sepChr m:val=""/>
          </m:dPr>
          <m:e>
            <m:sSub>
              <m:sSubPr/>
              <m:e>
                <m:r>
                  <m:rPr/>
                  <m:t>p</m:t>
                </m:r>
              </m:e>
              <m:sub>
                <m:sSub>
                  <m:sSubPr/>
                  <m:e>
                    <m:r>
                      <m:rPr/>
                      <m:t>k</m:t>
                    </m:r>
                  </m:e>
                  <m:sub>
                    <m:r>
                      <m:rPr/>
                      <m:t>i</m:t>
                    </m:r>
                  </m:sub>
                </m:sSub>
              </m:sub>
            </m:sSub>
            <m:r>
              <m:rPr>
                <m:sty m:val="p"/>
              </m:rPr>
              <m:t>+</m:t>
            </m:r>
            <m:r>
              <m:rPr/>
              <m:t>b</m:t>
            </m:r>
          </m:e>
        </m:d>
        <m:r>
          <m:rPr>
            <m:sty m:val="p"/>
          </m:rPr>
          <m:t>−</m:t>
        </m:r>
        <m:d>
          <m:dPr>
            <m:sepChr m:val=""/>
          </m:dPr>
          <m:e>
            <m:sSub>
              <m:sSubPr/>
              <m:e>
                <m:r>
                  <m:rPr/>
                  <m:t>p</m:t>
                </m:r>
              </m:e>
              <m:sub>
                <m:sSub>
                  <m:sSubPr/>
                  <m:e>
                    <m:r>
                      <m:rPr/>
                      <m:t>k</m:t>
                    </m:r>
                  </m:e>
                  <m:sub>
                    <m:r>
                      <m:rPr/>
                      <m:t>i</m:t>
                    </m:r>
                  </m:sub>
                </m:sSub>
                <m:r>
                  <m:rPr>
                    <m:sty m:val="p"/>
                  </m:rPr>
                  <m:t>−</m:t>
                </m:r>
                <m:r>
                  <m:rPr/>
                  <m:t>1</m:t>
                </m:r>
              </m:sub>
            </m:sSub>
            <m:r>
              <m:rPr>
                <m:sty m:val="p"/>
              </m:rPr>
              <m:t>+</m:t>
            </m:r>
            <m:r>
              <m:rPr/>
              <m:t>b</m:t>
            </m:r>
          </m:e>
        </m:d>
        <m:r>
          <m:rPr>
            <m:sty m:val="p"/>
          </m:rPr>
          <m:t>=</m:t>
        </m:r>
        <m:sSub>
          <m:sSubPr/>
          <m:e>
            <m:r>
              <m:rPr/>
              <m:t>p</m:t>
            </m:r>
          </m:e>
          <m:sub>
            <m:sSub>
              <m:sSubPr/>
              <m:e>
                <m:r>
                  <m:rPr/>
                  <m:t>k</m:t>
                </m:r>
              </m:e>
              <m:sub>
                <m:r>
                  <m:rPr/>
                  <m:t>i</m:t>
                </m:r>
              </m:sub>
            </m:sSub>
          </m:sub>
        </m:sSub>
        <m:r>
          <m:rPr>
            <m:sty m:val="p"/>
          </m:rPr>
          <m:t>−</m:t>
        </m:r>
        <m:sSub>
          <m:sSubPr/>
          <m:e>
            <m:r>
              <m:rPr/>
              <m:t>p</m:t>
            </m:r>
          </m:e>
          <m:sub>
            <m:sSub>
              <m:sSubPr/>
              <m:e>
                <m:r>
                  <m:rPr/>
                  <m:t>k</m:t>
                </m:r>
              </m:e>
              <m:sub>
                <m:r>
                  <m:rPr/>
                  <m:t>i</m:t>
                </m:r>
              </m:sub>
            </m:sSub>
            <m:r>
              <m:rPr>
                <m:sty m:val="p"/>
              </m:rPr>
              <m:t>−</m:t>
            </m:r>
            <m:r>
              <m:rPr/>
              <m:t>1</m:t>
            </m:r>
          </m:sub>
        </m:sSub>
      </m:oMath>
      <w:r>
        <w:rPr>
          <w:rFonts w:ascii="Times New Roman" w:hAnsi="Times New Roman" w:eastAsia="Times New Roman"/>
        </w:rPr>
        <w:tab/>
      </w:r>
      <w:r>
        <w:rPr>
          <w:rFonts w:ascii="Times New Roman" w:hAnsi="Times New Roman" w:eastAsia="Times New Roman"/>
        </w:rPr>
        <w:t>(10)</w:t>
      </w:r>
    </w:p>
    <w:p w14:paraId="7DD76C17">
      <w:pPr>
        <w:pStyle w:val="23"/>
      </w:pPr>
      <w:r>
        <w:t>即</w:t>
      </w:r>
      <m:oMath>
        <m:sSub>
          <m:sSubPr/>
          <m:e>
            <m:r>
              <m:rPr/>
              <m:t>v</m:t>
            </m:r>
          </m:e>
          <m:sub>
            <m:r>
              <m:rPr/>
              <m:t>i</m:t>
            </m:r>
          </m:sub>
        </m:sSub>
      </m:oMath>
      <w:r>
        <w:t>与</w:t>
      </w:r>
      <m:oMath>
        <m:r>
          <m:rPr/>
          <m:t>b</m:t>
        </m:r>
      </m:oMath>
      <w:r>
        <w:t>无关。由式(6)(7)，旋转估计</w:t>
      </w:r>
      <m:oMath>
        <m:sSup>
          <m:sSupPr/>
          <m:e>
            <m:r>
              <m:rPr/>
              <m:t>θ</m:t>
            </m:r>
          </m:e>
          <m:sup>
            <m:r>
              <m:rPr>
                <m:sty m:val="p"/>
              </m:rPr>
              <m:t>∗</m:t>
            </m:r>
          </m:sup>
        </m:sSup>
      </m:oMath>
      <w:r>
        <w:t>对任意恒定偏置</w:t>
      </w:r>
      <m:oMath>
        <m:r>
          <m:rPr/>
          <m:t>b</m:t>
        </m:r>
      </m:oMath>
      <w:r>
        <w:t>精确无偏，这是差分式估计器结构本身决定的性质，不依赖</w:t>
      </w:r>
      <m:oMath>
        <m:r>
          <m:rPr/>
          <m:t>b</m:t>
        </m:r>
      </m:oMath>
      <w:r>
        <w:t>的大小或方向，不需要额外处理。</w:t>
      </w:r>
    </w:p>
    <w:p w14:paraId="5A76A178">
      <w:pPr>
        <w:pStyle w:val="3"/>
      </w:pPr>
      <w:r>
        <w:t>平移分量不具备同样的免疫性：静止标定阶段的平移锚点</w:t>
      </w:r>
      <m:oMath>
        <m:r>
          <m:rPr/>
          <m:t>uwb</m:t>
        </m:r>
        <m:r>
          <m:rPr>
            <m:sty m:val="p"/>
          </m:rPr>
          <m:t>_</m:t>
        </m:r>
        <m:r>
          <m:rPr/>
          <m:t>lock</m:t>
        </m:r>
      </m:oMath>
      <w:r>
        <w:t>直接取自绝对观测的样本均值，会原样继承偏置，代入式(8)得：</w:t>
      </w:r>
    </w:p>
    <w:p w14:paraId="67647FFB">
      <w:pPr>
        <w:pStyle w:val="3"/>
        <w:tabs>
          <w:tab w:val="center" w:pos="4150"/>
          <w:tab w:val="right" w:pos="8300"/>
        </w:tabs>
        <w:jc w:val="left"/>
      </w:pPr>
      <w:r>
        <w:tab/>
      </w:r>
      <m:oMath>
        <m:r>
          <m:rPr/>
          <m:t>t</m:t>
        </m:r>
        <m:r>
          <m:rPr>
            <m:sty m:val="p"/>
          </m:rPr>
          <m:t>=</m:t>
        </m:r>
        <m:sSub>
          <m:sSubPr/>
          <m:e>
            <m:r>
              <m:rPr/>
              <m:t>t</m:t>
            </m:r>
          </m:e>
          <m:sub>
            <m:r>
              <m:rPr/>
              <m:t>true</m:t>
            </m:r>
          </m:sub>
        </m:sSub>
        <m:r>
          <m:rPr>
            <m:sty m:val="p"/>
          </m:rPr>
          <m:t>+</m:t>
        </m:r>
        <m:r>
          <m:rPr/>
          <m:t>b</m:t>
        </m:r>
      </m:oMath>
      <w:r>
        <w:rPr>
          <w:rFonts w:ascii="Times New Roman" w:hAnsi="Times New Roman" w:eastAsia="Times New Roman"/>
        </w:rPr>
        <w:tab/>
      </w:r>
      <w:r>
        <w:rPr>
          <w:rFonts w:ascii="Times New Roman" w:hAnsi="Times New Roman" w:eastAsia="Times New Roman"/>
        </w:rPr>
        <w:t>(11)</w:t>
      </w:r>
    </w:p>
    <w:p w14:paraId="6A20857D">
      <w:pPr>
        <w:pStyle w:val="23"/>
      </w:pPr>
      <w:r>
        <w:t>即整个局部-全局映射在全局系下产生一个恒定的</w:t>
      </w:r>
      <m:oMath>
        <m:r>
          <m:rPr/>
          <m:t>b</m:t>
        </m:r>
      </m:oMath>
      <w:r>
        <w:t>方向平移，机器人自身局部系内部的一致性不受影响。若多台机器人共享同一个偏置来源，各机的平移误差相同，机间相对位姿不受影响，只有当需要匹配外部真值（如地图或第三方系统给出的绝对坐标）时，这一固定偏移才会造成实际误差。式(10)(11)成立的前提是偏置</w:t>
      </w:r>
      <m:oMath>
        <m:r>
          <m:rPr/>
          <m:t>b</m:t>
        </m:r>
      </m:oMath>
      <w:r>
        <w:t>在标定窗口内保持恒定；若偏置随时间或位置变化，上述免疫性不再成立，见第6.2节讨论。</w:t>
      </w:r>
    </w:p>
    <w:bookmarkEnd w:id="8"/>
    <w:p w14:paraId="545D7D9E">
      <w:pPr>
        <w:pStyle w:val="5"/>
      </w:pPr>
      <w:bookmarkStart w:id="9" w:name="分段策略与滑窗更新"/>
      <w:r>
        <w:t>2.5 分段策略与滑窗更新</w:t>
      </w:r>
    </w:p>
    <w:p w14:paraId="3B4F1D4F">
      <w:pPr>
        <w:pStyle w:val="23"/>
      </w:pPr>
      <w:r>
        <w:t>设最小位移阈值</w:t>
      </w:r>
      <m:oMath>
        <m:sSub>
          <m:sSubPr/>
          <m:e>
            <m:r>
              <m:rPr/>
              <m:t>d</m:t>
            </m:r>
          </m:e>
          <m:sub>
            <m:r>
              <m:rPr/>
              <m:t>min</m:t>
            </m:r>
          </m:sub>
        </m:sSub>
        <m:r>
          <m:rPr>
            <m:sty m:val="p"/>
          </m:rPr>
          <m:t>=</m:t>
        </m:r>
        <m:r>
          <m:rPr/>
          <m:t>0.5 </m:t>
        </m:r>
        <m:r>
          <m:rPr>
            <m:sty m:val="p"/>
          </m:rPr>
          <m:t>m</m:t>
        </m:r>
      </m:oMath>
      <w:r>
        <w:t>，智能体每移动超过该阈值才记录一个新的位移段，避免短距离段被噪声主导。滑动窗口维护最近</w:t>
      </w:r>
      <m:oMath>
        <m:r>
          <m:rPr/>
          <m:t>W</m:t>
        </m:r>
        <m:r>
          <m:rPr>
            <m:sty m:val="p"/>
          </m:rPr>
          <m:t>=</m:t>
        </m:r>
        <m:r>
          <m:rPr/>
          <m:t>50</m:t>
        </m:r>
      </m:oMath>
      <w:r>
        <w:t>段位移对，式(6)中</w:t>
      </w:r>
      <m:oMath>
        <m:r>
          <m:rPr/>
          <m:t>C</m:t>
        </m:r>
      </m:oMath>
      <w:r>
        <w:t>、</w:t>
      </w:r>
      <m:oMath>
        <m:r>
          <m:rPr/>
          <m:t>S</m:t>
        </m:r>
      </m:oMath>
      <w:r>
        <w:t>在滑窗内滚动求和，新段加入、最老段移出，使方法能够跟踪局部-全局映射关系的缓慢时变，区别于用全部历史数据一次性求解的批量方法（对比见第4.1节）。方法完整流程如图2所示。</w:t>
      </w:r>
    </w:p>
    <w:p w14:paraId="66F5423C">
      <w:pPr>
        <w:pStyle w:val="35"/>
        <w:jc w:val="center"/>
      </w:pPr>
      <w:r>
        <w:drawing>
          <wp:inline distT="0" distB="0" distL="114300" distR="114300">
            <wp:extent cx="5334000" cy="5818505"/>
            <wp:effectExtent l="0" t="0" r="0" b="0"/>
            <wp:docPr id="32" name="Picture" descr="图2 SE(2)在线标定方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2 SE(2)在线标定方法流程图"/>
                    <pic:cNvPicPr>
                      <a:picLocks noChangeAspect="1" noChangeArrowheads="1"/>
                    </pic:cNvPicPr>
                  </pic:nvPicPr>
                  <pic:blipFill>
                    <a:blip r:embed="rId6"/>
                    <a:stretch>
                      <a:fillRect/>
                    </a:stretch>
                  </pic:blipFill>
                  <pic:spPr>
                    <a:xfrm>
                      <a:off x="0" y="0"/>
                      <a:ext cx="5334000" cy="5818909"/>
                    </a:xfrm>
                    <a:prstGeom prst="rect">
                      <a:avLst/>
                    </a:prstGeom>
                    <a:noFill/>
                    <a:ln w="9525">
                      <a:noFill/>
                    </a:ln>
                  </pic:spPr>
                </pic:pic>
              </a:graphicData>
            </a:graphic>
          </wp:inline>
        </w:drawing>
      </w:r>
    </w:p>
    <w:p w14:paraId="21999D3A">
      <w:pPr>
        <w:pStyle w:val="33"/>
        <w:jc w:val="center"/>
      </w:pPr>
      <w:r>
        <w:t>图2 SE(2)在线标定方法流程图</w:t>
      </w:r>
    </w:p>
    <w:p w14:paraId="1BF66B25">
      <w:pPr>
        <w:pStyle w:val="3"/>
      </w:pPr>
      <w:r>
        <w:t>智能体通电静止后，主动触发一次静止条件标定：取最近2 s窗口内的绝对位置观测样本，数量不少于5个且标准差不超过0.15 m方认为可信，与局部里程计位置求均值差得到平移锚点，标定结果持久化，进程或容器重启后自动恢复。表1汇总本文方法涉及的符号与参数取值。</w:t>
      </w:r>
    </w:p>
    <w:p w14:paraId="02E7F6AA">
      <w:pPr>
        <w:pStyle w:val="3"/>
      </w:pPr>
      <w:r>
        <w:rPr>
          <w:b/>
          <w:bCs/>
        </w:rPr>
        <w:t>表1 符号说明与参数取值</w:t>
      </w:r>
    </w:p>
    <w:tbl>
      <w:tblPr>
        <w:tblStyle w:val="2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30"/>
        <w:gridCol w:w="2814"/>
        <w:gridCol w:w="1601"/>
        <w:gridCol w:w="2805"/>
      </w:tblGrid>
      <w:tr w14:paraId="27D7D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p w14:paraId="11BC4A96">
            <w:pPr>
              <w:pStyle w:val="24"/>
              <w:spacing w:after="40"/>
              <w:jc w:val="left"/>
            </w:pPr>
            <w:r>
              <w:rPr>
                <w:rFonts w:ascii="Times New Roman" w:hAnsi="Times New Roman" w:eastAsia="SimSun"/>
                <w:b/>
                <w:sz w:val="21"/>
              </w:rPr>
              <w:t>符号/参数</w:t>
            </w:r>
          </w:p>
        </w:tc>
        <w:tc>
          <w:p w14:paraId="3AA7A11A">
            <w:pPr>
              <w:pStyle w:val="24"/>
              <w:spacing w:after="40"/>
              <w:jc w:val="left"/>
            </w:pPr>
            <w:r>
              <w:rPr>
                <w:rFonts w:ascii="Times New Roman" w:hAnsi="Times New Roman" w:eastAsia="SimSun"/>
                <w:b/>
                <w:sz w:val="21"/>
              </w:rPr>
              <w:t>含义</w:t>
            </w:r>
          </w:p>
        </w:tc>
        <w:tc>
          <w:p w14:paraId="146D752D">
            <w:pPr>
              <w:pStyle w:val="24"/>
              <w:spacing w:after="40"/>
              <w:jc w:val="left"/>
            </w:pPr>
            <w:r>
              <w:rPr>
                <w:rFonts w:ascii="Times New Roman" w:hAnsi="Times New Roman" w:eastAsia="SimSun"/>
                <w:b/>
                <w:sz w:val="21"/>
              </w:rPr>
              <w:t>取值</w:t>
            </w:r>
          </w:p>
        </w:tc>
        <w:tc>
          <w:p w14:paraId="59664ADC">
            <w:pPr>
              <w:pStyle w:val="24"/>
              <w:spacing w:after="40"/>
              <w:jc w:val="left"/>
            </w:pPr>
            <w:r>
              <w:rPr>
                <w:rFonts w:ascii="Times New Roman" w:hAnsi="Times New Roman" w:eastAsia="SimSun"/>
                <w:b/>
                <w:sz w:val="21"/>
              </w:rPr>
              <w:t>依据</w:t>
            </w:r>
          </w:p>
        </w:tc>
      </w:tr>
      <w:tr w14:paraId="226A3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3CBD6493">
            <w:pPr>
              <w:pStyle w:val="24"/>
              <w:spacing w:after="40"/>
              <w:jc w:val="left"/>
            </w:pPr>
            <m:oMathPara>
              <m:oMath>
                <m:sSub>
                  <m:sSubPr/>
                  <m:e>
                    <m:r>
                      <m:rPr/>
                      <m:t>u</m:t>
                    </m:r>
                  </m:e>
                  <m:sub>
                    <m:r>
                      <m:rPr/>
                      <m:t>i</m:t>
                    </m:r>
                  </m:sub>
                </m:sSub>
                <m:r>
                  <m:rPr>
                    <m:sty m:val="p"/>
                  </m:rPr>
                  <m:t>,</m:t>
                </m:r>
                <m:r>
                  <m:rPr/>
                  <m:t> </m:t>
                </m:r>
                <m:sSub>
                  <m:sSubPr/>
                  <m:e>
                    <m:r>
                      <m:rPr/>
                      <m:t>v</m:t>
                    </m:r>
                  </m:e>
                  <m:sub>
                    <m:r>
                      <m:rPr/>
                      <m:t>i</m:t>
                    </m:r>
                  </m:sub>
                </m:sSub>
              </m:oMath>
            </m:oMathPara>
          </w:p>
        </w:tc>
        <w:tc>
          <w:p w14:paraId="53D4A25E">
            <w:pPr>
              <w:pStyle w:val="24"/>
              <w:spacing w:after="40"/>
              <w:jc w:val="left"/>
            </w:pPr>
            <w:r>
              <w:rPr>
                <w:rFonts w:ascii="Times New Roman" w:hAnsi="Times New Roman" w:eastAsia="SimSun"/>
                <w:sz w:val="21"/>
              </w:rPr>
              <w:t>第</w:t>
            </w:r>
            <m:oMath>
              <m:r>
                <m:rPr/>
                <m:t>i</m:t>
              </m:r>
            </m:oMath>
            <w:r>
              <w:rPr>
                <w:rFonts w:ascii="Times New Roman" w:hAnsi="Times New Roman" w:eastAsia="SimSun"/>
                <w:sz w:val="21"/>
              </w:rPr>
              <w:t>段局部/全局位移向量</w:t>
            </w:r>
          </w:p>
        </w:tc>
        <w:tc>
          <w:p w14:paraId="2C73EDBB">
            <w:pPr>
              <w:pStyle w:val="24"/>
              <w:spacing w:after="40"/>
              <w:jc w:val="left"/>
            </w:pPr>
            <w:r>
              <w:rPr>
                <w:rFonts w:ascii="Times New Roman" w:hAnsi="Times New Roman" w:eastAsia="SimSun"/>
                <w:sz w:val="21"/>
              </w:rPr>
              <w:t>—</w:t>
            </w:r>
          </w:p>
        </w:tc>
        <w:tc>
          <w:p w14:paraId="07E9449E">
            <w:pPr>
              <w:pStyle w:val="24"/>
              <w:spacing w:after="40"/>
              <w:jc w:val="left"/>
            </w:pPr>
            <w:r>
              <w:rPr>
                <w:rFonts w:ascii="Times New Roman" w:hAnsi="Times New Roman" w:eastAsia="SimSun"/>
                <w:sz w:val="21"/>
              </w:rPr>
              <w:t>式(1)</w:t>
            </w:r>
          </w:p>
        </w:tc>
      </w:tr>
      <w:tr w14:paraId="6A769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1D02186D">
            <w:pPr>
              <w:pStyle w:val="24"/>
              <w:spacing w:after="40"/>
              <w:jc w:val="left"/>
            </w:pPr>
            <m:oMathPara>
              <m:oMath>
                <m:sSup>
                  <m:sSupPr/>
                  <m:e>
                    <m:r>
                      <m:rPr/>
                      <m:t>θ</m:t>
                    </m:r>
                  </m:e>
                  <m:sup>
                    <m:r>
                      <m:rPr>
                        <m:sty m:val="p"/>
                      </m:rPr>
                      <m:t>∗</m:t>
                    </m:r>
                  </m:sup>
                </m:sSup>
              </m:oMath>
            </m:oMathPara>
          </w:p>
        </w:tc>
        <w:tc>
          <w:p w14:paraId="0F6F2B6A">
            <w:pPr>
              <w:pStyle w:val="24"/>
              <w:spacing w:after="40"/>
              <w:jc w:val="left"/>
            </w:pPr>
            <w:r>
              <w:rPr>
                <w:rFonts w:ascii="Times New Roman" w:hAnsi="Times New Roman" w:eastAsia="SimSun"/>
                <w:sz w:val="21"/>
              </w:rPr>
              <w:t>航向角偏差估计</w:t>
            </w:r>
          </w:p>
        </w:tc>
        <w:tc>
          <w:p w14:paraId="4501B30B">
            <w:pPr>
              <w:pStyle w:val="24"/>
              <w:spacing w:after="40"/>
              <w:jc w:val="left"/>
            </w:pPr>
            <w:r>
              <w:rPr>
                <w:rFonts w:ascii="Times New Roman" w:hAnsi="Times New Roman" w:eastAsia="SimSun"/>
                <w:sz w:val="21"/>
              </w:rPr>
              <w:t>在线更新</w:t>
            </w:r>
          </w:p>
        </w:tc>
        <w:tc>
          <w:p w14:paraId="6443A789">
            <w:pPr>
              <w:pStyle w:val="24"/>
              <w:spacing w:after="40"/>
              <w:jc w:val="left"/>
            </w:pPr>
            <w:r>
              <w:rPr>
                <w:rFonts w:ascii="Times New Roman" w:hAnsi="Times New Roman" w:eastAsia="SimSun"/>
                <w:sz w:val="21"/>
              </w:rPr>
              <w:t>式(7)</w:t>
            </w:r>
          </w:p>
        </w:tc>
      </w:tr>
      <w:tr w14:paraId="4C1AE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4A61BC87">
            <w:pPr>
              <w:pStyle w:val="24"/>
              <w:spacing w:after="40"/>
              <w:jc w:val="left"/>
            </w:pPr>
            <m:oMathPara>
              <m:oMath>
                <m:r>
                  <m:rPr/>
                  <m:t>C</m:t>
                </m:r>
                <m:r>
                  <m:rPr>
                    <m:sty m:val="p"/>
                  </m:rPr>
                  <m:t>,</m:t>
                </m:r>
                <m:r>
                  <m:rPr/>
                  <m:t> S</m:t>
                </m:r>
              </m:oMath>
            </m:oMathPara>
          </w:p>
        </w:tc>
        <w:tc>
          <w:p w14:paraId="424D8187">
            <w:pPr>
              <w:pStyle w:val="24"/>
              <w:spacing w:after="40"/>
              <w:jc w:val="left"/>
            </w:pPr>
            <w:r>
              <w:rPr>
                <w:rFonts w:ascii="Times New Roman" w:hAnsi="Times New Roman" w:eastAsia="SimSun"/>
                <w:sz w:val="21"/>
              </w:rPr>
              <w:t>滑窗累积点积和/叉积和</w:t>
            </w:r>
          </w:p>
        </w:tc>
        <w:tc>
          <w:p w14:paraId="1EDB30F5">
            <w:pPr>
              <w:pStyle w:val="24"/>
              <w:spacing w:after="40"/>
              <w:jc w:val="left"/>
            </w:pPr>
            <w:r>
              <w:rPr>
                <w:rFonts w:ascii="Times New Roman" w:hAnsi="Times New Roman" w:eastAsia="SimSun"/>
                <w:sz w:val="21"/>
              </w:rPr>
              <w:t>在线更新</w:t>
            </w:r>
          </w:p>
        </w:tc>
        <w:tc>
          <w:p w14:paraId="09ADCBD1">
            <w:pPr>
              <w:pStyle w:val="24"/>
              <w:spacing w:after="40"/>
              <w:jc w:val="left"/>
            </w:pPr>
            <w:r>
              <w:rPr>
                <w:rFonts w:ascii="Times New Roman" w:hAnsi="Times New Roman" w:eastAsia="SimSun"/>
                <w:sz w:val="21"/>
              </w:rPr>
              <w:t>式(6)</w:t>
            </w:r>
          </w:p>
        </w:tc>
      </w:tr>
      <w:tr w14:paraId="79BA6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71FDB2D0">
            <w:pPr>
              <w:pStyle w:val="24"/>
              <w:spacing w:after="40"/>
              <w:jc w:val="left"/>
            </w:pPr>
            <m:oMathPara>
              <m:oMath>
                <m:sSub>
                  <m:sSubPr/>
                  <m:e>
                    <m:r>
                      <m:rPr/>
                      <m:t>d</m:t>
                    </m:r>
                  </m:e>
                  <m:sub>
                    <m:r>
                      <m:rPr/>
                      <m:t>min</m:t>
                    </m:r>
                  </m:sub>
                </m:sSub>
              </m:oMath>
            </m:oMathPara>
          </w:p>
        </w:tc>
        <w:tc>
          <w:p w14:paraId="25C7E2B1">
            <w:pPr>
              <w:pStyle w:val="24"/>
              <w:spacing w:after="40"/>
              <w:jc w:val="left"/>
            </w:pPr>
            <w:r>
              <w:rPr>
                <w:rFonts w:ascii="Times New Roman" w:hAnsi="Times New Roman" w:eastAsia="SimSun"/>
                <w:sz w:val="21"/>
              </w:rPr>
              <w:t>最小分段位移阈值</w:t>
            </w:r>
          </w:p>
        </w:tc>
        <w:tc>
          <w:p w14:paraId="5A7D1795">
            <w:pPr>
              <w:pStyle w:val="24"/>
              <w:spacing w:after="40"/>
              <w:jc w:val="left"/>
            </w:pPr>
            <w:r>
              <w:rPr>
                <w:rFonts w:ascii="Times New Roman" w:hAnsi="Times New Roman" w:eastAsia="SimSun"/>
                <w:sz w:val="21"/>
              </w:rPr>
              <w:t>0.5 m</w:t>
            </w:r>
          </w:p>
        </w:tc>
        <w:tc>
          <w:p w14:paraId="0B26BC75">
            <w:pPr>
              <w:pStyle w:val="24"/>
              <w:spacing w:after="40"/>
              <w:jc w:val="left"/>
            </w:pPr>
            <w:r>
              <w:rPr>
                <w:rFonts w:ascii="Times New Roman" w:hAnsi="Times New Roman" w:eastAsia="SimSun"/>
                <w:sz w:val="21"/>
              </w:rPr>
              <w:t>—</w:t>
            </w:r>
          </w:p>
        </w:tc>
      </w:tr>
      <w:tr w14:paraId="6C8CD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38613F47">
            <w:pPr>
              <w:pStyle w:val="24"/>
              <w:spacing w:after="40"/>
              <w:jc w:val="left"/>
            </w:pPr>
            <m:oMathPara>
              <m:oMath>
                <m:r>
                  <m:rPr/>
                  <m:t>W</m:t>
                </m:r>
              </m:oMath>
            </m:oMathPara>
          </w:p>
        </w:tc>
        <w:tc>
          <w:p w14:paraId="6D7A6BD9">
            <w:pPr>
              <w:pStyle w:val="24"/>
              <w:spacing w:after="40"/>
              <w:jc w:val="left"/>
            </w:pPr>
            <w:r>
              <w:rPr>
                <w:rFonts w:ascii="Times New Roman" w:hAnsi="Times New Roman" w:eastAsia="SimSun"/>
                <w:sz w:val="21"/>
              </w:rPr>
              <w:t>滑动窗口大小</w:t>
            </w:r>
          </w:p>
        </w:tc>
        <w:tc>
          <w:p w14:paraId="280CA844">
            <w:pPr>
              <w:pStyle w:val="24"/>
              <w:spacing w:after="40"/>
              <w:jc w:val="left"/>
            </w:pPr>
            <w:r>
              <w:rPr>
                <w:rFonts w:ascii="Times New Roman" w:hAnsi="Times New Roman" w:eastAsia="SimSun"/>
                <w:sz w:val="21"/>
              </w:rPr>
              <w:t>50段</w:t>
            </w:r>
          </w:p>
        </w:tc>
        <w:tc>
          <w:p w14:paraId="0A1AE467">
            <w:pPr>
              <w:pStyle w:val="24"/>
              <w:spacing w:after="40"/>
              <w:jc w:val="left"/>
            </w:pPr>
            <w:r>
              <w:rPr>
                <w:rFonts w:ascii="Times New Roman" w:hAnsi="Times New Roman" w:eastAsia="SimSun"/>
                <w:sz w:val="21"/>
              </w:rPr>
              <w:t>—</w:t>
            </w:r>
          </w:p>
        </w:tc>
      </w:tr>
      <w:tr w14:paraId="1838B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7977FFB">
            <w:pPr>
              <w:pStyle w:val="24"/>
              <w:spacing w:after="40"/>
              <w:jc w:val="left"/>
            </w:pPr>
            <w:r>
              <w:rPr>
                <w:rFonts w:ascii="Times New Roman" w:hAnsi="Times New Roman" w:eastAsia="SimSun"/>
                <w:sz w:val="21"/>
              </w:rPr>
              <w:t>静止采样窗口</w:t>
            </w:r>
          </w:p>
        </w:tc>
        <w:tc>
          <w:p w14:paraId="2FF755C1">
            <w:pPr>
              <w:pStyle w:val="24"/>
              <w:spacing w:after="40"/>
              <w:jc w:val="left"/>
            </w:pPr>
            <w:r>
              <w:rPr>
                <w:rFonts w:ascii="Times New Roman" w:hAnsi="Times New Roman" w:eastAsia="SimSun"/>
                <w:sz w:val="21"/>
              </w:rPr>
              <w:t>平移锚点标定采样时长</w:t>
            </w:r>
          </w:p>
        </w:tc>
        <w:tc>
          <w:p w14:paraId="4C864AA9">
            <w:pPr>
              <w:pStyle w:val="24"/>
              <w:spacing w:after="40"/>
              <w:jc w:val="left"/>
            </w:pPr>
            <w:r>
              <w:rPr>
                <w:rFonts w:ascii="Times New Roman" w:hAnsi="Times New Roman" w:eastAsia="SimSun"/>
                <w:sz w:val="21"/>
              </w:rPr>
              <w:t>2 s</w:t>
            </w:r>
          </w:p>
        </w:tc>
        <w:tc>
          <w:p w14:paraId="6A3C7E74">
            <w:pPr>
              <w:pStyle w:val="24"/>
              <w:spacing w:after="40"/>
              <w:jc w:val="left"/>
            </w:pPr>
            <w:r>
              <w:rPr>
                <w:rFonts w:ascii="Times New Roman" w:hAnsi="Times New Roman" w:eastAsia="SimSun"/>
                <w:sz w:val="21"/>
              </w:rPr>
              <w:t>—</w:t>
            </w:r>
          </w:p>
        </w:tc>
      </w:tr>
      <w:tr w14:paraId="5B8D8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962B4EB">
            <w:pPr>
              <w:pStyle w:val="24"/>
              <w:spacing w:after="40"/>
              <w:jc w:val="left"/>
            </w:pPr>
            <w:r>
              <w:rPr>
                <w:rFonts w:ascii="Times New Roman" w:hAnsi="Times New Roman" w:eastAsia="SimSun"/>
                <w:sz w:val="21"/>
              </w:rPr>
              <w:t>可信样本数阈值</w:t>
            </w:r>
          </w:p>
        </w:tc>
        <w:tc>
          <w:p w14:paraId="11CFA263">
            <w:pPr>
              <w:pStyle w:val="24"/>
              <w:spacing w:after="40"/>
              <w:jc w:val="left"/>
            </w:pPr>
            <w:r>
              <w:rPr>
                <w:rFonts w:ascii="Times New Roman" w:hAnsi="Times New Roman" w:eastAsia="SimSun"/>
                <w:sz w:val="21"/>
              </w:rPr>
              <w:t>平移锚点标定最少样本数</w:t>
            </w:r>
          </w:p>
        </w:tc>
        <w:tc>
          <w:p w14:paraId="66100405">
            <w:pPr>
              <w:pStyle w:val="24"/>
              <w:spacing w:after="40"/>
              <w:jc w:val="left"/>
            </w:pPr>
            <w:r>
              <w:rPr>
                <w:rFonts w:ascii="Times New Roman" w:hAnsi="Times New Roman" w:eastAsia="SimSun"/>
                <w:sz w:val="21"/>
              </w:rPr>
              <w:t>5</w:t>
            </w:r>
          </w:p>
        </w:tc>
        <w:tc>
          <w:p w14:paraId="175591C3">
            <w:pPr>
              <w:pStyle w:val="24"/>
              <w:spacing w:after="40"/>
              <w:jc w:val="left"/>
            </w:pPr>
            <w:r>
              <w:rPr>
                <w:rFonts w:ascii="Times New Roman" w:hAnsi="Times New Roman" w:eastAsia="SimSun"/>
                <w:sz w:val="21"/>
              </w:rPr>
              <w:t>—</w:t>
            </w:r>
          </w:p>
        </w:tc>
      </w:tr>
      <w:tr w14:paraId="3A574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4D5D965">
            <w:pPr>
              <w:pStyle w:val="24"/>
              <w:spacing w:after="40"/>
              <w:jc w:val="left"/>
            </w:pPr>
            <w:r>
              <w:rPr>
                <w:rFonts w:ascii="Times New Roman" w:hAnsi="Times New Roman" w:eastAsia="SimSun"/>
                <w:sz w:val="21"/>
              </w:rPr>
              <w:t>可信标准差阈值</w:t>
            </w:r>
          </w:p>
        </w:tc>
        <w:tc>
          <w:p w14:paraId="7E0026F7">
            <w:pPr>
              <w:pStyle w:val="24"/>
              <w:spacing w:after="40"/>
              <w:jc w:val="left"/>
            </w:pPr>
            <w:r>
              <w:rPr>
                <w:rFonts w:ascii="Times New Roman" w:hAnsi="Times New Roman" w:eastAsia="SimSun"/>
                <w:sz w:val="21"/>
              </w:rPr>
              <w:t>平移锚点标定样本离散度上限</w:t>
            </w:r>
          </w:p>
        </w:tc>
        <w:tc>
          <w:p w14:paraId="651029A8">
            <w:pPr>
              <w:pStyle w:val="24"/>
              <w:spacing w:after="40"/>
              <w:jc w:val="left"/>
            </w:pPr>
            <w:r>
              <w:rPr>
                <w:rFonts w:ascii="Times New Roman" w:hAnsi="Times New Roman" w:eastAsia="SimSun"/>
                <w:sz w:val="21"/>
              </w:rPr>
              <w:t>0.15 m</w:t>
            </w:r>
          </w:p>
        </w:tc>
        <w:tc>
          <w:p w14:paraId="6161093C">
            <w:pPr>
              <w:pStyle w:val="24"/>
              <w:spacing w:after="40"/>
              <w:jc w:val="left"/>
            </w:pPr>
            <w:r>
              <w:rPr>
                <w:rFonts w:ascii="Times New Roman" w:hAnsi="Times New Roman" w:eastAsia="SimSun"/>
                <w:sz w:val="21"/>
              </w:rPr>
              <w:t>约3倍单次测距噪声标准差</w:t>
            </w:r>
          </w:p>
        </w:tc>
      </w:tr>
      <w:tr w14:paraId="1B674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BD07510">
            <w:pPr>
              <w:pStyle w:val="24"/>
              <w:spacing w:after="40"/>
              <w:jc w:val="left"/>
            </w:pPr>
            <m:oMathPara>
              <m:oMath>
                <m:r>
                  <m:rPr/>
                  <m:t>σ</m:t>
                </m:r>
              </m:oMath>
            </m:oMathPara>
          </w:p>
        </w:tc>
        <w:tc>
          <w:p w14:paraId="3E9B9F4D">
            <w:pPr>
              <w:pStyle w:val="24"/>
              <w:spacing w:after="40"/>
              <w:jc w:val="left"/>
            </w:pPr>
            <w:r>
              <w:rPr>
                <w:rFonts w:ascii="Times New Roman" w:hAnsi="Times New Roman" w:eastAsia="SimSun"/>
                <w:sz w:val="21"/>
              </w:rPr>
              <w:t>绝对位置观测噪声标准差</w:t>
            </w:r>
          </w:p>
        </w:tc>
        <w:tc>
          <w:p w14:paraId="02A5A5CD">
            <w:pPr>
              <w:pStyle w:val="24"/>
              <w:spacing w:after="40"/>
              <w:jc w:val="left"/>
            </w:pPr>
            <w:r>
              <w:rPr>
                <w:rFonts w:ascii="Times New Roman" w:hAnsi="Times New Roman" w:eastAsia="SimSun"/>
                <w:sz w:val="21"/>
              </w:rPr>
              <w:t>实测约0.05 m</w:t>
            </w:r>
          </w:p>
        </w:tc>
        <w:tc>
          <w:p w14:paraId="553AF99A">
            <w:pPr>
              <w:pStyle w:val="24"/>
              <w:spacing w:after="40"/>
              <w:jc w:val="left"/>
            </w:pPr>
            <w:r>
              <w:rPr>
                <w:rFonts w:ascii="Times New Roman" w:hAnsi="Times New Roman" w:eastAsia="SimSun"/>
                <w:sz w:val="21"/>
              </w:rPr>
              <w:t>第4.3节</w:t>
            </w:r>
          </w:p>
        </w:tc>
      </w:tr>
      <w:tr w14:paraId="14EDB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27C01A09">
            <w:pPr>
              <w:pStyle w:val="24"/>
              <w:spacing w:after="40"/>
              <w:jc w:val="left"/>
            </w:pPr>
            <w:r>
              <w:rPr>
                <w:rFonts w:ascii="Times New Roman" w:hAnsi="Times New Roman" w:eastAsia="SimSun"/>
                <w:sz w:val="21"/>
              </w:rPr>
              <w:t>双标签基线长度</w:t>
            </w:r>
          </w:p>
        </w:tc>
        <w:tc>
          <w:p w14:paraId="126192A3">
            <w:pPr>
              <w:pStyle w:val="24"/>
              <w:spacing w:after="40"/>
              <w:jc w:val="left"/>
            </w:pPr>
            <w:r>
              <w:rPr>
                <w:rFonts w:ascii="Times New Roman" w:hAnsi="Times New Roman" w:eastAsia="SimSun"/>
                <w:sz w:val="21"/>
              </w:rPr>
              <w:t>真机UWB双标签测向基线</w:t>
            </w:r>
          </w:p>
        </w:tc>
        <w:tc>
          <w:p w14:paraId="312AE3C4">
            <w:pPr>
              <w:pStyle w:val="24"/>
              <w:spacing w:after="40"/>
              <w:jc w:val="left"/>
            </w:pPr>
            <w:r>
              <w:rPr>
                <w:rFonts w:ascii="Times New Roman" w:hAnsi="Times New Roman" w:eastAsia="SimSun"/>
                <w:sz w:val="21"/>
              </w:rPr>
              <w:t>实测0.29 m</w:t>
            </w:r>
          </w:p>
        </w:tc>
        <w:tc>
          <w:p w14:paraId="1C65B9E1">
            <w:pPr>
              <w:pStyle w:val="24"/>
              <w:spacing w:after="40"/>
              <w:jc w:val="left"/>
            </w:pPr>
            <w:r>
              <w:rPr>
                <w:rFonts w:ascii="Times New Roman" w:hAnsi="Times New Roman" w:eastAsia="SimSun"/>
                <w:sz w:val="21"/>
              </w:rPr>
              <w:t>第4.3节</w:t>
            </w:r>
          </w:p>
        </w:tc>
      </w:tr>
      <w:tr w14:paraId="7087B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4B777C38">
            <w:pPr>
              <w:pStyle w:val="24"/>
              <w:spacing w:after="40"/>
              <w:jc w:val="left"/>
            </w:pPr>
            <w:r>
              <w:rPr>
                <w:rFonts w:ascii="Times New Roman" w:hAnsi="Times New Roman" w:eastAsia="SimSun"/>
                <w:sz w:val="21"/>
              </w:rPr>
              <w:t>双标签容差</w:t>
            </w:r>
          </w:p>
        </w:tc>
        <w:tc>
          <w:p w14:paraId="27D4E918">
            <w:pPr>
              <w:pStyle w:val="24"/>
              <w:spacing w:after="40"/>
              <w:jc w:val="left"/>
            </w:pPr>
            <w:r>
              <w:rPr>
                <w:rFonts w:ascii="Times New Roman" w:hAnsi="Times New Roman" w:eastAsia="SimSun"/>
                <w:sz w:val="21"/>
              </w:rPr>
              <w:t>基线长度校验容差</w:t>
            </w:r>
          </w:p>
        </w:tc>
        <w:tc>
          <w:p w14:paraId="473A16E7">
            <w:pPr>
              <w:pStyle w:val="24"/>
              <w:spacing w:after="40"/>
              <w:jc w:val="left"/>
            </w:pPr>
            <w:r>
              <w:rPr>
                <w:rFonts w:ascii="Times New Roman" w:hAnsi="Times New Roman" w:eastAsia="SimSun"/>
                <w:sz w:val="21"/>
              </w:rPr>
              <w:t>0.15 m</w:t>
            </w:r>
          </w:p>
        </w:tc>
        <w:tc>
          <w:p w14:paraId="17C91A92">
            <w:pPr>
              <w:pStyle w:val="24"/>
              <w:spacing w:after="40"/>
              <w:jc w:val="left"/>
            </w:pPr>
            <m:oMath>
              <m:rad>
                <m:radPr>
                  <m:degHide m:val="1"/>
                </m:radPr>
                <m:deg/>
                <m:e>
                  <m:r>
                    <m:rPr/>
                    <m:t>2</m:t>
                  </m:r>
                </m:e>
              </m:rad>
              <m:r>
                <m:rPr/>
                <m:t>σ</m:t>
              </m:r>
              <m:r>
                <m:rPr>
                  <m:sty m:val="p"/>
                </m:rPr>
                <m:t>≈</m:t>
              </m:r>
              <m:r>
                <m:rPr/>
                <m:t>0.07 </m:t>
              </m:r>
              <m:r>
                <m:rPr>
                  <m:sty m:val="p"/>
                </m:rPr>
                <m:t>m</m:t>
              </m:r>
            </m:oMath>
            <w:r>
              <w:rPr>
                <w:rFonts w:ascii="Times New Roman" w:hAnsi="Times New Roman" w:eastAsia="SimSun"/>
                <w:sz w:val="21"/>
              </w:rPr>
              <w:t>的一倍多裕量</w:t>
            </w:r>
          </w:p>
        </w:tc>
      </w:tr>
      <w:bookmarkEnd w:id="9"/>
    </w:tbl>
    <w:p w14:paraId="39C6D8F8">
      <w:pPr>
        <w:pStyle w:val="5"/>
      </w:pPr>
      <w:bookmarkStart w:id="10" w:name="噪声传播分析与统计效率"/>
      <w:r>
        <w:t>2.6 噪声传播分析与统计效率</w:t>
      </w:r>
    </w:p>
    <w:p w14:paraId="4A00CFDA">
      <w:pPr>
        <w:pStyle w:val="23"/>
      </w:pPr>
      <w:r>
        <w:t>设绝对观测噪声为各向同性高斯噪声，标准差</w:t>
      </w:r>
      <m:oMath>
        <m:r>
          <m:rPr/>
          <m:t>σ</m:t>
        </m:r>
      </m:oMath>
      <w:r>
        <w:t>。</w:t>
      </w:r>
      <m:oMath>
        <m:sSub>
          <m:sSubPr/>
          <m:e>
            <m:r>
              <m:rPr/>
              <m:t>v</m:t>
            </m:r>
          </m:e>
          <m:sub>
            <m:r>
              <m:rPr/>
              <m:t>i</m:t>
            </m:r>
          </m:sub>
        </m:sSub>
      </m:oMath>
      <w:r>
        <w:t>为相邻两次绝对观测之差，噪声方差为</w:t>
      </w:r>
      <m:oMath>
        <m:r>
          <m:rPr/>
          <m:t>2</m:t>
        </m:r>
        <m:sSup>
          <m:sSupPr/>
          <m:e>
            <m:r>
              <m:rPr/>
              <m:t>σ</m:t>
            </m:r>
          </m:e>
          <m:sup>
            <m:r>
              <m:rPr/>
              <m:t>2</m:t>
            </m:r>
          </m:sup>
        </m:sSup>
      </m:oMath>
      <w:r>
        <w:t>。设第</w:t>
      </w:r>
      <m:oMath>
        <m:r>
          <m:rPr/>
          <m:t>i</m:t>
        </m:r>
      </m:oMath>
      <w:r>
        <w:t>段真实位移长度</w:t>
      </w:r>
      <m:oMath>
        <m:sSub>
          <m:sSubPr/>
          <m:e>
            <m:r>
              <m:rPr/>
              <m:t>d</m:t>
            </m:r>
          </m:e>
          <m:sub>
            <m:r>
              <m:rPr/>
              <m:t>i</m:t>
            </m:r>
          </m:sub>
        </m:sSub>
        <m:r>
          <m:rPr>
            <m:sty m:val="p"/>
          </m:rPr>
          <m:t>=</m:t>
        </m:r>
        <m:d>
          <m:dPr>
            <m:begChr m:val="|"/>
            <m:sepChr m:val=""/>
            <m:endChr m:val="|"/>
          </m:dPr>
          <m:e>
            <m:sSub>
              <m:sSubPr/>
              <m:e>
                <m:r>
                  <m:rPr/>
                  <m:t>u</m:t>
                </m:r>
              </m:e>
              <m:sub>
                <m:r>
                  <m:rPr/>
                  <m:t>i</m:t>
                </m:r>
              </m:sub>
            </m:sSub>
          </m:e>
        </m:d>
      </m:oMath>
      <w:r>
        <w:t>，仅噪声的垂直分量在一阶近似下引起角度误差，该分量方差同样为</w:t>
      </w:r>
      <m:oMath>
        <m:r>
          <m:rPr/>
          <m:t>2</m:t>
        </m:r>
        <m:sSup>
          <m:sSupPr/>
          <m:e>
            <m:r>
              <m:rPr/>
              <m:t>σ</m:t>
            </m:r>
          </m:e>
          <m:sup>
            <m:r>
              <m:rPr/>
              <m:t>2</m:t>
            </m:r>
          </m:sup>
        </m:sSup>
      </m:oMath>
      <w:r>
        <w:t>，故第</w:t>
      </w:r>
      <m:oMath>
        <m:r>
          <m:rPr/>
          <m:t>i</m:t>
        </m:r>
      </m:oMath>
      <w:r>
        <w:t>段贡献的角度噪声方差为：</w:t>
      </w:r>
    </w:p>
    <w:p w14:paraId="6C0618DC">
      <w:pPr>
        <w:pStyle w:val="3"/>
        <w:tabs>
          <w:tab w:val="center" w:pos="4150"/>
          <w:tab w:val="right" w:pos="8300"/>
        </w:tabs>
        <w:jc w:val="left"/>
      </w:pPr>
      <w:r>
        <w:tab/>
      </w:r>
      <m:oMath>
        <m:r>
          <m:rPr>
            <m:sty m:val="p"/>
          </m:rPr>
          <m:t>Var</m:t>
        </m:r>
        <m:d>
          <m:dPr>
            <m:sepChr m:val=""/>
          </m:dPr>
          <m:e>
            <m:sSub>
              <m:sSubPr/>
              <m:e>
                <m:r>
                  <m:rPr/>
                  <m:t>φ</m:t>
                </m:r>
              </m:e>
              <m:sub>
                <m:r>
                  <m:rPr/>
                  <m:t>i</m:t>
                </m:r>
              </m:sub>
            </m:sSub>
          </m:e>
        </m:d>
        <m:r>
          <m:rPr>
            <m:sty m:val="p"/>
          </m:rPr>
          <m:t>≈</m:t>
        </m:r>
        <m:f>
          <m:fPr/>
          <m:num>
            <m:r>
              <m:rPr/>
              <m:t>2</m:t>
            </m:r>
            <m:sSup>
              <m:sSupPr/>
              <m:e>
                <m:r>
                  <m:rPr/>
                  <m:t>σ</m:t>
                </m:r>
              </m:e>
              <m:sup>
                <m:r>
                  <m:rPr/>
                  <m:t>2</m:t>
                </m:r>
              </m:sup>
            </m:sSup>
          </m:num>
          <m:den>
            <m:sSubSup>
              <m:sSubSupPr/>
              <m:e>
                <m:r>
                  <m:rPr/>
                  <m:t>d</m:t>
                </m:r>
              </m:e>
              <m:sub>
                <m:r>
                  <m:rPr/>
                  <m:t>i</m:t>
                </m:r>
              </m:sub>
              <m:sup>
                <m:r>
                  <m:rPr/>
                  <m:t>2</m:t>
                </m:r>
              </m:sup>
            </m:sSubSup>
          </m:den>
        </m:f>
      </m:oMath>
      <w:r>
        <w:rPr>
          <w:rFonts w:ascii="Times New Roman" w:hAnsi="Times New Roman" w:eastAsia="Times New Roman"/>
        </w:rPr>
        <w:tab/>
      </w:r>
      <w:r>
        <w:rPr>
          <w:rFonts w:ascii="Times New Roman" w:hAnsi="Times New Roman" w:eastAsia="Times New Roman"/>
        </w:rPr>
        <w:t>(12)</w:t>
      </w:r>
    </w:p>
    <w:p w14:paraId="5E4A0F3A">
      <w:pPr>
        <w:pStyle w:val="23"/>
      </w:pPr>
      <w:r>
        <w:t>以</w:t>
      </w:r>
      <m:oMath>
        <m:sSub>
          <m:sSubPr/>
          <m:e>
            <m:r>
              <m:rPr/>
              <m:t>d</m:t>
            </m:r>
          </m:e>
          <m:sub>
            <m:r>
              <m:rPr/>
              <m:t>min</m:t>
            </m:r>
          </m:sub>
        </m:sSub>
        <m:r>
          <m:rPr>
            <m:sty m:val="p"/>
          </m:rPr>
          <m:t>=</m:t>
        </m:r>
        <m:r>
          <m:rPr/>
          <m:t>0.5 </m:t>
        </m:r>
        <m:r>
          <m:rPr>
            <m:sty m:val="p"/>
          </m:rPr>
          <m:t>m</m:t>
        </m:r>
      </m:oMath>
      <w:r>
        <w:t>、</w:t>
      </w:r>
      <m:oMath>
        <m:r>
          <m:rPr/>
          <m:t>σ</m:t>
        </m:r>
        <m:r>
          <m:rPr>
            <m:sty m:val="p"/>
          </m:rPr>
          <m:t>=</m:t>
        </m:r>
        <m:r>
          <m:rPr/>
          <m:t>0.05 </m:t>
        </m:r>
        <m:r>
          <m:rPr>
            <m:sty m:val="p"/>
          </m:rPr>
          <m:t>m</m:t>
        </m:r>
      </m:oMath>
      <w:r>
        <w:t>代入，单段角度噪声标准差约为</w:t>
      </w:r>
      <m:oMath>
        <m:r>
          <m:rPr/>
          <m:t>8.1</m:t>
        </m:r>
        <m:r>
          <m:rPr>
            <m:sty m:val="p"/>
          </m:rPr>
          <m:t>°</m:t>
        </m:r>
      </m:oMath>
      <w:r>
        <w:t>，与实测量级一致。对滑窗内</w:t>
      </w:r>
      <m:oMath>
        <m:r>
          <m:rPr/>
          <m:t>W</m:t>
        </m:r>
      </m:oMath>
      <w:r>
        <w:t>段独立噪声做一阶传播，得估计量方差：</w:t>
      </w:r>
    </w:p>
    <w:p w14:paraId="084C8D6D">
      <w:pPr>
        <w:pStyle w:val="3"/>
        <w:tabs>
          <w:tab w:val="center" w:pos="4150"/>
          <w:tab w:val="right" w:pos="8300"/>
        </w:tabs>
        <w:jc w:val="left"/>
      </w:pPr>
      <w:r>
        <w:tab/>
      </w:r>
      <m:oMath>
        <m:r>
          <m:rPr>
            <m:sty m:val="p"/>
          </m:rPr>
          <m:t>Var</m:t>
        </m:r>
        <m:d>
          <m:dPr>
            <m:sepChr m:val=""/>
          </m:dPr>
          <m:e>
            <m:acc>
              <m:accPr/>
              <m:e>
                <m:r>
                  <m:rPr/>
                  <m:t>θ</m:t>
                </m:r>
              </m:e>
            </m:acc>
          </m:e>
        </m:d>
        <m:r>
          <m:rPr>
            <m:sty m:val="p"/>
          </m:rPr>
          <m:t>≈</m:t>
        </m:r>
        <m:f>
          <m:fPr/>
          <m:num>
            <m:r>
              <m:rPr/>
              <m:t>2</m:t>
            </m:r>
            <m:sSup>
              <m:sSupPr/>
              <m:e>
                <m:r>
                  <m:rPr/>
                  <m:t>σ</m:t>
                </m:r>
              </m:e>
              <m:sup>
                <m:r>
                  <m:rPr/>
                  <m:t>2</m:t>
                </m:r>
              </m:sup>
            </m:sSup>
          </m:num>
          <m:den>
            <m:nary>
              <m:naryPr>
                <m:chr m:val="∑"/>
                <m:limLoc m:val="undOvr"/>
                <m:supHide m:val="1"/>
              </m:naryPr>
              <m:sub>
                <m:r>
                  <m:rPr/>
                  <m:t>i</m:t>
                </m:r>
              </m:sub>
              <m:sup>
                <m:r>
                  <m:rPr/>
                  <m:t>​</m:t>
                </m:r>
              </m:sup>
              <m:e>
                <m:sSubSup>
                  <m:sSubSupPr/>
                  <m:e>
                    <m:r>
                      <m:rPr/>
                      <m:t>d</m:t>
                    </m:r>
                  </m:e>
                  <m:sub>
                    <m:r>
                      <m:rPr/>
                      <m:t>i</m:t>
                    </m:r>
                  </m:sub>
                  <m:sup>
                    <m:r>
                      <m:rPr/>
                      <m:t>2</m:t>
                    </m:r>
                  </m:sup>
                </m:sSubSup>
              </m:e>
            </m:nary>
          </m:den>
        </m:f>
      </m:oMath>
      <w:r>
        <w:rPr>
          <w:rFonts w:ascii="Times New Roman" w:hAnsi="Times New Roman" w:eastAsia="Times New Roman"/>
        </w:rPr>
        <w:tab/>
      </w:r>
      <w:r>
        <w:rPr>
          <w:rFonts w:ascii="Times New Roman" w:hAnsi="Times New Roman" w:eastAsia="Times New Roman"/>
        </w:rPr>
        <w:t>(13)</w:t>
      </w:r>
    </w:p>
    <w:p w14:paraId="1706252D">
      <w:pPr>
        <w:pStyle w:val="23"/>
      </w:pPr>
      <w:r>
        <w:t>以</w:t>
      </w:r>
      <m:oMath>
        <m:r>
          <m:rPr/>
          <m:t>W</m:t>
        </m:r>
        <m:r>
          <m:rPr>
            <m:sty m:val="p"/>
          </m:rPr>
          <m:t>=</m:t>
        </m:r>
        <m:r>
          <m:rPr/>
          <m:t>50</m:t>
        </m:r>
      </m:oMath>
      <w:r>
        <w:t>段、</w:t>
      </w:r>
      <m:oMath>
        <m:sSub>
          <m:sSubPr/>
          <m:e>
            <m:r>
              <m:rPr/>
              <m:t>d</m:t>
            </m:r>
          </m:e>
          <m:sub>
            <m:r>
              <m:rPr/>
              <m:t>i</m:t>
            </m:r>
          </m:sub>
        </m:sSub>
        <m:r>
          <m:rPr>
            <m:sty m:val="p"/>
          </m:rPr>
          <m:t>≈</m:t>
        </m:r>
        <m:r>
          <m:rPr/>
          <m:t>0.5 </m:t>
        </m:r>
        <m:r>
          <m:rPr>
            <m:sty m:val="p"/>
          </m:rPr>
          <m:t>m</m:t>
        </m:r>
      </m:oMath>
      <w:r>
        <w:t>代入，</w:t>
      </w:r>
      <m:oMath>
        <m:r>
          <m:rPr>
            <m:sty m:val="p"/>
          </m:rPr>
          <m:t>Var</m:t>
        </m:r>
        <m:d>
          <m:dPr>
            <m:sepChr m:val=""/>
          </m:dPr>
          <m:e>
            <m:acc>
              <m:accPr/>
              <m:e>
                <m:r>
                  <m:rPr/>
                  <m:t>θ</m:t>
                </m:r>
              </m:e>
            </m:acc>
          </m:e>
        </m:d>
        <m:r>
          <m:rPr>
            <m:sty m:val="p"/>
          </m:rPr>
          <m:t>≈</m:t>
        </m:r>
        <m:r>
          <m:rPr/>
          <m:t>4</m:t>
        </m:r>
        <m:r>
          <m:rPr>
            <m:sty m:val="p"/>
          </m:rPr>
          <m:t>×</m:t>
        </m:r>
        <m:sSup>
          <m:sSupPr/>
          <m:e>
            <m:r>
              <m:rPr/>
              <m:t>10</m:t>
            </m:r>
          </m:e>
          <m:sup>
            <m:r>
              <m:rPr>
                <m:sty m:val="p"/>
              </m:rPr>
              <m:t>−</m:t>
            </m:r>
            <m:r>
              <m:rPr/>
              <m:t>4</m:t>
            </m:r>
          </m:sup>
        </m:sSup>
        <m:r>
          <m:rPr/>
          <m:t> </m:t>
        </m:r>
        <m:sSup>
          <m:sSupPr/>
          <m:e>
            <m:r>
              <m:rPr>
                <m:sty m:val="p"/>
              </m:rPr>
              <m:t>rad</m:t>
            </m:r>
          </m:e>
          <m:sup>
            <m:r>
              <m:rPr/>
              <m:t>2</m:t>
            </m:r>
          </m:sup>
        </m:sSup>
      </m:oMath>
      <w:r>
        <w:t>，标准差约</w:t>
      </w:r>
      <m:oMath>
        <m:r>
          <m:rPr/>
          <m:t>1.15</m:t>
        </m:r>
        <m:r>
          <m:rPr>
            <m:sty m:val="p"/>
          </m:rPr>
          <m:t>°</m:t>
        </m:r>
      </m:oMath>
      <w:r>
        <w:t>，与实测滑窗收敛后1°–2°量级吻合。</w:t>
      </w:r>
    </w:p>
    <w:p w14:paraId="53B71145">
      <w:pPr>
        <w:pStyle w:val="3"/>
      </w:pPr>
      <w:r>
        <w:t>将式(3)解释为高斯噪声下的极大似然估计，可求得关于</w:t>
      </w:r>
      <m:oMath>
        <m:r>
          <m:rPr/>
          <m:t>θ</m:t>
        </m:r>
      </m:oMath>
      <w:r>
        <w:t>的Fisher信息。旋转矩阵对</w:t>
      </w:r>
      <m:oMath>
        <m:r>
          <m:rPr/>
          <m:t>θ</m:t>
        </m:r>
      </m:oMath>
      <w:r>
        <w:t>的导数是保范数变换，故：</w:t>
      </w:r>
    </w:p>
    <w:p w14:paraId="7A1E7222">
      <w:pPr>
        <w:pStyle w:val="3"/>
        <w:tabs>
          <w:tab w:val="center" w:pos="4150"/>
          <w:tab w:val="right" w:pos="8300"/>
        </w:tabs>
        <w:jc w:val="left"/>
      </w:pPr>
      <w:r>
        <w:tab/>
      </w:r>
      <m:oMath>
        <m:r>
          <m:rPr/>
          <m:t>I</m:t>
        </m:r>
        <m:d>
          <m:dPr>
            <m:sepChr m:val=""/>
          </m:dPr>
          <m:e>
            <m:r>
              <m:rPr/>
              <m:t>θ</m:t>
            </m:r>
          </m:e>
        </m:d>
        <m:r>
          <m:rPr>
            <m:sty m:val="p"/>
          </m:rPr>
          <m:t>=</m:t>
        </m:r>
        <m:f>
          <m:fPr/>
          <m:num>
            <m:r>
              <m:rPr/>
              <m:t>1</m:t>
            </m:r>
          </m:num>
          <m:den>
            <m:r>
              <m:rPr/>
              <m:t>2</m:t>
            </m:r>
            <m:sSup>
              <m:sSupPr/>
              <m:e>
                <m:r>
                  <m:rPr/>
                  <m:t>σ</m:t>
                </m:r>
              </m:e>
              <m:sup>
                <m:r>
                  <m:rPr/>
                  <m:t>2</m:t>
                </m:r>
              </m:sup>
            </m:sSup>
          </m:den>
        </m:f>
        <m:nary>
          <m:naryPr>
            <m:chr m:val="∑"/>
            <m:limLoc m:val="undOvr"/>
            <m:supHide m:val="1"/>
          </m:naryPr>
          <m:sub>
            <m:r>
              <m:rPr/>
              <m:t>i</m:t>
            </m:r>
          </m:sub>
          <m:sup>
            <m:r>
              <m:rPr/>
              <m:t>​</m:t>
            </m:r>
          </m:sup>
          <m:e>
            <m:sSup>
              <m:sSupPr/>
              <m:e>
                <m:d>
                  <m:dPr>
                    <m:begChr m:val="∥"/>
                    <m:sepChr m:val=""/>
                    <m:endChr m:val="∥"/>
                  </m:dPr>
                  <m:e>
                    <m:f>
                      <m:fPr/>
                      <m:num>
                        <m:r>
                          <m:rPr>
                            <m:sty m:val="p"/>
                          </m:rPr>
                          <m:t>∂</m:t>
                        </m:r>
                        <m:r>
                          <m:rPr/>
                          <m:t>R</m:t>
                        </m:r>
                        <m:d>
                          <m:dPr>
                            <m:sepChr m:val=""/>
                          </m:dPr>
                          <m:e>
                            <m:r>
                              <m:rPr/>
                              <m:t>θ</m:t>
                            </m:r>
                          </m:e>
                        </m:d>
                      </m:num>
                      <m:den>
                        <m:r>
                          <m:rPr>
                            <m:sty m:val="p"/>
                          </m:rPr>
                          <m:t>∂</m:t>
                        </m:r>
                        <m:r>
                          <m:rPr/>
                          <m:t>θ</m:t>
                        </m:r>
                      </m:den>
                    </m:f>
                    <m:sSub>
                      <m:sSubPr/>
                      <m:e>
                        <m:r>
                          <m:rPr/>
                          <m:t>u</m:t>
                        </m:r>
                      </m:e>
                      <m:sub>
                        <m:r>
                          <m:rPr/>
                          <m:t>i</m:t>
                        </m:r>
                      </m:sub>
                    </m:sSub>
                  </m:e>
                </m:d>
              </m:e>
              <m:sup>
                <m:r>
                  <m:rPr/>
                  <m:t>2</m:t>
                </m:r>
              </m:sup>
            </m:sSup>
          </m:e>
        </m:nary>
        <m:r>
          <m:rPr>
            <m:sty m:val="p"/>
          </m:rPr>
          <m:t>=</m:t>
        </m:r>
        <m:f>
          <m:fPr/>
          <m:num>
            <m:r>
              <m:rPr/>
              <m:t>1</m:t>
            </m:r>
          </m:num>
          <m:den>
            <m:r>
              <m:rPr/>
              <m:t>2</m:t>
            </m:r>
            <m:sSup>
              <m:sSupPr/>
              <m:e>
                <m:r>
                  <m:rPr/>
                  <m:t>σ</m:t>
                </m:r>
              </m:e>
              <m:sup>
                <m:r>
                  <m:rPr/>
                  <m:t>2</m:t>
                </m:r>
              </m:sup>
            </m:sSup>
          </m:den>
        </m:f>
        <m:nary>
          <m:naryPr>
            <m:chr m:val="∑"/>
            <m:limLoc m:val="undOvr"/>
            <m:supHide m:val="1"/>
          </m:naryPr>
          <m:sub>
            <m:r>
              <m:rPr/>
              <m:t>i</m:t>
            </m:r>
          </m:sub>
          <m:sup>
            <m:r>
              <m:rPr/>
              <m:t>​</m:t>
            </m:r>
          </m:sup>
          <m:e>
            <m:sSubSup>
              <m:sSubSupPr/>
              <m:e>
                <m:r>
                  <m:rPr/>
                  <m:t>d</m:t>
                </m:r>
              </m:e>
              <m:sub>
                <m:r>
                  <m:rPr/>
                  <m:t>i</m:t>
                </m:r>
              </m:sub>
              <m:sup>
                <m:r>
                  <m:rPr/>
                  <m:t>2</m:t>
                </m:r>
              </m:sup>
            </m:sSubSup>
          </m:e>
        </m:nary>
      </m:oMath>
      <w:r>
        <w:rPr>
          <w:rFonts w:ascii="Times New Roman" w:hAnsi="Times New Roman" w:eastAsia="Times New Roman"/>
        </w:rPr>
        <w:tab/>
      </w:r>
      <w:r>
        <w:rPr>
          <w:rFonts w:ascii="Times New Roman" w:hAnsi="Times New Roman" w:eastAsia="Times New Roman"/>
        </w:rPr>
        <w:t>(14)</w:t>
      </w:r>
    </w:p>
    <w:p w14:paraId="54DEB768">
      <w:pPr>
        <w:pStyle w:val="23"/>
      </w:pPr>
      <w:r>
        <w:t>由Cramér-Rao不等式[11]，任意无偏估计量的方差满足：</w:t>
      </w:r>
    </w:p>
    <w:p w14:paraId="30A9D134">
      <w:pPr>
        <w:pStyle w:val="3"/>
        <w:tabs>
          <w:tab w:val="center" w:pos="4150"/>
          <w:tab w:val="right" w:pos="8300"/>
        </w:tabs>
        <w:jc w:val="left"/>
      </w:pPr>
      <w:r>
        <w:tab/>
      </w:r>
      <m:oMath>
        <m:r>
          <m:rPr>
            <m:sty m:val="p"/>
          </m:rPr>
          <m:t>Var</m:t>
        </m:r>
        <m:d>
          <m:dPr>
            <m:sepChr m:val=""/>
          </m:dPr>
          <m:e>
            <m:acc>
              <m:accPr/>
              <m:e>
                <m:r>
                  <m:rPr/>
                  <m:t>θ</m:t>
                </m:r>
              </m:e>
            </m:acc>
          </m:e>
        </m:d>
        <m:r>
          <m:rPr/>
          <m:t> </m:t>
        </m:r>
        <m:r>
          <m:rPr>
            <m:sty m:val="p"/>
          </m:rPr>
          <m:t>≥</m:t>
        </m:r>
        <m:r>
          <m:rPr/>
          <m:t> </m:t>
        </m:r>
        <m:f>
          <m:fPr/>
          <m:num>
            <m:r>
              <m:rPr/>
              <m:t>1</m:t>
            </m:r>
          </m:num>
          <m:den>
            <m:r>
              <m:rPr/>
              <m:t>I</m:t>
            </m:r>
            <m:d>
              <m:dPr>
                <m:sepChr m:val=""/>
              </m:dPr>
              <m:e>
                <m:r>
                  <m:rPr/>
                  <m:t>θ</m:t>
                </m:r>
              </m:e>
            </m:d>
          </m:den>
        </m:f>
        <m:r>
          <m:rPr>
            <m:sty m:val="p"/>
          </m:rPr>
          <m:t>=</m:t>
        </m:r>
        <m:f>
          <m:fPr/>
          <m:num>
            <m:r>
              <m:rPr/>
              <m:t>2</m:t>
            </m:r>
            <m:sSup>
              <m:sSupPr/>
              <m:e>
                <m:r>
                  <m:rPr/>
                  <m:t>σ</m:t>
                </m:r>
              </m:e>
              <m:sup>
                <m:r>
                  <m:rPr/>
                  <m:t>2</m:t>
                </m:r>
              </m:sup>
            </m:sSup>
          </m:num>
          <m:den>
            <m:nary>
              <m:naryPr>
                <m:chr m:val="∑"/>
                <m:limLoc m:val="undOvr"/>
                <m:supHide m:val="1"/>
              </m:naryPr>
              <m:sub>
                <m:r>
                  <m:rPr/>
                  <m:t>i</m:t>
                </m:r>
              </m:sub>
              <m:sup>
                <m:r>
                  <m:rPr/>
                  <m:t>​</m:t>
                </m:r>
              </m:sup>
              <m:e>
                <m:sSubSup>
                  <m:sSubSupPr/>
                  <m:e>
                    <m:r>
                      <m:rPr/>
                      <m:t>d</m:t>
                    </m:r>
                  </m:e>
                  <m:sub>
                    <m:r>
                      <m:rPr/>
                      <m:t>i</m:t>
                    </m:r>
                  </m:sub>
                  <m:sup>
                    <m:r>
                      <m:rPr/>
                      <m:t>2</m:t>
                    </m:r>
                  </m:sup>
                </m:sSubSup>
              </m:e>
            </m:nary>
          </m:den>
        </m:f>
      </m:oMath>
      <w:r>
        <w:rPr>
          <w:rFonts w:ascii="Times New Roman" w:hAnsi="Times New Roman" w:eastAsia="Times New Roman"/>
        </w:rPr>
        <w:tab/>
      </w:r>
      <w:r>
        <w:rPr>
          <w:rFonts w:ascii="Times New Roman" w:hAnsi="Times New Roman" w:eastAsia="Times New Roman"/>
        </w:rPr>
        <w:t>(15)</w:t>
      </w:r>
    </w:p>
    <w:p w14:paraId="66A40F95">
      <w:pPr>
        <w:pStyle w:val="23"/>
      </w:pPr>
      <w:r>
        <w:t>对照式(13)，本文闭式解的方差恰好达到该下界，即</w:t>
      </w:r>
      <m:oMath>
        <m:sSup>
          <m:sSupPr/>
          <m:e>
            <m:r>
              <m:rPr/>
              <m:t>θ</m:t>
            </m:r>
          </m:e>
          <m:sup>
            <m:r>
              <m:rPr>
                <m:sty m:val="p"/>
              </m:rPr>
              <m:t>∗</m:t>
            </m:r>
          </m:sup>
        </m:sSup>
        <m:r>
          <m:rPr>
            <m:sty m:val="p"/>
          </m:rPr>
          <m:t>=atan2</m:t>
        </m:r>
        <m:d>
          <m:dPr>
            <m:sepChr m:val=""/>
          </m:dPr>
          <m:e>
            <m:r>
              <m:rPr/>
              <m:t>S</m:t>
            </m:r>
            <m:r>
              <m:rPr>
                <m:sty m:val="p"/>
              </m:rPr>
              <m:t>,</m:t>
            </m:r>
            <m:r>
              <m:rPr/>
              <m:t>C</m:t>
            </m:r>
          </m:e>
        </m:d>
      </m:oMath>
      <w:r>
        <w:t>在高斯噪声模型下是渐近有效估计量。</w:t>
      </w:r>
    </w:p>
    <w:bookmarkEnd w:id="10"/>
    <w:p w14:paraId="04ADDDD1">
      <w:pPr>
        <w:pStyle w:val="5"/>
      </w:pPr>
      <w:bookmarkStart w:id="11" w:name="抗差扩展"/>
      <w:r>
        <w:t>2.7 抗差扩展</w:t>
      </w:r>
    </w:p>
    <w:p w14:paraId="55DA1DAA">
      <w:pPr>
        <w:pStyle w:val="23"/>
      </w:pPr>
      <w:r>
        <w:t>前述噪声传播分析假设噪声各向同性高斯，但UWB测距在室内环境中存在多径与非视距效应，导致某次绝对观测出现有限但显著偏离真实值的野值，这类错误不会被3.1节的有限性校验拦截。式(6)的加权机制在野值场景下方向有误：若某次污染使</w:t>
      </w:r>
      <m:oMath>
        <m:sSub>
          <m:sSubPr/>
          <m:e>
            <m:r>
              <m:rPr/>
              <m:t>v</m:t>
            </m:r>
          </m:e>
          <m:sub>
            <m:r>
              <m:rPr/>
              <m:t>i</m:t>
            </m:r>
          </m:sub>
        </m:sSub>
      </m:oMath>
      <w:r>
        <w:t>的模长偏大，该段反而获得更大权重。</w:t>
      </w:r>
    </w:p>
    <w:p w14:paraId="679E3E54">
      <w:pPr>
        <w:pStyle w:val="3"/>
      </w:pPr>
      <w:r>
        <w:t>记第</w:t>
      </w:r>
      <m:oMath>
        <m:r>
          <m:rPr/>
          <m:t>i</m:t>
        </m:r>
      </m:oMath>
      <w:r>
        <w:t>段在当前估计</w:t>
      </w:r>
      <m:oMath>
        <m:acc>
          <m:accPr/>
          <m:e>
            <m:r>
              <m:rPr/>
              <m:t>θ</m:t>
            </m:r>
          </m:e>
        </m:acc>
      </m:oMath>
      <w:r>
        <w:t>下的残差：</w:t>
      </w:r>
    </w:p>
    <w:p w14:paraId="5E764B4D">
      <w:pPr>
        <w:pStyle w:val="3"/>
        <w:tabs>
          <w:tab w:val="center" w:pos="4150"/>
          <w:tab w:val="right" w:pos="8300"/>
        </w:tabs>
        <w:jc w:val="left"/>
      </w:pPr>
      <w:r>
        <w:tab/>
      </w:r>
      <m:oMath>
        <m:sSub>
          <m:sSubPr/>
          <m:e>
            <m:r>
              <m:rPr/>
              <m:t>r</m:t>
            </m:r>
          </m:e>
          <m:sub>
            <m:r>
              <m:rPr/>
              <m:t>i</m:t>
            </m:r>
          </m:sub>
        </m:sSub>
        <m:r>
          <m:rPr>
            <m:sty m:val="p"/>
          </m:rPr>
          <m:t>=</m:t>
        </m:r>
        <m:d>
          <m:dPr>
            <m:begChr m:val="∥"/>
            <m:sepChr m:val=""/>
            <m:endChr m:val="∥"/>
          </m:dPr>
          <m:e>
            <m:sSub>
              <m:sSubPr/>
              <m:e>
                <m:r>
                  <m:rPr/>
                  <m:t>v</m:t>
                </m:r>
              </m:e>
              <m:sub>
                <m:r>
                  <m:rPr/>
                  <m:t>i</m:t>
                </m:r>
              </m:sub>
            </m:sSub>
            <m:r>
              <m:rPr>
                <m:sty m:val="p"/>
              </m:rPr>
              <m:t>−</m:t>
            </m:r>
            <m:r>
              <m:rPr/>
              <m:t>R</m:t>
            </m:r>
            <m:d>
              <m:dPr>
                <m:sepChr m:val=""/>
              </m:dPr>
              <m:e>
                <m:acc>
                  <m:accPr/>
                  <m:e>
                    <m:r>
                      <m:rPr/>
                      <m:t>θ</m:t>
                    </m:r>
                  </m:e>
                </m:acc>
              </m:e>
            </m:d>
            <m:sSub>
              <m:sSubPr/>
              <m:e>
                <m:r>
                  <m:rPr/>
                  <m:t>u</m:t>
                </m:r>
              </m:e>
              <m:sub>
                <m:r>
                  <m:rPr/>
                  <m:t>i</m:t>
                </m:r>
              </m:sub>
            </m:sSub>
          </m:e>
        </m:d>
      </m:oMath>
      <w:r>
        <w:rPr>
          <w:rFonts w:ascii="Times New Roman" w:hAnsi="Times New Roman" w:eastAsia="Times New Roman"/>
        </w:rPr>
        <w:tab/>
      </w:r>
      <w:r>
        <w:rPr>
          <w:rFonts w:ascii="Times New Roman" w:hAnsi="Times New Roman" w:eastAsia="Times New Roman"/>
        </w:rPr>
        <w:t>(16)</w:t>
      </w:r>
    </w:p>
    <w:p w14:paraId="45377ACB">
      <w:pPr>
        <w:pStyle w:val="23"/>
      </w:pPr>
      <w:r>
        <w:t>采用Huber权重函数[12]：</w:t>
      </w:r>
    </w:p>
    <w:p w14:paraId="6D9708FD">
      <w:pPr>
        <w:pStyle w:val="3"/>
        <w:tabs>
          <w:tab w:val="center" w:pos="4150"/>
          <w:tab w:val="right" w:pos="8300"/>
        </w:tabs>
        <w:jc w:val="left"/>
      </w:pPr>
      <w:r>
        <w:tab/>
      </w:r>
      <m:oMath>
        <m:sSub>
          <m:sSubPr/>
          <m:e>
            <m:r>
              <m:rPr/>
              <m:t>w</m:t>
            </m:r>
          </m:e>
          <m:sub>
            <m:r>
              <m:rPr/>
              <m:t>i</m:t>
            </m:r>
          </m:sub>
        </m:sSub>
        <m:d>
          <m:dPr>
            <m:sepChr m:val=""/>
          </m:dPr>
          <m:e>
            <m:sSub>
              <m:sSubPr/>
              <m:e>
                <m:r>
                  <m:rPr/>
                  <m:t>r</m:t>
                </m:r>
              </m:e>
              <m:sub>
                <m:r>
                  <m:rPr/>
                  <m:t>i</m:t>
                </m:r>
              </m:sub>
            </m:sSub>
          </m:e>
        </m:d>
        <m:r>
          <m:rPr>
            <m:sty m:val="p"/>
          </m:rPr>
          <m:t>=</m:t>
        </m:r>
        <m:d>
          <m:dPr>
            <m:begChr m:val="{"/>
            <m:sepChr m:val=""/>
            <m:endChr m:val=""/>
          </m:dPr>
          <m:e>
            <m:m>
              <m:mPr>
                <m:mcs>
                  <m:mc>
                    <m:mcPr>
                      <m:count m:val="2"/>
                      <m:mcJc m:val="left"/>
                    </m:mcPr>
                  </m:mc>
                </m:mcs>
                <m:plcHide m:val="1"/>
              </m:mPr>
              <m:mr>
                <m:e>
                  <m:r>
                    <m:rPr/>
                    <m:t>1</m:t>
                  </m:r>
                  <m:r>
                    <m:rPr>
                      <m:sty m:val="p"/>
                    </m:rPr>
                    <m:t>,</m:t>
                  </m:r>
                </m:e>
                <m:e>
                  <m:sSub>
                    <m:sSubPr/>
                    <m:e>
                      <m:r>
                        <m:rPr/>
                        <m:t>r</m:t>
                      </m:r>
                    </m:e>
                    <m:sub>
                      <m:r>
                        <m:rPr/>
                        <m:t>i</m:t>
                      </m:r>
                    </m:sub>
                  </m:sSub>
                  <m:r>
                    <m:rPr>
                      <m:sty m:val="p"/>
                    </m:rPr>
                    <m:t>≤</m:t>
                  </m:r>
                  <m:r>
                    <m:rPr/>
                    <m:t>k</m:t>
                  </m:r>
                </m:e>
              </m:mr>
              <m:mr>
                <m:e>
                  <m:r>
                    <m:rPr/>
                    <m:t>k</m:t>
                  </m:r>
                  <m:r>
                    <m:rPr>
                      <m:sty m:val="p"/>
                    </m:rPr>
                    <m:t>/</m:t>
                  </m:r>
                  <m:sSub>
                    <m:sSubPr/>
                    <m:e>
                      <m:r>
                        <m:rPr/>
                        <m:t>r</m:t>
                      </m:r>
                    </m:e>
                    <m:sub>
                      <m:r>
                        <m:rPr/>
                        <m:t>i</m:t>
                      </m:r>
                    </m:sub>
                  </m:sSub>
                  <m:r>
                    <m:rPr>
                      <m:sty m:val="p"/>
                    </m:rPr>
                    <m:t>,</m:t>
                  </m:r>
                </m:e>
                <m:e>
                  <m:sSub>
                    <m:sSubPr/>
                    <m:e>
                      <m:r>
                        <m:rPr/>
                        <m:t>r</m:t>
                      </m:r>
                    </m:e>
                    <m:sub>
                      <m:r>
                        <m:rPr/>
                        <m:t>i</m:t>
                      </m:r>
                    </m:sub>
                  </m:sSub>
                  <m:r>
                    <m:rPr>
                      <m:sty m:val="p"/>
                    </m:rPr>
                    <m:t>&gt;</m:t>
                  </m:r>
                  <m:r>
                    <m:rPr/>
                    <m:t>k</m:t>
                  </m:r>
                </m:e>
              </m:mr>
            </m:m>
          </m:e>
        </m:d>
      </m:oMath>
      <w:r>
        <w:rPr>
          <w:rFonts w:ascii="Times New Roman" w:hAnsi="Times New Roman" w:eastAsia="Times New Roman"/>
        </w:rPr>
        <w:tab/>
      </w:r>
      <w:r>
        <w:rPr>
          <w:rFonts w:ascii="Times New Roman" w:hAnsi="Times New Roman" w:eastAsia="Times New Roman"/>
        </w:rPr>
        <w:t>(17)</w:t>
      </w:r>
    </w:p>
    <w:p w14:paraId="3DBA739E">
      <w:pPr>
        <w:pStyle w:val="23"/>
      </w:pPr>
      <m:oMath>
        <m:r>
          <m:rPr/>
          <m:t>k</m:t>
        </m:r>
      </m:oMath>
      <w:r>
        <w:t>取最近若干残差的中位数绝对偏差（MAD）的若干倍。式(6)相应替换为加权累加：</w:t>
      </w:r>
    </w:p>
    <w:p w14:paraId="664992F1">
      <w:pPr>
        <w:pStyle w:val="3"/>
        <w:tabs>
          <w:tab w:val="center" w:pos="4150"/>
          <w:tab w:val="right" w:pos="8300"/>
        </w:tabs>
        <w:jc w:val="left"/>
      </w:pPr>
      <w:r>
        <w:tab/>
      </w:r>
      <m:oMath>
        <m:sSub>
          <m:sSubPr/>
          <m:e>
            <m:r>
              <m:rPr/>
              <m:t>C</m:t>
            </m:r>
          </m:e>
          <m:sub>
            <m:r>
              <m:rPr/>
              <m:t>w</m:t>
            </m:r>
          </m:sub>
        </m:sSub>
        <m:r>
          <m:rPr>
            <m:sty m:val="p"/>
          </m:rPr>
          <m:t>=</m:t>
        </m:r>
        <m:nary>
          <m:naryPr>
            <m:chr m:val="∑"/>
            <m:limLoc m:val="undOvr"/>
            <m:supHide m:val="1"/>
          </m:naryPr>
          <m:sub>
            <m:r>
              <m:rPr/>
              <m:t>i</m:t>
            </m:r>
          </m:sub>
          <m:sup>
            <m:r>
              <m:rPr/>
              <m:t>​</m:t>
            </m:r>
          </m:sup>
          <m:e>
            <m:sSub>
              <m:sSubPr/>
              <m:e>
                <m:r>
                  <m:rPr/>
                  <m:t>w</m:t>
                </m:r>
              </m:e>
              <m:sub>
                <m:r>
                  <m:rPr/>
                  <m:t>i</m:t>
                </m:r>
              </m:sub>
            </m:sSub>
          </m:e>
        </m:nary>
        <m:d>
          <m:dPr>
            <m:sepChr m:val=""/>
          </m:dPr>
          <m:e>
            <m:sSub>
              <m:sSubPr/>
              <m:e>
                <m:r>
                  <m:rPr/>
                  <m:t>u</m:t>
                </m:r>
              </m:e>
              <m:sub>
                <m:r>
                  <m:rPr/>
                  <m:t>ix</m:t>
                </m:r>
              </m:sub>
            </m:sSub>
            <m:sSub>
              <m:sSubPr/>
              <m:e>
                <m:r>
                  <m:rPr/>
                  <m:t>v</m:t>
                </m:r>
              </m:e>
              <m:sub>
                <m:r>
                  <m:rPr/>
                  <m:t>ix</m:t>
                </m:r>
              </m:sub>
            </m:sSub>
            <m:r>
              <m:rPr>
                <m:sty m:val="p"/>
              </m:rPr>
              <m:t>+</m:t>
            </m:r>
            <m:sSub>
              <m:sSubPr/>
              <m:e>
                <m:r>
                  <m:rPr/>
                  <m:t>u</m:t>
                </m:r>
              </m:e>
              <m:sub>
                <m:r>
                  <m:rPr/>
                  <m:t>iy</m:t>
                </m:r>
              </m:sub>
            </m:sSub>
            <m:sSub>
              <m:sSubPr/>
              <m:e>
                <m:r>
                  <m:rPr/>
                  <m:t>v</m:t>
                </m:r>
              </m:e>
              <m:sub>
                <m:r>
                  <m:rPr/>
                  <m:t>iy</m:t>
                </m:r>
              </m:sub>
            </m:sSub>
          </m:e>
        </m:d>
        <m:r>
          <m:rPr>
            <m:sty m:val="p"/>
          </m:rPr>
          <m:t>,</m:t>
        </m:r>
        <m:r>
          <m:rPr/>
          <m:t>  </m:t>
        </m:r>
        <m:sSub>
          <m:sSubPr/>
          <m:e>
            <m:r>
              <m:rPr/>
              <m:t>S</m:t>
            </m:r>
          </m:e>
          <m:sub>
            <m:r>
              <m:rPr/>
              <m:t>w</m:t>
            </m:r>
          </m:sub>
        </m:sSub>
        <m:r>
          <m:rPr>
            <m:sty m:val="p"/>
          </m:rPr>
          <m:t>=</m:t>
        </m:r>
        <m:nary>
          <m:naryPr>
            <m:chr m:val="∑"/>
            <m:limLoc m:val="undOvr"/>
            <m:supHide m:val="1"/>
          </m:naryPr>
          <m:sub>
            <m:r>
              <m:rPr/>
              <m:t>i</m:t>
            </m:r>
          </m:sub>
          <m:sup>
            <m:r>
              <m:rPr/>
              <m:t>​</m:t>
            </m:r>
          </m:sup>
          <m:e>
            <m:sSub>
              <m:sSubPr/>
              <m:e>
                <m:r>
                  <m:rPr/>
                  <m:t>w</m:t>
                </m:r>
              </m:e>
              <m:sub>
                <m:r>
                  <m:rPr/>
                  <m:t>i</m:t>
                </m:r>
              </m:sub>
            </m:sSub>
          </m:e>
        </m:nary>
        <m:d>
          <m:dPr>
            <m:sepChr m:val=""/>
          </m:dPr>
          <m:e>
            <m:sSub>
              <m:sSubPr/>
              <m:e>
                <m:r>
                  <m:rPr/>
                  <m:t>u</m:t>
                </m:r>
              </m:e>
              <m:sub>
                <m:r>
                  <m:rPr/>
                  <m:t>ix</m:t>
                </m:r>
              </m:sub>
            </m:sSub>
            <m:sSub>
              <m:sSubPr/>
              <m:e>
                <m:r>
                  <m:rPr/>
                  <m:t>v</m:t>
                </m:r>
              </m:e>
              <m:sub>
                <m:r>
                  <m:rPr/>
                  <m:t>iy</m:t>
                </m:r>
              </m:sub>
            </m:sSub>
            <m:r>
              <m:rPr>
                <m:sty m:val="p"/>
              </m:rPr>
              <m:t>−</m:t>
            </m:r>
            <m:sSub>
              <m:sSubPr/>
              <m:e>
                <m:r>
                  <m:rPr/>
                  <m:t>u</m:t>
                </m:r>
              </m:e>
              <m:sub>
                <m:r>
                  <m:rPr/>
                  <m:t>iy</m:t>
                </m:r>
              </m:sub>
            </m:sSub>
            <m:sSub>
              <m:sSubPr/>
              <m:e>
                <m:r>
                  <m:rPr/>
                  <m:t>v</m:t>
                </m:r>
              </m:e>
              <m:sub>
                <m:r>
                  <m:rPr/>
                  <m:t>ix</m:t>
                </m:r>
              </m:sub>
            </m:sSub>
          </m:e>
        </m:d>
      </m:oMath>
      <w:r>
        <w:rPr>
          <w:rFonts w:ascii="Times New Roman" w:hAnsi="Times New Roman" w:eastAsia="Times New Roman"/>
        </w:rPr>
        <w:tab/>
      </w:r>
      <w:r>
        <w:rPr>
          <w:rFonts w:ascii="Times New Roman" w:hAnsi="Times New Roman" w:eastAsia="Times New Roman"/>
        </w:rPr>
        <w:t>(18)</w:t>
      </w:r>
    </w:p>
    <w:p w14:paraId="44BE5B0F">
      <w:pPr>
        <w:pStyle w:val="23"/>
      </w:pPr>
      <w:r>
        <w:t>取</w:t>
      </w:r>
      <m:oMath>
        <m:sSup>
          <m:sSupPr/>
          <m:e>
            <m:r>
              <m:rPr/>
              <m:t>θ</m:t>
            </m:r>
          </m:e>
          <m:sup>
            <m:r>
              <m:rPr>
                <m:sty m:val="p"/>
              </m:rPr>
              <m:t>∗</m:t>
            </m:r>
          </m:sup>
        </m:sSup>
        <m:r>
          <m:rPr>
            <m:sty m:val="p"/>
          </m:rPr>
          <m:t>=atan2</m:t>
        </m:r>
        <m:d>
          <m:dPr>
            <m:sepChr m:val=""/>
          </m:dPr>
          <m:e>
            <m:sSub>
              <m:sSubPr/>
              <m:e>
                <m:r>
                  <m:rPr/>
                  <m:t>S</m:t>
                </m:r>
              </m:e>
              <m:sub>
                <m:r>
                  <m:rPr/>
                  <m:t>w</m:t>
                </m:r>
              </m:sub>
            </m:sSub>
            <m:r>
              <m:rPr>
                <m:sty m:val="p"/>
              </m:rPr>
              <m:t>,</m:t>
            </m:r>
            <m:sSub>
              <m:sSubPr/>
              <m:e>
                <m:r>
                  <m:rPr/>
                  <m:t>C</m:t>
                </m:r>
              </m:e>
              <m:sub>
                <m:r>
                  <m:rPr/>
                  <m:t>w</m:t>
                </m:r>
              </m:sub>
            </m:sSub>
          </m:e>
        </m:d>
      </m:oMath>
      <w:r>
        <w:t>。正常数据下</w:t>
      </w:r>
      <m:oMath>
        <m:sSub>
          <m:sSubPr/>
          <m:e>
            <m:r>
              <m:rPr/>
              <m:t>w</m:t>
            </m:r>
          </m:e>
          <m:sub>
            <m:r>
              <m:rPr/>
              <m:t>i</m:t>
            </m:r>
          </m:sub>
        </m:sSub>
        <m:r>
          <m:rPr>
            <m:sty m:val="p"/>
          </m:rPr>
          <m:t>=</m:t>
        </m:r>
        <m:r>
          <m:rPr/>
          <m:t>1</m:t>
        </m:r>
      </m:oMath>
      <w:r>
        <w:t>，退化为原始闭式解；检测到野值时降权。权重计算依赖上一时刻的估计值，构成一次迭代重加权最小二乘过程，计算成本仍为滑窗内的</w:t>
      </w:r>
      <m:oMath>
        <m:r>
          <m:rPr/>
          <m:t>O</m:t>
        </m:r>
        <m:d>
          <m:dPr>
            <m:sepChr m:val=""/>
          </m:dPr>
          <m:e>
            <m:r>
              <m:rPr/>
              <m:t>W</m:t>
            </m:r>
          </m:e>
        </m:d>
      </m:oMath>
      <w:r>
        <w:t>操作。该扩展目前仅完成设计，尚未开展仿真验证，列入表3。</w:t>
      </w:r>
    </w:p>
    <w:bookmarkEnd w:id="11"/>
    <w:p w14:paraId="18ED19C7">
      <w:pPr>
        <w:pStyle w:val="5"/>
      </w:pPr>
      <w:bookmarkStart w:id="12" w:name="向se3的推广"/>
      <w:r>
        <w:t>2.8 向SE(3)的推广</w:t>
      </w:r>
    </w:p>
    <w:p w14:paraId="1E070345">
      <w:pPr>
        <w:pStyle w:val="23"/>
      </w:pPr>
      <w:r>
        <w:t>本文方法向完整SE(3)场景的推广，数学结构上是式(1)–(15)在维度上的自然延伸，但会引入两点变化。</w:t>
      </w:r>
    </w:p>
    <w:p w14:paraId="18CC2B66">
      <w:pPr>
        <w:pStyle w:val="3"/>
      </w:pPr>
      <w:r>
        <w:t>三维情形下待估计的旋转矩阵</w:t>
      </w:r>
      <m:oMath>
        <m:r>
          <m:rPr/>
          <m:t>R</m:t>
        </m:r>
        <m:r>
          <m:rPr>
            <m:sty m:val="p"/>
          </m:rPr>
          <m:t>∈</m:t>
        </m:r>
        <m:r>
          <m:rPr/>
          <m:t>SO</m:t>
        </m:r>
        <m:d>
          <m:dPr>
            <m:sepChr m:val=""/>
          </m:dPr>
          <m:e>
            <m:r>
              <m:rPr/>
              <m:t>3</m:t>
            </m:r>
          </m:e>
        </m:d>
      </m:oMath>
      <w:r>
        <w:t>有三个自由度，将式(6)的标量累加推广为相关矩阵的滑窗累加：</w:t>
      </w:r>
    </w:p>
    <w:p w14:paraId="6EA003BF">
      <w:pPr>
        <w:pStyle w:val="3"/>
        <w:tabs>
          <w:tab w:val="center" w:pos="4150"/>
          <w:tab w:val="right" w:pos="8300"/>
        </w:tabs>
        <w:jc w:val="left"/>
      </w:pPr>
      <w:r>
        <w:tab/>
      </w:r>
      <m:oMath>
        <m:r>
          <m:rPr/>
          <m:t>H</m:t>
        </m:r>
        <m:r>
          <m:rPr>
            <m:sty m:val="p"/>
          </m:rPr>
          <m:t>=</m:t>
        </m:r>
        <m:nary>
          <m:naryPr>
            <m:chr m:val="∑"/>
            <m:limLoc m:val="undOvr"/>
            <m:supHide m:val="1"/>
          </m:naryPr>
          <m:sub>
            <m:r>
              <m:rPr/>
              <m:t>i</m:t>
            </m:r>
          </m:sub>
          <m:sup>
            <m:r>
              <m:rPr/>
              <m:t>​</m:t>
            </m:r>
          </m:sup>
          <m:e>
            <m:sSub>
              <m:sSubPr/>
              <m:e>
                <m:r>
                  <m:rPr/>
                  <m:t>u</m:t>
                </m:r>
              </m:e>
              <m:sub>
                <m:r>
                  <m:rPr/>
                  <m:t>i</m:t>
                </m:r>
              </m:sub>
            </m:sSub>
          </m:e>
        </m:nary>
        <m:sSubSup>
          <m:sSubSupPr/>
          <m:e>
            <m:r>
              <m:rPr/>
              <m:t>v</m:t>
            </m:r>
          </m:e>
          <m:sub>
            <m:r>
              <m:rPr/>
              <m:t>i</m:t>
            </m:r>
          </m:sub>
          <m:sup>
            <m:r>
              <m:rPr>
                <m:sty m:val="p"/>
              </m:rPr>
              <m:t>⊤</m:t>
            </m:r>
          </m:sup>
        </m:sSubSup>
      </m:oMath>
      <w:r>
        <w:rPr>
          <w:rFonts w:ascii="Times New Roman" w:hAnsi="Times New Roman" w:eastAsia="Times New Roman"/>
        </w:rPr>
        <w:tab/>
      </w:r>
      <w:r>
        <w:rPr>
          <w:rFonts w:ascii="Times New Roman" w:hAnsi="Times New Roman" w:eastAsia="Times New Roman"/>
        </w:rPr>
        <w:t>(19)</w:t>
      </w:r>
    </w:p>
    <w:p w14:paraId="49A8867E">
      <w:pPr>
        <w:pStyle w:val="23"/>
      </w:pPr>
      <w:r>
        <w:t>对</w:t>
      </w:r>
      <m:oMath>
        <m:r>
          <m:rPr/>
          <m:t>H</m:t>
        </m:r>
      </m:oMath>
      <w:r>
        <w:t>做奇异值分解</w:t>
      </w:r>
      <m:oMath>
        <m:r>
          <m:rPr/>
          <m:t>H</m:t>
        </m:r>
        <m:r>
          <m:rPr>
            <m:sty m:val="p"/>
          </m:rPr>
          <m:t>=</m:t>
        </m:r>
        <m:r>
          <m:rPr/>
          <m:t>UΣ</m:t>
        </m:r>
        <m:sSup>
          <m:sSupPr/>
          <m:e>
            <m:r>
              <m:rPr/>
              <m:t>V</m:t>
            </m:r>
          </m:e>
          <m:sup>
            <m:r>
              <m:rPr>
                <m:sty m:val="p"/>
              </m:rPr>
              <m:t>⊤</m:t>
            </m:r>
          </m:sup>
        </m:sSup>
      </m:oMath>
      <w:r>
        <w:t>，最优旋转由Kabsch/Umeyama公式给出：</w:t>
      </w:r>
    </w:p>
    <w:p w14:paraId="6DF31C65">
      <w:pPr>
        <w:pStyle w:val="3"/>
        <w:tabs>
          <w:tab w:val="center" w:pos="4150"/>
          <w:tab w:val="right" w:pos="8300"/>
        </w:tabs>
        <w:jc w:val="left"/>
      </w:pPr>
      <w:r>
        <w:tab/>
      </w:r>
      <m:oMath>
        <m:sSup>
          <m:sSupPr/>
          <m:e>
            <m:r>
              <m:rPr/>
              <m:t>R</m:t>
            </m:r>
          </m:e>
          <m:sup>
            <m:r>
              <m:rPr>
                <m:sty m:val="p"/>
              </m:rPr>
              <m:t>∗</m:t>
            </m:r>
          </m:sup>
        </m:sSup>
        <m:r>
          <m:rPr>
            <m:sty m:val="p"/>
          </m:rPr>
          <m:t>=</m:t>
        </m:r>
        <m:r>
          <m:rPr/>
          <m:t>V </m:t>
        </m:r>
        <m:r>
          <m:rPr>
            <m:sty m:val="p"/>
          </m:rPr>
          <m:t>diag</m:t>
        </m:r>
        <m:d>
          <m:dPr>
            <m:sepChr m:val=""/>
          </m:dPr>
          <m:e>
            <m:r>
              <m:rPr/>
              <m:t>1</m:t>
            </m:r>
            <m:r>
              <m:rPr>
                <m:sty m:val="p"/>
              </m:rPr>
              <m:t>,</m:t>
            </m:r>
            <m:r>
              <m:rPr/>
              <m:t>1</m:t>
            </m:r>
            <m:r>
              <m:rPr>
                <m:sty m:val="p"/>
              </m:rPr>
              <m:t>,det</m:t>
            </m:r>
            <m:d>
              <m:dPr>
                <m:sepChr m:val=""/>
              </m:dPr>
              <m:e>
                <m:r>
                  <m:rPr/>
                  <m:t>V</m:t>
                </m:r>
                <m:sSup>
                  <m:sSupPr/>
                  <m:e>
                    <m:r>
                      <m:rPr/>
                      <m:t>U</m:t>
                    </m:r>
                  </m:e>
                  <m:sup>
                    <m:r>
                      <m:rPr>
                        <m:sty m:val="p"/>
                      </m:rPr>
                      <m:t>⊤</m:t>
                    </m:r>
                  </m:sup>
                </m:sSup>
              </m:e>
            </m:d>
          </m:e>
        </m:d>
        <m:r>
          <m:rPr/>
          <m:t> </m:t>
        </m:r>
        <m:sSup>
          <m:sSupPr/>
          <m:e>
            <m:r>
              <m:rPr/>
              <m:t>U</m:t>
            </m:r>
          </m:e>
          <m:sup>
            <m:r>
              <m:rPr>
                <m:sty m:val="p"/>
              </m:rPr>
              <m:t>⊤</m:t>
            </m:r>
          </m:sup>
        </m:sSup>
      </m:oMath>
      <w:r>
        <w:rPr>
          <w:rFonts w:ascii="Times New Roman" w:hAnsi="Times New Roman" w:eastAsia="Times New Roman"/>
        </w:rPr>
        <w:tab/>
      </w:r>
      <w:r>
        <w:rPr>
          <w:rFonts w:ascii="Times New Roman" w:hAnsi="Times New Roman" w:eastAsia="Times New Roman"/>
        </w:rPr>
        <w:t>(20)</w:t>
      </w:r>
    </w:p>
    <w:p w14:paraId="4713A254">
      <w:pPr>
        <w:pStyle w:val="23"/>
      </w:pPr>
      <w:r>
        <w:t>式(19)的滑窗累加与式(6)机制一致，新段进窗口做一次外积累加，旧段出窗口做一次减法，仍为</w:t>
      </w:r>
      <m:oMath>
        <m:r>
          <m:rPr/>
          <m:t>O</m:t>
        </m:r>
        <m:d>
          <m:dPr>
            <m:sepChr m:val=""/>
          </m:dPr>
          <m:e>
            <m:r>
              <m:rPr/>
              <m:t>1</m:t>
            </m:r>
          </m:e>
        </m:d>
      </m:oMath>
      <w:r>
        <w:t>增量更新，第2节的在线估计框架无需改动，改变的只是读数步骤：从直接读</w:t>
      </w:r>
      <m:oMath>
        <m:sSup>
          <m:sSupPr/>
          <m:e>
            <m:r>
              <m:rPr/>
              <m:t>θ</m:t>
            </m:r>
          </m:e>
          <m:sup>
            <m:r>
              <m:rPr>
                <m:sty m:val="p"/>
              </m:rPr>
              <m:t>∗</m:t>
            </m:r>
          </m:sup>
        </m:sSup>
        <m:r>
          <m:rPr>
            <m:sty m:val="p"/>
          </m:rPr>
          <m:t>=atan2</m:t>
        </m:r>
        <m:d>
          <m:dPr>
            <m:sepChr m:val=""/>
          </m:dPr>
          <m:e>
            <m:r>
              <m:rPr/>
              <m:t>S</m:t>
            </m:r>
            <m:r>
              <m:rPr>
                <m:sty m:val="p"/>
              </m:rPr>
              <m:t>,</m:t>
            </m:r>
            <m:r>
              <m:rPr/>
              <m:t>C</m:t>
            </m:r>
          </m:e>
        </m:d>
      </m:oMath>
      <w:r>
        <w:t>变为对累积矩阵</w:t>
      </w:r>
      <m:oMath>
        <m:r>
          <m:rPr/>
          <m:t>H</m:t>
        </m:r>
      </m:oMath>
      <w:r>
        <w:t>做一次奇异值分解，本文强调的单次三角函数调用这一简洁性随之失去。平移分量处理逻辑不变，仅将式(8)的</w:t>
      </w:r>
      <m:oMath>
        <m:r>
          <m:rPr/>
          <m:t>R</m:t>
        </m:r>
        <m:d>
          <m:dPr>
            <m:sepChr m:val=""/>
          </m:dPr>
          <m:e>
            <m:sSup>
              <m:sSupPr/>
              <m:e>
                <m:r>
                  <m:rPr/>
                  <m:t>θ</m:t>
                </m:r>
              </m:e>
              <m:sup>
                <m:r>
                  <m:rPr>
                    <m:sty m:val="p"/>
                  </m:rPr>
                  <m:t>∗</m:t>
                </m:r>
              </m:sup>
            </m:sSup>
          </m:e>
        </m:d>
      </m:oMath>
      <w:r>
        <w:t>替换为</w:t>
      </w:r>
      <m:oMath>
        <m:sSup>
          <m:sSupPr/>
          <m:e>
            <m:r>
              <m:rPr/>
              <m:t>R</m:t>
            </m:r>
          </m:e>
          <m:sup>
            <m:r>
              <m:rPr>
                <m:sty m:val="p"/>
              </m:rPr>
              <m:t>∗</m:t>
            </m:r>
          </m:sup>
        </m:sSup>
      </m:oMath>
      <w:r>
        <w:t>。</w:t>
      </w:r>
    </w:p>
    <w:p w14:paraId="7360330A">
      <w:pPr>
        <w:pStyle w:val="3"/>
      </w:pPr>
      <w:r>
        <w:t>第二点变化是可观测性条件：单一三维向量对</w:t>
      </w:r>
      <m:oMath>
        <m:d>
          <m:dPr>
            <m:sepChr m:val=""/>
          </m:dPr>
          <m:e>
            <m:sSub>
              <m:sSubPr/>
              <m:e>
                <m:r>
                  <m:rPr/>
                  <m:t>u</m:t>
                </m:r>
              </m:e>
              <m:sub>
                <m:r>
                  <m:rPr/>
                  <m:t>i</m:t>
                </m:r>
              </m:sub>
            </m:sSub>
            <m:r>
              <m:rPr>
                <m:sty m:val="p"/>
              </m:rPr>
              <m:t>,</m:t>
            </m:r>
            <m:sSub>
              <m:sSubPr/>
              <m:e>
                <m:r>
                  <m:rPr/>
                  <m:t>v</m:t>
                </m:r>
              </m:e>
              <m:sub>
                <m:r>
                  <m:rPr/>
                  <m:t>i</m:t>
                </m:r>
              </m:sub>
            </m:sSub>
          </m:e>
        </m:d>
      </m:oMath>
      <w:r>
        <w:t>只能约束旋转的两个自由度，绕该方向轴自身的旋转分量不受约束。三维旋转的完整可观测性要求累积矩阵</w:t>
      </w:r>
      <m:oMath>
        <m:r>
          <m:rPr/>
          <m:t>H</m:t>
        </m:r>
      </m:oMath>
      <w:r>
        <w:t>的秩不低于2，即滑窗内至少包含两段方向不平行的位移，这与星敏感器定姿至少需要两颗不共线的恒星、IMU与磁力计融合定姿需要重力与磁场两个不平行的参考方向是同一经典结果。</w:t>
      </w:r>
    </w:p>
    <w:p w14:paraId="023DE4D8">
      <w:pPr>
        <w:pStyle w:val="3"/>
      </w:pPr>
      <w:r>
        <w:t>多旋翼无人机等近似水平运动的平台横滚与俯仰角通常很小，SE(2)已足够。SE(3)扩展有意义的场景是局部体坐标系相对全局系存在持续变化倾斜角的移动平台，腿足机器人是典型代表：其机体姿态随步态周期持续摆动，若通过稀疏绝对位置源在线标定本体里程计到全局系的变换而仅估计航向角，机体相对水平面的持续倾斜未被显式建模，会从姿态解算的源头引入系统性误差，而非随时间缓慢累积。将本文方法扩展到SE(3)、接入腿足机器人的在线定位标定流程是一个具体的后续研究方向，第3节的鲁棒性工程模式在姿态波动更剧烈的平台上预期同样适用。该扩展目前仅完成数学结构分析，尚未实现与实验验证。</w:t>
      </w:r>
    </w:p>
    <w:bookmarkEnd w:id="4"/>
    <w:bookmarkEnd w:id="12"/>
    <w:p w14:paraId="3051FE27">
      <w:pPr>
        <w:pStyle w:val="4"/>
      </w:pPr>
      <w:bookmarkStart w:id="13" w:name="工程实现与案例分析"/>
      <w:r>
        <w:t>3 工程实现与案例分析</w:t>
      </w:r>
    </w:p>
    <w:p w14:paraId="5768A9A8">
      <w:pPr>
        <w:pStyle w:val="5"/>
      </w:pPr>
      <w:bookmarkStart w:id="14" w:name="非有限测量值污染锚点导致永久卡死"/>
      <w:r>
        <w:t>3.1 非有限测量值污染锚点导致永久卡死</w:t>
      </w:r>
    </w:p>
    <w:p w14:paraId="1EB847F2">
      <w:pPr>
        <w:pStyle w:val="23"/>
      </w:pPr>
      <w:r>
        <w:t>诊断话题从未发布过估计结果，滑窗分段计数长期停留在0。独立编写诊断脚本复刻同一分段判定逻辑单独订阅原始数据流，能够正常记录分段，说明算法逻辑本身无误；但生产环境中长期运行的真实节点实例依然卡在0，说明该实例内部状态被污染。根因是绝对观测源在启动瞬间可能发出一帧非有限值，若被当作分段锚点记录，之后每次位移长度计算均为非有限结果，而距离阈值比较在浮点语义下恒为假，判断条件永远无法满足；且原实现的锚点只在成功记录新段后才更新，不存在自我恢复路径。图3描述了该失效的状态转移过程。修复方式是在分段判定函数中加入有限性校验，非有限值出现时判定为无可用锚点并用下一帧有限值重新设定，赋予运行时任意时刻发生的坏数据自动恢复的能力。</w:t>
      </w:r>
    </w:p>
    <w:p w14:paraId="4B610E25">
      <w:pPr>
        <w:pStyle w:val="35"/>
        <w:jc w:val="center"/>
      </w:pPr>
      <w:r>
        <w:drawing>
          <wp:inline distT="0" distB="0" distL="114300" distR="114300">
            <wp:extent cx="5334000" cy="2235200"/>
            <wp:effectExtent l="0" t="0" r="0" b="0"/>
            <wp:docPr id="40" name="Picture" descr="图3 NaN污染锚点问题的状态转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3 NaN污染锚点问题的状态转移示意图"/>
                    <pic:cNvPicPr>
                      <a:picLocks noChangeAspect="1" noChangeArrowheads="1"/>
                    </pic:cNvPicPr>
                  </pic:nvPicPr>
                  <pic:blipFill>
                    <a:blip r:embed="rId7"/>
                    <a:stretch>
                      <a:fillRect/>
                    </a:stretch>
                  </pic:blipFill>
                  <pic:spPr>
                    <a:xfrm>
                      <a:off x="0" y="0"/>
                      <a:ext cx="5334000" cy="2235200"/>
                    </a:xfrm>
                    <a:prstGeom prst="rect">
                      <a:avLst/>
                    </a:prstGeom>
                    <a:noFill/>
                    <a:ln w="9525">
                      <a:noFill/>
                    </a:ln>
                  </pic:spPr>
                </pic:pic>
              </a:graphicData>
            </a:graphic>
          </wp:inline>
        </w:drawing>
      </w:r>
    </w:p>
    <w:p w14:paraId="6A4EA925">
      <w:pPr>
        <w:pStyle w:val="33"/>
        <w:jc w:val="center"/>
      </w:pPr>
      <w:r>
        <w:t>图3 NaN污染锚点问题的状态转移示意图</w:t>
      </w:r>
    </w:p>
    <w:p w14:paraId="541027A7">
      <w:pPr>
        <w:pStyle w:val="3"/>
      </w:pPr>
      <w:r>
        <w:t>诊断话题最初仅在累计段数达到可信阈值后才首次发布，导致运维人员无法区分尚未收敛与已经卡死两种状态，这也是上述问题早期难以定位的原因之一。修复方式是让诊断接口无条件公开当前进度，包括累计段数、当前估计值与是否达到可信阈值，使两种状态在外部观测者眼中可区分。</w:t>
      </w:r>
    </w:p>
    <w:bookmarkEnd w:id="14"/>
    <w:p w14:paraId="2BFD6042">
      <w:pPr>
        <w:pStyle w:val="5"/>
      </w:pPr>
      <w:bookmarkStart w:id="15" w:name="标定持续更新与目标点读取时机的同步问题"/>
      <w:r>
        <w:t>3.2 标定持续更新与目标点读取时机的同步问题</w:t>
      </w:r>
    </w:p>
    <w:p w14:paraId="39A5A74E">
      <w:pPr>
        <w:pStyle w:val="23"/>
      </w:pPr>
      <w:r>
        <w:t>目标点从操作界面到规划器内部目标的转换是一次性坐标变换：收到目标点消息时按式(9)查询当时的</w:t>
      </w:r>
      <m:oMath>
        <m:d>
          <m:dPr>
            <m:sepChr m:val=""/>
          </m:dPr>
          <m:e>
            <m:sSup>
              <m:sSupPr/>
              <m:e>
                <m:r>
                  <m:rPr/>
                  <m:t>θ</m:t>
                </m:r>
              </m:e>
              <m:sup>
                <m:r>
                  <m:rPr>
                    <m:sty m:val="p"/>
                  </m:rPr>
                  <m:t>∗</m:t>
                </m:r>
              </m:sup>
            </m:sSup>
            <m:r>
              <m:rPr>
                <m:sty m:val="p"/>
              </m:rPr>
              <m:t>,</m:t>
            </m:r>
            <m:r>
              <m:rPr/>
              <m:t>t</m:t>
            </m:r>
          </m:e>
        </m:d>
      </m:oMath>
      <w:r>
        <w:t>完成变换，结果固定发布，此后</w:t>
      </w:r>
      <m:oMath>
        <m:sSup>
          <m:sSupPr/>
          <m:e>
            <m:r>
              <m:rPr/>
              <m:t>θ</m:t>
            </m:r>
          </m:e>
          <m:sup>
            <m:r>
              <m:rPr>
                <m:sty m:val="p"/>
              </m:rPr>
              <m:t>∗</m:t>
            </m:r>
          </m:sup>
        </m:sSup>
      </m:oMath>
      <w:r>
        <w:t>的任何后续修正不会追溯应用到已发布的目标点。</w:t>
      </w:r>
    </w:p>
    <w:p w14:paraId="676ACB7A">
      <w:pPr>
        <w:pStyle w:val="3"/>
      </w:pPr>
      <w:r>
        <w:t>一次双机穿越路径测试中，两机最终停留位置与预期目标点存在系统性偏差，最初被归因于局部里程计累积漂移。用真实预设航向角（30°与-45°）反算若目标点变换完全不做旋转补偿会落在全局系何处：一台无人机预测落点</w:t>
      </w:r>
      <m:oMath>
        <m:d>
          <m:dPr>
            <m:sepChr m:val=""/>
          </m:dPr>
          <m:e>
            <m:r>
              <m:rPr/>
              <m:t>3.60</m:t>
            </m:r>
            <m:r>
              <m:rPr>
                <m:sty m:val="p"/>
              </m:rPr>
              <m:t>,</m:t>
            </m:r>
            <m:r>
              <m:rPr/>
              <m:t>4.97</m:t>
            </m:r>
          </m:e>
        </m:d>
      </m:oMath>
      <w:r>
        <w:t>，两次独立实测为</w:t>
      </w:r>
      <m:oMath>
        <m:d>
          <m:dPr>
            <m:sepChr m:val=""/>
          </m:dPr>
          <m:e>
            <m:r>
              <m:rPr/>
              <m:t>3.67</m:t>
            </m:r>
            <m:r>
              <m:rPr>
                <m:sty m:val="p"/>
              </m:rPr>
              <m:t>,</m:t>
            </m:r>
            <m:r>
              <m:rPr/>
              <m:t>4.88</m:t>
            </m:r>
          </m:e>
        </m:d>
      </m:oMath>
      <w:r>
        <w:t>与</w:t>
      </w:r>
      <m:oMath>
        <m:d>
          <m:dPr>
            <m:sepChr m:val=""/>
          </m:dPr>
          <m:e>
            <m:r>
              <m:rPr/>
              <m:t>3.64</m:t>
            </m:r>
            <m:r>
              <m:rPr>
                <m:sty m:val="p"/>
              </m:rPr>
              <m:t>,</m:t>
            </m:r>
            <m:r>
              <m:rPr/>
              <m:t>4.91</m:t>
            </m:r>
          </m:e>
        </m:d>
      </m:oMath>
      <w:r>
        <w:t>，误差量级0.11 m；另一台预测落点</w:t>
      </w:r>
      <m:oMath>
        <m:d>
          <m:dPr>
            <m:sepChr m:val=""/>
          </m:dPr>
          <m:e>
            <m:r>
              <m:rPr/>
              <m:t>6.70</m:t>
            </m:r>
            <m:r>
              <m:rPr>
                <m:sty m:val="p"/>
              </m:rPr>
              <m:t>,</m:t>
            </m:r>
            <m:r>
              <m:rPr/>
              <m:t>4.95</m:t>
            </m:r>
          </m:e>
        </m:d>
      </m:oMath>
      <w:r>
        <w:t>，两次独立实测为</w:t>
      </w:r>
      <m:oMath>
        <m:d>
          <m:dPr>
            <m:sepChr m:val=""/>
          </m:dPr>
          <m:e>
            <m:r>
              <m:rPr/>
              <m:t>6.84</m:t>
            </m:r>
            <m:r>
              <m:rPr>
                <m:sty m:val="p"/>
              </m:rPr>
              <m:t>,</m:t>
            </m:r>
            <m:r>
              <m:rPr/>
              <m:t>5.03</m:t>
            </m:r>
          </m:e>
        </m:d>
      </m:oMath>
      <w:r>
        <w:t>与</w:t>
      </w:r>
      <m:oMath>
        <m:d>
          <m:dPr>
            <m:sepChr m:val=""/>
          </m:dPr>
          <m:e>
            <m:r>
              <m:rPr/>
              <m:t>6.75</m:t>
            </m:r>
            <m:r>
              <m:rPr>
                <m:sty m:val="p"/>
              </m:rPr>
              <m:t>,</m:t>
            </m:r>
            <m:r>
              <m:rPr/>
              <m:t>4.89</m:t>
            </m:r>
          </m:e>
        </m:d>
      </m:oMath>
      <w:r>
        <w:t>，误差量级0.08–0.16 m，如图4所示。旋转补偿缺失假说对两次独立实验均给出精确、可重复的定量预测，而里程计漂移假说不具备这种预测能力，漂移量应随时间与路径累积变化，不会两次都落在同一个可由固定角度偏差解释的位置。</w:t>
      </w:r>
    </w:p>
    <w:p w14:paraId="68FC2E54">
      <w:pPr>
        <w:pStyle w:val="35"/>
        <w:jc w:val="center"/>
      </w:pPr>
      <w:r>
        <w:drawing>
          <wp:inline distT="0" distB="0" distL="114300" distR="114300">
            <wp:extent cx="5334000" cy="2553335"/>
            <wp:effectExtent l="0" t="0" r="0" b="0"/>
            <wp:docPr id="44" name="Picture" descr="图4 目标点未随航向角持续修正假说的预测落点与两次独立对穿测试实测落点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图4 目标点未随航向角持续修正假说的预测落点与两次独立对穿测试实测落点对照"/>
                    <pic:cNvPicPr>
                      <a:picLocks noChangeAspect="1" noChangeArrowheads="1"/>
                    </pic:cNvPicPr>
                  </pic:nvPicPr>
                  <pic:blipFill>
                    <a:blip r:embed="rId8"/>
                    <a:stretch>
                      <a:fillRect/>
                    </a:stretch>
                  </pic:blipFill>
                  <pic:spPr>
                    <a:xfrm>
                      <a:off x="0" y="0"/>
                      <a:ext cx="5334000" cy="2553349"/>
                    </a:xfrm>
                    <a:prstGeom prst="rect">
                      <a:avLst/>
                    </a:prstGeom>
                    <a:noFill/>
                    <a:ln w="9525">
                      <a:noFill/>
                    </a:ln>
                  </pic:spPr>
                </pic:pic>
              </a:graphicData>
            </a:graphic>
          </wp:inline>
        </w:drawing>
      </w:r>
    </w:p>
    <w:p w14:paraId="35445C0D">
      <w:pPr>
        <w:pStyle w:val="33"/>
        <w:jc w:val="center"/>
      </w:pPr>
      <w:r>
        <w:t>图4 目标点未随航向角持续修正假说的预测落点与两次独立对穿测试实测落点对照</w:t>
      </w:r>
    </w:p>
    <w:p w14:paraId="62809334">
      <w:pPr>
        <w:pStyle w:val="3"/>
      </w:pPr>
      <w:r>
        <w:t>同一系统中，跨机坐标对齐的硬件可迁移实现采用持续周期性重新查询当前</w:t>
      </w:r>
      <m:oMath>
        <m:d>
          <m:dPr>
            <m:sepChr m:val=""/>
          </m:dPr>
          <m:e>
            <m:sSup>
              <m:sSupPr/>
              <m:e>
                <m:r>
                  <m:rPr/>
                  <m:t>θ</m:t>
                </m:r>
              </m:e>
              <m:sup>
                <m:r>
                  <m:rPr>
                    <m:sty m:val="p"/>
                  </m:rPr>
                  <m:t>∗</m:t>
                </m:r>
              </m:sup>
            </m:sSup>
            <m:r>
              <m:rPr>
                <m:sty m:val="p"/>
              </m:rPr>
              <m:t>,</m:t>
            </m:r>
            <m:r>
              <m:rPr/>
              <m:t>t</m:t>
            </m:r>
          </m:e>
        </m:d>
      </m:oMath>
      <w:r>
        <w:t>的设计（默认10 Hz），不受本节问题影响。据此，本节问题的修复方向是将目标点读取端改为持续跟踪目标点在全局系下的原始输入，每次</w:t>
      </w:r>
      <m:oMath>
        <m:sSup>
          <m:sSupPr/>
          <m:e>
            <m:r>
              <m:rPr/>
              <m:t>θ</m:t>
            </m:r>
          </m:e>
          <m:sup>
            <m:r>
              <m:rPr>
                <m:sty m:val="p"/>
              </m:rPr>
              <m:t>∗</m:t>
            </m:r>
          </m:sup>
        </m:sSup>
      </m:oMath>
      <w:r>
        <w:t>更新都重新变换、重新发布局部目标，直到智能体到达为止，该修复尚待实现与验证（见第4.4节）。</w:t>
      </w:r>
    </w:p>
    <w:bookmarkEnd w:id="13"/>
    <w:bookmarkEnd w:id="15"/>
    <w:p w14:paraId="0A02CCEE">
      <w:pPr>
        <w:pStyle w:val="4"/>
      </w:pPr>
      <w:bookmarkStart w:id="16" w:name="实验与比较"/>
      <w:r>
        <w:t>4 实验与比较</w:t>
      </w:r>
    </w:p>
    <w:p w14:paraId="68E263CC">
      <w:pPr>
        <w:pStyle w:val="5"/>
      </w:pPr>
      <w:bookmarkStart w:id="17" w:name="与现有方法的比较"/>
      <w:r>
        <w:t>4.1 与现有方法的比较</w:t>
      </w:r>
    </w:p>
    <w:p w14:paraId="0AE19397">
      <w:pPr>
        <w:pStyle w:val="23"/>
      </w:pPr>
      <w:r>
        <w:t>表2从问题结构、观测源、求解方式三个维度比较本文方法与代表性相关工作。</w:t>
      </w:r>
    </w:p>
    <w:p w14:paraId="6A6B7E7F">
      <w:pPr>
        <w:pStyle w:val="3"/>
      </w:pPr>
      <w:r>
        <w:rPr>
          <w:b/>
          <w:bCs/>
        </w:rPr>
        <w:t>表2 本文方法与代表性相关工作的问题结构对比</w:t>
      </w:r>
    </w:p>
    <w:tbl>
      <w:tblPr>
        <w:tblStyle w:val="2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87"/>
        <w:gridCol w:w="2170"/>
        <w:gridCol w:w="2234"/>
        <w:gridCol w:w="2059"/>
      </w:tblGrid>
      <w:tr w14:paraId="2F8DE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p w14:paraId="76BB78DF">
            <w:pPr>
              <w:pStyle w:val="24"/>
              <w:spacing w:after="40"/>
              <w:jc w:val="left"/>
            </w:pPr>
            <w:r>
              <w:rPr>
                <w:rFonts w:ascii="Times New Roman" w:hAnsi="Times New Roman" w:eastAsia="SimSun"/>
                <w:b/>
                <w:sz w:val="21"/>
              </w:rPr>
              <w:t>方法</w:t>
            </w:r>
          </w:p>
        </w:tc>
        <w:tc>
          <w:p w14:paraId="16205B4B">
            <w:pPr>
              <w:pStyle w:val="24"/>
              <w:spacing w:after="40"/>
              <w:jc w:val="left"/>
            </w:pPr>
            <w:r>
              <w:rPr>
                <w:rFonts w:ascii="Times New Roman" w:hAnsi="Times New Roman" w:eastAsia="SimSun"/>
                <w:b/>
                <w:sz w:val="21"/>
              </w:rPr>
              <w:t>求解目标</w:t>
            </w:r>
          </w:p>
        </w:tc>
        <w:tc>
          <w:p w14:paraId="6DC9B61A">
            <w:pPr>
              <w:pStyle w:val="24"/>
              <w:spacing w:after="40"/>
              <w:jc w:val="left"/>
            </w:pPr>
            <w:r>
              <w:rPr>
                <w:rFonts w:ascii="Times New Roman" w:hAnsi="Times New Roman" w:eastAsia="SimSun"/>
                <w:b/>
                <w:sz w:val="21"/>
              </w:rPr>
              <w:t>观测源</w:t>
            </w:r>
          </w:p>
        </w:tc>
        <w:tc>
          <w:p w14:paraId="1AE6DD3E">
            <w:pPr>
              <w:pStyle w:val="24"/>
              <w:spacing w:after="40"/>
              <w:jc w:val="left"/>
            </w:pPr>
            <w:r>
              <w:rPr>
                <w:rFonts w:ascii="Times New Roman" w:hAnsi="Times New Roman" w:eastAsia="SimSun"/>
                <w:b/>
                <w:sz w:val="21"/>
              </w:rPr>
              <w:t>求解方式</w:t>
            </w:r>
          </w:p>
        </w:tc>
      </w:tr>
      <w:tr w14:paraId="12924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6881803">
            <w:pPr>
              <w:pStyle w:val="24"/>
              <w:spacing w:after="40"/>
              <w:jc w:val="left"/>
            </w:pPr>
            <w:r>
              <w:rPr>
                <w:rFonts w:ascii="Times New Roman" w:hAnsi="Times New Roman" w:eastAsia="SimSun"/>
                <w:sz w:val="21"/>
              </w:rPr>
              <w:t>Nagavalli等[1]</w:t>
            </w:r>
          </w:p>
        </w:tc>
        <w:tc>
          <w:p w14:paraId="6FF491F7">
            <w:pPr>
              <w:pStyle w:val="24"/>
              <w:spacing w:after="40"/>
              <w:jc w:val="left"/>
            </w:pPr>
            <w:r>
              <w:rPr>
                <w:rFonts w:ascii="Times New Roman" w:hAnsi="Times New Roman" w:eastAsia="SimSun"/>
                <w:sz w:val="21"/>
              </w:rPr>
              <w:t>机间相对位姿</w:t>
            </w:r>
          </w:p>
        </w:tc>
        <w:tc>
          <w:p w14:paraId="4F7F2D2D">
            <w:pPr>
              <w:pStyle w:val="24"/>
              <w:spacing w:after="40"/>
              <w:jc w:val="left"/>
            </w:pPr>
            <w:r>
              <w:rPr>
                <w:rFonts w:ascii="Times New Roman" w:hAnsi="Times New Roman" w:eastAsia="SimSun"/>
                <w:sz w:val="21"/>
              </w:rPr>
              <w:t>机器人间相对位置测量</w:t>
            </w:r>
          </w:p>
        </w:tc>
        <w:tc>
          <w:p w14:paraId="1A43C5CB">
            <w:pPr>
              <w:pStyle w:val="24"/>
              <w:spacing w:after="40"/>
              <w:jc w:val="left"/>
            </w:pPr>
            <w:r>
              <w:rPr>
                <w:rFonts w:ascii="Times New Roman" w:hAnsi="Times New Roman" w:eastAsia="SimSun"/>
                <w:sz w:val="21"/>
              </w:rPr>
              <w:t>集中式/分布式共识算法</w:t>
            </w:r>
          </w:p>
        </w:tc>
      </w:tr>
      <w:tr w14:paraId="3F8F1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48488427">
            <w:pPr>
              <w:pStyle w:val="24"/>
              <w:spacing w:after="40"/>
              <w:jc w:val="left"/>
            </w:pPr>
            <w:r>
              <w:rPr>
                <w:rFonts w:ascii="Times New Roman" w:hAnsi="Times New Roman" w:eastAsia="SimSun"/>
                <w:sz w:val="21"/>
              </w:rPr>
              <w:t>邓忠元等[2]/专利[3]</w:t>
            </w:r>
          </w:p>
        </w:tc>
        <w:tc>
          <w:p w14:paraId="6A129666">
            <w:pPr>
              <w:pStyle w:val="24"/>
              <w:spacing w:after="40"/>
              <w:jc w:val="left"/>
            </w:pPr>
            <w:r>
              <w:rPr>
                <w:rFonts w:ascii="Times New Roman" w:hAnsi="Times New Roman" w:eastAsia="SimSun"/>
                <w:sz w:val="21"/>
              </w:rPr>
              <w:t>机间相对位姿</w:t>
            </w:r>
          </w:p>
        </w:tc>
        <w:tc>
          <w:p w14:paraId="79B3AA61">
            <w:pPr>
              <w:pStyle w:val="24"/>
              <w:spacing w:after="40"/>
              <w:jc w:val="left"/>
            </w:pPr>
            <w:r>
              <w:rPr>
                <w:rFonts w:ascii="Times New Roman" w:hAnsi="Times New Roman" w:eastAsia="SimSun"/>
                <w:sz w:val="21"/>
              </w:rPr>
              <w:t>单UWB机间测距+里程计</w:t>
            </w:r>
          </w:p>
        </w:tc>
        <w:tc>
          <w:p w14:paraId="46F26313">
            <w:pPr>
              <w:pStyle w:val="24"/>
              <w:spacing w:after="40"/>
              <w:jc w:val="left"/>
            </w:pPr>
            <w:r>
              <w:rPr>
                <w:rFonts w:ascii="Times New Roman" w:hAnsi="Times New Roman" w:eastAsia="SimSun"/>
                <w:sz w:val="21"/>
              </w:rPr>
              <w:t>批量滑窗非线性最小二乘</w:t>
            </w:r>
          </w:p>
        </w:tc>
      </w:tr>
      <w:tr w14:paraId="4D6B5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66A3B0A">
            <w:pPr>
              <w:pStyle w:val="24"/>
              <w:spacing w:after="40"/>
              <w:jc w:val="left"/>
            </w:pPr>
            <w:r>
              <w:rPr>
                <w:rFonts w:ascii="Times New Roman" w:hAnsi="Times New Roman" w:eastAsia="SimSun"/>
                <w:sz w:val="21"/>
              </w:rPr>
              <w:t>电子与信息学报[4]</w:t>
            </w:r>
          </w:p>
        </w:tc>
        <w:tc>
          <w:p w14:paraId="1985391B">
            <w:pPr>
              <w:pStyle w:val="24"/>
              <w:spacing w:after="40"/>
              <w:jc w:val="left"/>
            </w:pPr>
            <w:r>
              <w:rPr>
                <w:rFonts w:ascii="Times New Roman" w:hAnsi="Times New Roman" w:eastAsia="SimSun"/>
                <w:sz w:val="21"/>
              </w:rPr>
              <w:t>机间相对位姿</w:t>
            </w:r>
          </w:p>
        </w:tc>
        <w:tc>
          <w:p w14:paraId="5D3F8598">
            <w:pPr>
              <w:pStyle w:val="24"/>
              <w:spacing w:after="40"/>
              <w:jc w:val="left"/>
            </w:pPr>
            <w:r>
              <w:rPr>
                <w:rFonts w:ascii="Times New Roman" w:hAnsi="Times New Roman" w:eastAsia="SimSun"/>
                <w:sz w:val="21"/>
              </w:rPr>
              <w:t>多UWB节点阵列+里程计</w:t>
            </w:r>
          </w:p>
        </w:tc>
        <w:tc>
          <w:p w14:paraId="023F0AC4">
            <w:pPr>
              <w:pStyle w:val="24"/>
              <w:spacing w:after="40"/>
              <w:jc w:val="left"/>
            </w:pPr>
            <w:r>
              <w:rPr>
                <w:rFonts w:ascii="Times New Roman" w:hAnsi="Times New Roman" w:eastAsia="SimSun"/>
                <w:sz w:val="21"/>
              </w:rPr>
              <w:t>非线性优化+滑窗+粒子滤波</w:t>
            </w:r>
          </w:p>
        </w:tc>
      </w:tr>
      <w:tr w14:paraId="6D530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1735966A">
            <w:pPr>
              <w:pStyle w:val="24"/>
              <w:spacing w:after="40"/>
              <w:jc w:val="left"/>
            </w:pPr>
            <w:r>
              <w:rPr>
                <w:rFonts w:ascii="Times New Roman" w:hAnsi="Times New Roman" w:eastAsia="SimSun"/>
                <w:sz w:val="21"/>
              </w:rPr>
              <w:t>Shin等[5]</w:t>
            </w:r>
          </w:p>
        </w:tc>
        <w:tc>
          <w:p w14:paraId="25AB7815">
            <w:pPr>
              <w:pStyle w:val="24"/>
              <w:spacing w:after="40"/>
              <w:jc w:val="left"/>
            </w:pPr>
            <w:r>
              <w:rPr>
                <w:rFonts w:ascii="Times New Roman" w:hAnsi="Times New Roman" w:eastAsia="SimSun"/>
                <w:sz w:val="21"/>
              </w:rPr>
              <w:t>机间相对位姿</w:t>
            </w:r>
          </w:p>
        </w:tc>
        <w:tc>
          <w:p w14:paraId="38F18456">
            <w:pPr>
              <w:pStyle w:val="24"/>
              <w:spacing w:after="40"/>
              <w:jc w:val="left"/>
            </w:pPr>
            <w:r>
              <w:rPr>
                <w:rFonts w:ascii="Times New Roman" w:hAnsi="Times New Roman" w:eastAsia="SimSun"/>
                <w:sz w:val="21"/>
              </w:rPr>
              <w:t>机间测距/方位角+里程计</w:t>
            </w:r>
          </w:p>
        </w:tc>
        <w:tc>
          <w:p w14:paraId="42524E7C">
            <w:pPr>
              <w:pStyle w:val="24"/>
              <w:spacing w:after="40"/>
              <w:jc w:val="left"/>
            </w:pPr>
            <w:r>
              <w:rPr>
                <w:rFonts w:ascii="Times New Roman" w:hAnsi="Times New Roman" w:eastAsia="SimSun"/>
                <w:sz w:val="21"/>
              </w:rPr>
              <w:t>EKF/位姿图优化</w:t>
            </w:r>
          </w:p>
        </w:tc>
      </w:tr>
      <w:tr w14:paraId="3EBB8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2271A96E">
            <w:pPr>
              <w:pStyle w:val="24"/>
              <w:spacing w:after="40"/>
              <w:jc w:val="left"/>
            </w:pPr>
            <w:r>
              <w:rPr>
                <w:rFonts w:ascii="Times New Roman" w:hAnsi="Times New Roman" w:eastAsia="SimSun"/>
                <w:sz w:val="21"/>
              </w:rPr>
              <w:t>Coordinate-Consistent[6]</w:t>
            </w:r>
          </w:p>
        </w:tc>
        <w:tc>
          <w:p w14:paraId="109175F4">
            <w:pPr>
              <w:pStyle w:val="24"/>
              <w:spacing w:after="40"/>
              <w:jc w:val="left"/>
            </w:pPr>
            <w:r>
              <w:rPr>
                <w:rFonts w:ascii="Times New Roman" w:hAnsi="Times New Roman" w:eastAsia="SimSun"/>
                <w:sz w:val="21"/>
              </w:rPr>
              <w:t>单机跨运行坐标一致性</w:t>
            </w:r>
          </w:p>
        </w:tc>
        <w:tc>
          <w:p w14:paraId="5A72E4E3">
            <w:pPr>
              <w:pStyle w:val="24"/>
              <w:spacing w:after="40"/>
              <w:jc w:val="left"/>
            </w:pPr>
            <w:r>
              <w:rPr>
                <w:rFonts w:ascii="Times New Roman" w:hAnsi="Times New Roman" w:eastAsia="SimSun"/>
                <w:sz w:val="21"/>
              </w:rPr>
              <w:t>多固定锚点UWB+SLAM</w:t>
            </w:r>
          </w:p>
        </w:tc>
        <w:tc>
          <w:p w14:paraId="1C393A7D">
            <w:pPr>
              <w:pStyle w:val="24"/>
              <w:spacing w:after="40"/>
              <w:jc w:val="left"/>
            </w:pPr>
            <w:r>
              <w:rPr>
                <w:rFonts w:ascii="Times New Roman" w:hAnsi="Times New Roman" w:eastAsia="SimSun"/>
                <w:sz w:val="21"/>
              </w:rPr>
              <w:t>批量连续时间优化+滑窗融合</w:t>
            </w:r>
          </w:p>
        </w:tc>
      </w:tr>
      <w:tr w14:paraId="47833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B2715C7">
            <w:pPr>
              <w:pStyle w:val="24"/>
              <w:spacing w:after="40"/>
              <w:jc w:val="left"/>
            </w:pPr>
            <w:r>
              <w:rPr>
                <w:rFonts w:ascii="Times New Roman" w:hAnsi="Times New Roman" w:eastAsia="SimSun"/>
                <w:sz w:val="21"/>
              </w:rPr>
              <w:t>本文方法</w:t>
            </w:r>
          </w:p>
        </w:tc>
        <w:tc>
          <w:p w14:paraId="081F6C5E">
            <w:pPr>
              <w:pStyle w:val="24"/>
              <w:spacing w:after="40"/>
              <w:jc w:val="left"/>
            </w:pPr>
            <w:r>
              <w:rPr>
                <w:rFonts w:ascii="Times New Roman" w:hAnsi="Times New Roman" w:eastAsia="SimSun"/>
                <w:sz w:val="21"/>
              </w:rPr>
              <w:t>单智能体局部-全局SE(2)对齐</w:t>
            </w:r>
          </w:p>
        </w:tc>
        <w:tc>
          <w:p w14:paraId="2C9B20DB">
            <w:pPr>
              <w:pStyle w:val="24"/>
              <w:spacing w:after="40"/>
              <w:jc w:val="left"/>
            </w:pPr>
            <w:r>
              <w:rPr>
                <w:rFonts w:ascii="Times New Roman" w:hAnsi="Times New Roman" w:eastAsia="SimSun"/>
                <w:sz w:val="21"/>
              </w:rPr>
              <w:t>单一稀疏绝对位置观测</w:t>
            </w:r>
          </w:p>
        </w:tc>
        <w:tc>
          <w:p w14:paraId="3A2DB074">
            <w:pPr>
              <w:pStyle w:val="24"/>
              <w:spacing w:after="40"/>
              <w:jc w:val="left"/>
            </w:pPr>
            <w:r>
              <w:rPr>
                <w:rFonts w:ascii="Times New Roman" w:hAnsi="Times New Roman" w:eastAsia="SimSun"/>
                <w:sz w:val="21"/>
              </w:rPr>
              <w:t>在线滑窗闭式解</w:t>
            </w:r>
          </w:p>
        </w:tc>
      </w:tr>
    </w:tbl>
    <w:p w14:paraId="50A5044D">
      <w:pPr>
        <w:pStyle w:val="3"/>
      </w:pPr>
      <w:r>
        <w:t>与批量最小二乘相比，本文滑窗方法能跟踪时变映射关系，定量对比列入表3。与传统UWB多基站三边定位相比，本文仅要求单一绝对位置源。与点云配准方法相比，本文方法为滑窗内的标量代数运算，不依赖点云重叠。</w:t>
      </w:r>
    </w:p>
    <w:bookmarkEnd w:id="17"/>
    <w:p w14:paraId="73FC9292">
      <w:pPr>
        <w:pStyle w:val="5"/>
      </w:pPr>
      <w:bookmarkStart w:id="18" w:name="实验环境与验证方法论"/>
      <w:r>
        <w:t>4.2 实验环境与验证方法论</w:t>
      </w:r>
    </w:p>
    <w:p w14:paraId="41BFF690">
      <w:pPr>
        <w:pStyle w:val="23"/>
      </w:pPr>
      <w:r>
        <w:t>方法在双机协同无人机容器化仿真平台上实现与验证，并在真实Jetson硬件平台上完成台架验证。仿真环境下UWB真值发布配置的更新率不等于真实发布频率，需乘以仿真实时因子，该因子在双机高负载场景下实测于0.27–0.53之间波动。早期验证曾在两机预设航向角均为0的默认场景下测试，该场景下真值</w:t>
      </w:r>
      <m:oMath>
        <m:r>
          <m:rPr/>
          <m:t>θ</m:t>
        </m:r>
      </m:oMath>
      <w:r>
        <w:t>本身为0，即使算法存在符号或系数错误，测试结果也可能看似正常，验证旋转对齐算法需要预先建立非零真值场景，本文后续验证统一采用30°与-45°的非零预设航向角。</w:t>
      </w:r>
    </w:p>
    <w:bookmarkEnd w:id="18"/>
    <w:p w14:paraId="2565B7A0">
      <w:pPr>
        <w:pStyle w:val="5"/>
      </w:pPr>
      <w:bookmarkStart w:id="19" w:name="真机侧方法族泛化验证"/>
      <w:r>
        <w:t>4.3 真机侧方法族泛化验证</w:t>
      </w:r>
    </w:p>
    <w:p w14:paraId="471C51E7">
      <w:pPr>
        <w:pStyle w:val="23"/>
      </w:pPr>
      <w:r>
        <w:t>在真实Jetson硬件平台上验证了同一方法族在单机航向角测量场景下的泛化能力：双标签几何反正切测向，</w:t>
      </w:r>
      <m:oMath>
        <m:r>
          <m:rPr/>
          <m:t>yaw</m:t>
        </m:r>
        <m:r>
          <m:rPr>
            <m:sty m:val="p"/>
          </m:rPr>
          <m:t>=normalize</m:t>
        </m:r>
        <m:d>
          <m:dPr>
            <m:sepChr m:val=""/>
          </m:dPr>
          <m:e>
            <m:r>
              <m:rPr>
                <m:sty m:val="p"/>
              </m:rPr>
              <m:t>atan2</m:t>
            </m:r>
            <m:d>
              <m:dPr>
                <m:sepChr m:val=""/>
              </m:dPr>
              <m:e>
                <m:r>
                  <m:rPr/>
                  <m:t>dy</m:t>
                </m:r>
                <m:r>
                  <m:rPr>
                    <m:sty m:val="p"/>
                  </m:rPr>
                  <m:t>,</m:t>
                </m:r>
                <m:r>
                  <m:rPr/>
                  <m:t>dx</m:t>
                </m:r>
              </m:e>
            </m:d>
            <m:r>
              <m:rPr>
                <m:sty m:val="p"/>
              </m:rPr>
              <m:t>+</m:t>
            </m:r>
            <m:r>
              <m:rPr/>
              <m:t>90</m:t>
            </m:r>
            <m:r>
              <m:rPr>
                <m:sty m:val="p"/>
              </m:rPr>
              <m:t>°</m:t>
            </m:r>
          </m:e>
        </m:d>
      </m:oMath>
      <w:r>
        <w:t>，水平位置取双标签中点。该方案额外需要第二个标签与一段已知刚性基线，是在硬件条件允许时的补充测向手段，不替代仅需单一观测源的核心方法。基线长度现场实测0.29 m，容差设计依据为两站独立测距的组合误差</w:t>
      </w:r>
      <m:oMath>
        <m:rad>
          <m:radPr>
            <m:degHide m:val="1"/>
          </m:radPr>
          <m:deg/>
          <m:e>
            <m:r>
              <m:rPr/>
              <m:t>2</m:t>
            </m:r>
          </m:e>
        </m:rad>
        <m:r>
          <m:rPr>
            <m:sty m:val="p"/>
          </m:rPr>
          <m:t>×</m:t>
        </m:r>
        <m:r>
          <m:rPr/>
          <m:t>0.05</m:t>
        </m:r>
        <m:r>
          <m:rPr>
            <m:sty m:val="p"/>
          </m:rPr>
          <m:t>≈</m:t>
        </m:r>
        <m:r>
          <m:rPr/>
          <m:t>0.07 </m:t>
        </m:r>
        <m:r>
          <m:rPr>
            <m:sty m:val="p"/>
          </m:rPr>
          <m:t>m</m:t>
        </m:r>
      </m:oMath>
      <w:r>
        <w:t>，取一倍多裕量。补充实现了陈旧数据超时检测与UWB标签协议类型运行时自适应识别。</w:t>
      </w:r>
    </w:p>
    <w:p w14:paraId="1A658226">
      <w:pPr>
        <w:pStyle w:val="3"/>
      </w:pPr>
      <w:r>
        <w:t>这类多点直接测姿方案的角度精度从根本上受基线长度制约。设两个同步位置观测点的噪声标准差为</w:t>
      </w:r>
      <m:oMath>
        <m:r>
          <m:rPr/>
          <m:t>σ</m:t>
        </m:r>
      </m:oMath>
      <w:r>
        <w:t>、独立同分布，二者连线的位置差噪声标准差为</w:t>
      </w:r>
      <m:oMath>
        <m:rad>
          <m:radPr>
            <m:degHide m:val="1"/>
          </m:radPr>
          <m:deg/>
          <m:e>
            <m:r>
              <m:rPr/>
              <m:t>2</m:t>
            </m:r>
          </m:e>
        </m:rad>
        <m:r>
          <m:rPr/>
          <m:t>σ</m:t>
        </m:r>
      </m:oMath>
      <w:r>
        <w:t>；仅垂直于基线方向的噪声分量在一阶近似下引起角度误差，故基线测向的角度噪声标准差近似为：</w:t>
      </w:r>
    </w:p>
    <w:p w14:paraId="450B0A38">
      <w:pPr>
        <w:pStyle w:val="3"/>
        <w:tabs>
          <w:tab w:val="center" w:pos="4150"/>
          <w:tab w:val="right" w:pos="8300"/>
        </w:tabs>
        <w:jc w:val="left"/>
      </w:pPr>
      <w:r>
        <w:tab/>
      </w:r>
      <m:oMath>
        <m:sSub>
          <m:sSubPr/>
          <m:e>
            <m:r>
              <m:rPr/>
              <m:t>σ</m:t>
            </m:r>
          </m:e>
          <m:sub>
            <m:r>
              <m:rPr/>
              <m:t>yaw</m:t>
            </m:r>
          </m:sub>
        </m:sSub>
        <m:r>
          <m:rPr>
            <m:sty m:val="p"/>
          </m:rPr>
          <m:t>≈</m:t>
        </m:r>
        <m:f>
          <m:fPr/>
          <m:num>
            <m:rad>
              <m:radPr>
                <m:degHide m:val="1"/>
              </m:radPr>
              <m:deg/>
              <m:e>
                <m:r>
                  <m:rPr/>
                  <m:t>2</m:t>
                </m:r>
              </m:e>
            </m:rad>
            <m:r>
              <m:rPr/>
              <m:t> σ</m:t>
            </m:r>
          </m:num>
          <m:den>
            <m:r>
              <m:rPr/>
              <m:t>L</m:t>
            </m:r>
          </m:den>
        </m:f>
      </m:oMath>
      <w:r>
        <w:rPr>
          <w:rFonts w:ascii="Times New Roman" w:hAnsi="Times New Roman" w:eastAsia="Times New Roman"/>
        </w:rPr>
        <w:tab/>
      </w:r>
      <w:r>
        <w:rPr>
          <w:rFonts w:ascii="Times New Roman" w:hAnsi="Times New Roman" w:eastAsia="Times New Roman"/>
        </w:rPr>
        <w:t>(21)</w:t>
      </w:r>
    </w:p>
    <w:p w14:paraId="65D763DF">
      <w:pPr>
        <w:pStyle w:val="23"/>
      </w:pPr>
      <w:r>
        <w:t>其中</w:t>
      </w:r>
      <m:oMath>
        <m:r>
          <m:rPr/>
          <m:t>L</m:t>
        </m:r>
      </m:oMath>
      <w:r>
        <w:t>为基线长度。以本场景的</w:t>
      </w:r>
      <m:oMath>
        <m:r>
          <m:rPr/>
          <m:t>L</m:t>
        </m:r>
        <m:r>
          <m:rPr>
            <m:sty m:val="p"/>
          </m:rPr>
          <m:t>=</m:t>
        </m:r>
        <m:r>
          <m:rPr/>
          <m:t>0.29 </m:t>
        </m:r>
        <m:r>
          <m:rPr>
            <m:sty m:val="p"/>
          </m:rPr>
          <m:t>m</m:t>
        </m:r>
      </m:oMath>
      <w:r>
        <w:t>、</w:t>
      </w:r>
      <m:oMath>
        <m:r>
          <m:rPr/>
          <m:t>σ</m:t>
        </m:r>
        <m:r>
          <m:rPr>
            <m:sty m:val="p"/>
          </m:rPr>
          <m:t>=</m:t>
        </m:r>
        <m:r>
          <m:rPr/>
          <m:t>0.05 </m:t>
        </m:r>
        <m:r>
          <m:rPr>
            <m:sty m:val="p"/>
          </m:rPr>
          <m:t>m</m:t>
        </m:r>
      </m:oMath>
      <w:r>
        <w:t>代入，</w:t>
      </w:r>
      <m:oMath>
        <m:sSub>
          <m:sSubPr/>
          <m:e>
            <m:r>
              <m:rPr/>
              <m:t>σ</m:t>
            </m:r>
          </m:e>
          <m:sub>
            <m:r>
              <m:rPr/>
              <m:t>yaw</m:t>
            </m:r>
          </m:sub>
        </m:sSub>
        <m:r>
          <m:rPr>
            <m:sty m:val="p"/>
          </m:rPr>
          <m:t>≈</m:t>
        </m:r>
        <m:r>
          <m:rPr/>
          <m:t>13.9</m:t>
        </m:r>
        <m:r>
          <m:rPr>
            <m:sty m:val="p"/>
          </m:rPr>
          <m:t>°</m:t>
        </m:r>
      </m:oMath>
      <w:r>
        <w:t>，单次测量精度远低于核心方法滑窗收敛后的1°–2°量级（第2.6节）。式(21)表明基线越短角度噪声越大，对基线通常只能做到十厘米量级甚至更短的小型机器人尤其不利。本文核心方法用运动过程中累积的位移能量</w:t>
      </w:r>
      <m:oMath>
        <m:nary>
          <m:naryPr>
            <m:chr m:val="∑"/>
            <m:limLoc m:val="undOvr"/>
            <m:supHide m:val="1"/>
          </m:naryPr>
          <m:sub>
            <m:r>
              <m:rPr/>
              <m:t>i</m:t>
            </m:r>
          </m:sub>
          <m:sup>
            <m:r>
              <m:rPr/>
              <m:t>​</m:t>
            </m:r>
          </m:sup>
          <m:e>
            <m:sSubSup>
              <m:sSubSupPr/>
              <m:e>
                <m:r>
                  <m:rPr/>
                  <m:t>d</m:t>
                </m:r>
              </m:e>
              <m:sub>
                <m:r>
                  <m:rPr/>
                  <m:t>i</m:t>
                </m:r>
              </m:sub>
              <m:sup>
                <m:r>
                  <m:rPr/>
                  <m:t>2</m:t>
                </m:r>
              </m:sup>
            </m:sSubSup>
          </m:e>
        </m:nary>
      </m:oMath>
      <w:r>
        <w:t>（式13）替代物理基线长度</w:t>
      </w:r>
      <m:oMath>
        <m:r>
          <m:rPr/>
          <m:t>L</m:t>
        </m:r>
      </m:oMath>
      <w:r>
        <w:t>：二者在各自的噪声传播公式中扮演相同角色，分母越大精度越高，但前者是随运动持续增长的时间基线，不受机体尺寸限制；后者是固定的物理空间基线，一旦机体确定即无法改变。这一对照说明本文方法在小型机器人上相对直接多点测姿具有精度优势，也提示二者可以互补：物理基线提供的粗略先验不需要运动即可获得，恰可用于弥补第5节讨论的、运动方向单一时旋转角与系统性偏置难以区分的问题，是本文方法的一个可能扩展方向，目前尚未实现。</w:t>
      </w:r>
    </w:p>
    <w:bookmarkEnd w:id="19"/>
    <w:p w14:paraId="0572DE85">
      <w:pPr>
        <w:pStyle w:val="5"/>
      </w:pPr>
      <w:bookmarkStart w:id="20" w:name="尚待完成的定量实验"/>
      <w:r>
        <w:t>4.4 尚待完成的定量实验</w:t>
      </w:r>
    </w:p>
    <w:p w14:paraId="33D9EE5B">
      <w:pPr>
        <w:pStyle w:val="23"/>
      </w:pPr>
      <w:r>
        <w:t>以下实验尚未开展，列入后续工作。</w:t>
      </w:r>
    </w:p>
    <w:p w14:paraId="456F5D36">
      <w:pPr>
        <w:pStyle w:val="3"/>
      </w:pPr>
      <w:r>
        <w:rPr>
          <w:b/>
          <w:bCs/>
        </w:rPr>
        <w:t>表3 尚待完成的定量实验设计</w:t>
      </w:r>
    </w:p>
    <w:tbl>
      <w:tblPr>
        <w:tblStyle w:val="2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8"/>
        <w:gridCol w:w="2310"/>
        <w:gridCol w:w="2167"/>
        <w:gridCol w:w="2445"/>
      </w:tblGrid>
      <w:tr w14:paraId="27507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p w14:paraId="1A2BD6CD">
            <w:pPr>
              <w:pStyle w:val="24"/>
              <w:spacing w:after="40"/>
              <w:jc w:val="left"/>
            </w:pPr>
            <w:r>
              <w:rPr>
                <w:rFonts w:ascii="Times New Roman" w:hAnsi="Times New Roman" w:eastAsia="SimSun"/>
                <w:b/>
                <w:sz w:val="21"/>
              </w:rPr>
              <w:t>实验</w:t>
            </w:r>
          </w:p>
        </w:tc>
        <w:tc>
          <w:p w14:paraId="5460079A">
            <w:pPr>
              <w:pStyle w:val="24"/>
              <w:spacing w:after="40"/>
              <w:jc w:val="left"/>
            </w:pPr>
            <w:r>
              <w:rPr>
                <w:rFonts w:ascii="Times New Roman" w:hAnsi="Times New Roman" w:eastAsia="SimSun"/>
                <w:b/>
                <w:sz w:val="21"/>
              </w:rPr>
              <w:t>自变量</w:t>
            </w:r>
          </w:p>
        </w:tc>
        <w:tc>
          <w:p w14:paraId="67C644B0">
            <w:pPr>
              <w:pStyle w:val="24"/>
              <w:spacing w:after="40"/>
              <w:jc w:val="left"/>
            </w:pPr>
            <w:r>
              <w:rPr>
                <w:rFonts w:ascii="Times New Roman" w:hAnsi="Times New Roman" w:eastAsia="SimSun"/>
                <w:b/>
                <w:sz w:val="21"/>
              </w:rPr>
              <w:t>因变量</w:t>
            </w:r>
          </w:p>
        </w:tc>
        <w:tc>
          <w:p w14:paraId="3A1202BF">
            <w:pPr>
              <w:pStyle w:val="24"/>
              <w:spacing w:after="40"/>
              <w:jc w:val="left"/>
            </w:pPr>
            <w:r>
              <w:rPr>
                <w:rFonts w:ascii="Times New Roman" w:hAnsi="Times New Roman" w:eastAsia="SimSun"/>
                <w:b/>
                <w:sz w:val="21"/>
              </w:rPr>
              <w:t>用途</w:t>
            </w:r>
          </w:p>
        </w:tc>
      </w:tr>
      <w:tr w14:paraId="13F39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DC1D06D">
            <w:pPr>
              <w:pStyle w:val="24"/>
              <w:spacing w:after="40"/>
              <w:jc w:val="left"/>
            </w:pPr>
            <w:r>
              <w:rPr>
                <w:rFonts w:ascii="Times New Roman" w:hAnsi="Times New Roman" w:eastAsia="SimSun"/>
                <w:sz w:val="21"/>
              </w:rPr>
              <w:t>批量与滑窗漂移跟踪对比</w:t>
            </w:r>
          </w:p>
        </w:tc>
        <w:tc>
          <w:p w14:paraId="0878B93F">
            <w:pPr>
              <w:pStyle w:val="24"/>
              <w:spacing w:after="40"/>
              <w:jc w:val="left"/>
            </w:pPr>
            <w:r>
              <w:rPr>
                <w:rFonts w:ascii="Times New Roman" w:hAnsi="Times New Roman" w:eastAsia="SimSun"/>
                <w:sz w:val="21"/>
              </w:rPr>
              <w:t>人为注入的时变角度偏置速率</w:t>
            </w:r>
          </w:p>
        </w:tc>
        <w:tc>
          <w:p w14:paraId="35797558">
            <w:pPr>
              <w:pStyle w:val="24"/>
              <w:spacing w:after="40"/>
              <w:jc w:val="left"/>
            </w:pPr>
            <w:r>
              <w:rPr>
                <w:rFonts w:ascii="Times New Roman" w:hAnsi="Times New Roman" w:eastAsia="SimSun"/>
                <w:sz w:val="21"/>
              </w:rPr>
              <w:t>跟踪滞后、稳态误差</w:t>
            </w:r>
          </w:p>
        </w:tc>
        <w:tc>
          <w:p w14:paraId="151CD0E3">
            <w:pPr>
              <w:pStyle w:val="24"/>
              <w:spacing w:after="40"/>
              <w:jc w:val="left"/>
            </w:pPr>
            <w:r>
              <w:rPr>
                <w:rFonts w:ascii="Times New Roman" w:hAnsi="Times New Roman" w:eastAsia="SimSun"/>
                <w:sz w:val="21"/>
              </w:rPr>
              <w:t>定量对比两类方法的跟踪能力</w:t>
            </w:r>
          </w:p>
        </w:tc>
      </w:tr>
      <w:tr w14:paraId="578E7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4360CFA">
            <w:pPr>
              <w:pStyle w:val="24"/>
              <w:spacing w:after="40"/>
              <w:jc w:val="left"/>
            </w:pPr>
            <w:r>
              <w:rPr>
                <w:rFonts w:ascii="Times New Roman" w:hAnsi="Times New Roman" w:eastAsia="SimSun"/>
                <w:sz w:val="21"/>
              </w:rPr>
              <w:t>参数敏感性扫描</w:t>
            </w:r>
          </w:p>
        </w:tc>
        <w:tc>
          <w:p w14:paraId="1F80A3D2">
            <w:pPr>
              <w:pStyle w:val="24"/>
              <w:spacing w:after="40"/>
              <w:jc w:val="left"/>
            </w:pPr>
            <m:oMath>
              <m:r>
                <m:rPr/>
                <m:t>W</m:t>
              </m:r>
            </m:oMath>
            <w:r>
              <w:rPr>
                <w:rFonts w:ascii="Times New Roman" w:hAnsi="Times New Roman" w:eastAsia="SimSun"/>
                <w:sz w:val="21"/>
              </w:rPr>
              <w:t>、</w:t>
            </w:r>
            <m:oMath>
              <m:sSub>
                <m:sSubPr/>
                <m:e>
                  <m:r>
                    <m:rPr/>
                    <m:t>d</m:t>
                  </m:r>
                </m:e>
                <m:sub>
                  <m:r>
                    <m:rPr/>
                    <m:t>min</m:t>
                  </m:r>
                </m:sub>
              </m:sSub>
            </m:oMath>
          </w:p>
        </w:tc>
        <w:tc>
          <w:p w14:paraId="56899F5B">
            <w:pPr>
              <w:pStyle w:val="24"/>
              <w:spacing w:after="40"/>
              <w:jc w:val="left"/>
            </w:pPr>
            <w:r>
              <w:rPr>
                <w:rFonts w:ascii="Times New Roman" w:hAnsi="Times New Roman" w:eastAsia="SimSun"/>
                <w:sz w:val="21"/>
              </w:rPr>
              <w:t>收敛速度、稳态方差</w:t>
            </w:r>
          </w:p>
        </w:tc>
        <w:tc>
          <w:p w14:paraId="769B9C2F">
            <w:pPr>
              <w:pStyle w:val="24"/>
              <w:spacing w:after="40"/>
              <w:jc w:val="left"/>
            </w:pPr>
            <w:r>
              <w:rPr>
                <w:rFonts w:ascii="Times New Roman" w:hAnsi="Times New Roman" w:eastAsia="SimSun"/>
                <w:sz w:val="21"/>
              </w:rPr>
              <w:t>验证式(13)理论预测</w:t>
            </w:r>
          </w:p>
        </w:tc>
      </w:tr>
      <w:tr w14:paraId="06A30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p w14:paraId="51B26377">
            <w:pPr>
              <w:pStyle w:val="24"/>
              <w:spacing w:after="40"/>
              <w:jc w:val="left"/>
            </w:pPr>
            <w:r>
              <w:rPr>
                <w:rFonts w:ascii="Times New Roman" w:hAnsi="Times New Roman" w:eastAsia="SimSun"/>
                <w:sz w:val="21"/>
              </w:rPr>
              <w:t>读取端修复验证</w:t>
            </w:r>
          </w:p>
        </w:tc>
        <w:tc>
          <w:p w14:paraId="0B4AB94D">
            <w:pPr>
              <w:pStyle w:val="24"/>
              <w:spacing w:after="40"/>
              <w:jc w:val="left"/>
            </w:pPr>
            <w:r>
              <w:rPr>
                <w:rFonts w:ascii="Times New Roman" w:hAnsi="Times New Roman" w:eastAsia="SimSun"/>
                <w:sz w:val="21"/>
              </w:rPr>
              <w:t>修复前/后</w:t>
            </w:r>
          </w:p>
        </w:tc>
        <w:tc>
          <w:p w14:paraId="5531261C">
            <w:pPr>
              <w:pStyle w:val="24"/>
              <w:spacing w:after="40"/>
              <w:jc w:val="left"/>
            </w:pPr>
            <w:r>
              <w:rPr>
                <w:rFonts w:ascii="Times New Roman" w:hAnsi="Times New Roman" w:eastAsia="SimSun"/>
                <w:sz w:val="21"/>
              </w:rPr>
              <w:t>第3.2节对穿测试落点误差</w:t>
            </w:r>
          </w:p>
        </w:tc>
        <w:tc>
          <w:p w14:paraId="75604AC7">
            <w:pPr>
              <w:pStyle w:val="24"/>
              <w:spacing w:after="40"/>
              <w:jc w:val="left"/>
            </w:pPr>
            <w:r>
              <w:rPr>
                <w:rFonts w:ascii="Times New Roman" w:hAnsi="Times New Roman" w:eastAsia="SimSun"/>
                <w:sz w:val="21"/>
              </w:rPr>
              <w:t>验证第3.2节修复方案效果</w:t>
            </w:r>
          </w:p>
        </w:tc>
      </w:tr>
      <w:tr w14:paraId="0394F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77808AEC">
            <w:pPr>
              <w:pStyle w:val="24"/>
              <w:spacing w:after="40"/>
              <w:jc w:val="left"/>
            </w:pPr>
            <w:r>
              <w:rPr>
                <w:rFonts w:ascii="Times New Roman" w:hAnsi="Times New Roman" w:eastAsia="SimSun"/>
                <w:sz w:val="21"/>
              </w:rPr>
              <w:t>抗差扩展验证</w:t>
            </w:r>
          </w:p>
        </w:tc>
        <w:tc>
          <w:p w14:paraId="65C5292D">
            <w:pPr>
              <w:pStyle w:val="24"/>
              <w:spacing w:after="40"/>
              <w:jc w:val="left"/>
            </w:pPr>
            <w:r>
              <w:rPr>
                <w:rFonts w:ascii="Times New Roman" w:hAnsi="Times New Roman" w:eastAsia="SimSun"/>
                <w:sz w:val="21"/>
              </w:rPr>
              <w:t>注入野值比例/幅度</w:t>
            </w:r>
          </w:p>
        </w:tc>
        <w:tc>
          <w:p w14:paraId="44C892CB">
            <w:pPr>
              <w:pStyle w:val="24"/>
              <w:spacing w:after="40"/>
              <w:jc w:val="left"/>
            </w:pPr>
            <w:r>
              <w:rPr>
                <w:rFonts w:ascii="Times New Roman" w:hAnsi="Times New Roman" w:eastAsia="SimSun"/>
                <w:sz w:val="21"/>
              </w:rPr>
              <w:t>加权前后</w:t>
            </w:r>
            <m:oMath>
              <m:sSup>
                <m:sSupPr/>
                <m:e>
                  <m:r>
                    <m:rPr/>
                    <m:t>θ</m:t>
                  </m:r>
                </m:e>
                <m:sup>
                  <m:r>
                    <m:rPr>
                      <m:sty m:val="p"/>
                    </m:rPr>
                    <m:t>∗</m:t>
                  </m:r>
                </m:sup>
              </m:sSup>
            </m:oMath>
            <w:r>
              <w:rPr>
                <w:rFonts w:ascii="Times New Roman" w:hAnsi="Times New Roman" w:eastAsia="SimSun"/>
                <w:sz w:val="21"/>
              </w:rPr>
              <w:t>误差</w:t>
            </w:r>
          </w:p>
        </w:tc>
        <w:tc>
          <w:p w14:paraId="69704751">
            <w:pPr>
              <w:pStyle w:val="24"/>
              <w:spacing w:after="40"/>
              <w:jc w:val="left"/>
            </w:pPr>
            <w:r>
              <w:rPr>
                <w:rFonts w:ascii="Times New Roman" w:hAnsi="Times New Roman" w:eastAsia="SimSun"/>
                <w:sz w:val="21"/>
              </w:rPr>
              <w:t>验证式(16)–(18)鲁棒性提升</w:t>
            </w:r>
          </w:p>
        </w:tc>
      </w:tr>
      <w:bookmarkEnd w:id="16"/>
      <w:bookmarkEnd w:id="20"/>
    </w:tbl>
    <w:p w14:paraId="1D1EB0D0">
      <w:pPr>
        <w:pStyle w:val="4"/>
      </w:pPr>
      <w:bookmarkStart w:id="21" w:name="讨论"/>
      <w:r>
        <w:t>5 讨论</w:t>
      </w:r>
    </w:p>
    <w:p w14:paraId="190222C8">
      <w:pPr>
        <w:pStyle w:val="23"/>
      </w:pPr>
      <w:r>
        <w:t>由式(13)(15)，估计量</w:t>
      </w:r>
      <m:oMath>
        <m:acc>
          <m:accPr/>
          <m:e>
            <m:r>
              <m:rPr/>
              <m:t>θ</m:t>
            </m:r>
          </m:e>
        </m:acc>
      </m:oMath>
      <w:r>
        <w:t>的方差仅取决于滑窗内累积的位移能量</w:t>
      </w:r>
      <m:oMath>
        <m:nary>
          <m:naryPr>
            <m:chr m:val="∑"/>
            <m:limLoc m:val="undOvr"/>
            <m:supHide m:val="1"/>
          </m:naryPr>
          <m:sub>
            <m:r>
              <m:rPr/>
              <m:t>i</m:t>
            </m:r>
          </m:sub>
          <m:sup>
            <m:r>
              <m:rPr/>
              <m:t>​</m:t>
            </m:r>
          </m:sup>
          <m:e>
            <m:sSubSup>
              <m:sSubSupPr/>
              <m:e>
                <m:r>
                  <m:rPr/>
                  <m:t>d</m:t>
                </m:r>
              </m:e>
              <m:sub>
                <m:r>
                  <m:rPr/>
                  <m:t>i</m:t>
                </m:r>
              </m:sub>
              <m:sup>
                <m:r>
                  <m:rPr/>
                  <m:t>2</m:t>
                </m:r>
              </m:sup>
            </m:sSubSup>
          </m:e>
        </m:nary>
      </m:oMath>
      <w:r>
        <w:t>，与各段位移方向无关，单一方向、足够长的位移序列同样可使方差收敛，方向多样性并非纯噪声情形下的必要条件。但若局部里程计存在方向相关的系统性偏置，单一方向的位移段无法将该偏置与真实旋转角区分开，此时需要方向多样性才能打破二者的混淆。工程实践中可通过设计包含往返或多方向路径的标定动作主动引入方向多样性。这一区分与Shin等[5]在机间相对位姿估计问题中独立给出的可观测性条件（两机器人均需非零线速度）在方法论上相通，说明运动状态的充分激励决定参数可辨识性是这类问题的共同数学根源。</w:t>
      </w:r>
    </w:p>
    <w:p w14:paraId="0A95B219">
      <w:pPr>
        <w:pStyle w:val="3"/>
      </w:pPr>
      <w:r>
        <w:t>本文方法要求存在至少一个能提供全局绝对位置观测的源，不适用于仅有机器人间相对测距的场景。方法不解决局部里程计本身的精度问题，也不解决绝对观测源的获取问题。</w:t>
      </w:r>
    </w:p>
    <w:p w14:paraId="015C184D">
      <w:pPr>
        <w:pStyle w:val="3"/>
      </w:pPr>
      <w:r>
        <w:t>本文方法是另一项工作提出的容器化机器人软件集成一致性分类框架中空间一致性维度下的一个具体方法产出；3.2节讨论的持续查询原则也可视为该框架通信一致性维度的一个例证。</w:t>
      </w:r>
    </w:p>
    <w:bookmarkEnd w:id="21"/>
    <w:p w14:paraId="13866738">
      <w:pPr>
        <w:pStyle w:val="4"/>
      </w:pPr>
      <w:bookmarkStart w:id="22" w:name="结论"/>
      <w:r>
        <w:t>6 结论</w:t>
      </w:r>
    </w:p>
    <w:p w14:paraId="77B1C04D">
      <w:pPr>
        <w:pStyle w:val="5"/>
      </w:pPr>
      <w:bookmarkStart w:id="23" w:name="主要结论"/>
      <w:r>
        <w:t>6.1 主要结论</w:t>
      </w:r>
    </w:p>
    <w:p w14:paraId="33BBCE39">
      <w:pPr>
        <w:pStyle w:val="23"/>
      </w:pPr>
      <w:r>
        <w:t>本文将局部-全局坐标系在线对齐问题归约为Horn/Umeyama轨迹对齐方法在二维仅航向角自由度下的退化情形，给出闭式解并证明其达到Cramér-Rao下界，设计了应对UWB多径观测野值的抗差扩展；报告并修复两类工程鲁棒性缺陷；通过定量预测识别并验证了一个架构层面的时序问题；在真实硬件平台验证了方法族的泛化能力。核心估计器独立作用于单个智能体，多机器人协同是本文的验证场景而非方法的必要前提。</w:t>
      </w:r>
    </w:p>
    <w:bookmarkEnd w:id="23"/>
    <w:p w14:paraId="3CC561B1">
      <w:pPr>
        <w:pStyle w:val="5"/>
      </w:pPr>
      <w:bookmarkStart w:id="24" w:name="局限"/>
      <w:r>
        <w:t>6.2 局限</w:t>
      </w:r>
    </w:p>
    <w:p w14:paraId="5940DFB2">
      <w:pPr>
        <w:pStyle w:val="23"/>
      </w:pPr>
      <w:r>
        <w:t>第4.4节所列的定量实验、第3.2节提出的修复方案尚待完成与实施验证，第5节关于系统性偏置对可观测性影响的讨论仅有定性论证。此外，2.4节证明的偏置免疫性仅针对标定窗口内保持恒定的全局偏置，且只保证旋转分量精确无偏，平移分量仍会原样继承偏置。若绝对观测中的系统性偏置随时间或空间变化（例如信号传播环境随机器人位置改变），差分结构不再能够将其消去，旋转估计也会被污染：</w:t>
      </w:r>
      <m:oMath>
        <m:sSup>
          <m:sSupPr/>
          <m:e>
            <m:r>
              <m:rPr/>
              <m:t>θ</m:t>
            </m:r>
          </m:e>
          <m:sup>
            <m:r>
              <m:rPr>
                <m:sty m:val="p"/>
              </m:rPr>
              <m:t>∗</m:t>
            </m:r>
          </m:sup>
        </m:sSup>
      </m:oMath>
      <w:r>
        <w:t>的偏差同时混入真实航向变化与偏置本身的变化，在不引入额外独立信息源的前提下，仅凭这一个有偏观测源无法将二者区分开，这是一个尚未解决的可辨识性问题，留作后续工作。</w:t>
      </w:r>
    </w:p>
    <w:bookmarkEnd w:id="22"/>
    <w:bookmarkEnd w:id="24"/>
    <w:p w14:paraId="49D68B8A">
      <w:pPr>
        <w:pStyle w:val="4"/>
      </w:pPr>
      <w:bookmarkStart w:id="25" w:name="参考文献"/>
      <w:r>
        <w:t>参考文献</w:t>
      </w:r>
    </w:p>
    <w:p w14:paraId="544AA488">
      <w:pPr>
        <w:pStyle w:val="23"/>
      </w:pPr>
      <w:r>
        <w:t>[1] NAGAVALLI S, LYBARGER N, LUO L, et al. Aligning coordinate frames in multi-robot systems with relative sensing information[C]//2014 IEEE/RSJ International Conference on Intelligent Robots and Systems. IEEE, 2014: 1141-1148.</w:t>
      </w:r>
    </w:p>
    <w:p w14:paraId="3DF44608">
      <w:pPr>
        <w:pStyle w:val="3"/>
      </w:pPr>
      <w:r>
        <w:t>[2] 邓忠元, 刘冉, 曹志强, 等. 基于单UWB融合里程计的多机器人相对定位方法[J]. 计算机应用研究, 2023, 40(3): 839-844.</w:t>
      </w:r>
    </w:p>
    <w:p w14:paraId="592A2333">
      <w:pPr>
        <w:pStyle w:val="3"/>
      </w:pPr>
      <w:r>
        <w:t>[3] 刘冉, 陈凯翔, 肖宇峰, 等. 一种融合里程计与UWB的多机器人协作定位方法: CN112833876B[P]. 2022-02-11.</w:t>
      </w:r>
    </w:p>
    <w:p w14:paraId="115B257C">
      <w:pPr>
        <w:pStyle w:val="3"/>
      </w:pPr>
      <w:r>
        <w:t>[4] 基于超宽带阵列与里程计的多机器人相对定位[J]. 电子与信息学报, DOI: 10.11999/JEIT210812.</w:t>
      </w:r>
    </w:p>
    <w:p w14:paraId="475718C4">
      <w:pPr>
        <w:pStyle w:val="3"/>
      </w:pPr>
      <w:r>
        <w:t>[5] SHIN G, SIM H, NAM S, et al. Multi-robot relative pose estimation in SE(2) with observability analysis: a comparison of extended Kalman filtering and robust pose graph optimization[J]. IEEE Transactions on Robotics, 2024. arXiv:2401.15313.</w:t>
      </w:r>
    </w:p>
    <w:p w14:paraId="0E6D483B">
      <w:pPr>
        <w:pStyle w:val="3"/>
      </w:pPr>
      <w:r>
        <w:t>[6] Coordinate-consistent localization via continuous-time calibration and fusion of UWB and SLAM observations[EB/OL]. arXiv:2510.05992, 2025.</w:t>
      </w:r>
    </w:p>
    <w:p w14:paraId="08AD8A03">
      <w:pPr>
        <w:pStyle w:val="3"/>
      </w:pPr>
      <w:r>
        <w:t>[7] Autocalibration of a mobile UWB localization system for ad-hoc multi-robot deployments in GNSS-denied environments[EB/OL]. arXiv:2004.06762, 2020.</w:t>
      </w:r>
    </w:p>
    <w:p w14:paraId="154088A4">
      <w:pPr>
        <w:pStyle w:val="3"/>
      </w:pPr>
      <w:r>
        <w:t>[8] HORN B K P. Closed-form solution of absolute orientation using unit quaternions[J]. Journal of the Optical Society of America A, 1987, 4(4): 629-642.</w:t>
      </w:r>
    </w:p>
    <w:p w14:paraId="1662A1CD">
      <w:pPr>
        <w:pStyle w:val="3"/>
      </w:pPr>
      <w:r>
        <w:t>[9] UMEYAMA S. Least-squares estimation of transformation parameters between two point patterns[J]. IEEE Transactions on Pattern Analysis and Machine Intelligence, 1991, 13(4): 376-380.</w:t>
      </w:r>
    </w:p>
    <w:p w14:paraId="0BABEA56">
      <w:pPr>
        <w:pStyle w:val="3"/>
      </w:pPr>
      <w:r>
        <w:t>[10] WAHBA G. A least squares estimate of satellite attitude[J]. SIAM Review, 1965, 7(3): 409.</w:t>
      </w:r>
    </w:p>
    <w:p w14:paraId="26104F09">
      <w:pPr>
        <w:pStyle w:val="3"/>
      </w:pPr>
      <w:r>
        <w:t>[11] KAY S M. Fundamentals of statistical signal processing: estimation theory[M]. Englewood Cliffs, NJ: Prentice Hall, 1993.</w:t>
      </w:r>
    </w:p>
    <w:p w14:paraId="44089318">
      <w:pPr>
        <w:pStyle w:val="3"/>
      </w:pPr>
      <w:r>
        <w:t>[12] HUBER P J. Robust estimation of a location parameter[J]. The Annals of Mathematical Statistics, 1964, 35(1): 73-101.</w:t>
      </w:r>
    </w:p>
    <w:bookmarkEnd w:id="25"/>
    <w:sectPr>
      <w:pgMar w:top="1440" w:right="1803" w:bottom="1440" w:left="180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SimSun">
    <w:altName w:val="文泉驿微米黑"/>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SimHei">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Cambria">
    <w:altName w:val="FreeSerif"/>
    <w:panose1 w:val="02040503050406030204"/>
    <w:charset w:val="86"/>
    <w:family w:val="auto"/>
    <w:pitch w:val="default"/>
    <w:sig w:usb0="00000000" w:usb1="00000000" w:usb2="00000000" w:usb3="00000000" w:csb0="00000001" w:csb1="00000000"/>
  </w:font>
  <w:font w:name="FreeSerif">
    <w:panose1 w:val="02020603050405020304"/>
    <w:charset w:val="00"/>
    <w:family w:val="auto"/>
    <w:pitch w:val="default"/>
    <w:sig w:usb0="E5DFAFFF" w:usb1="C240FDFF" w:usb2="4B541B29" w:usb3="0400004B" w:csb0="600101FF" w:csb1="FFFF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imHei">
    <w:altName w:val="文泉驿微米黑"/>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Microsoft YaHei">
    <w:altName w:val="文泉驿微米黑"/>
    <w:panose1 w:val="00000000000000000000"/>
    <w:charset w:val="00"/>
    <w:family w:val="auto"/>
    <w:pitch w:val="default"/>
    <w:sig w:usb0="00000000" w:usb1="00000000" w:usb2="00000000" w:usb3="00000000" w:csb0="00000000" w:csb1="00000000"/>
  </w:font>
  <w:font w:name="Tahoma">
    <w:altName w:val="noto sans thai"/>
    <w:panose1 w:val="00000000000000000000"/>
    <w:charset w:val="00"/>
    <w:family w:val="auto"/>
    <w:pitch w:val="default"/>
    <w:sig w:usb0="00000000" w:usb1="00000000" w:usb2="00000000" w:usb3="00000000" w:csb0="00000000" w:csb1="00000000"/>
  </w:font>
  <w:font w:name="noto sans thai">
    <w:panose1 w:val="020B0502040504020204"/>
    <w:charset w:val="00"/>
    <w:family w:val="auto"/>
    <w:pitch w:val="default"/>
    <w:sig w:usb0="81000063" w:usb1="00002000" w:usb2="00000000" w:usb3="00000000" w:csb0="0001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7FA5F8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SimSun"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rPr>
      <w:rFonts w:ascii="Times New Roman" w:hAnsi="Times New Roman" w:eastAsia="SimSun"/>
      <w:sz w:val="24"/>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imes New Roman" w:hAnsi="Times New Roman" w:eastAsia="SimSun"/>
      <w:sz w:val="24"/>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rPr>
      <w:rFonts w:ascii="Times New Roman" w:hAnsi="Times New Roman" w:eastAsia="SimSun"/>
      <w:sz w:val="24"/>
    </w:rPr>
  </w:style>
  <w:style w:type="paragraph" w:customStyle="1" w:styleId="24">
    <w:name w:val="Compact"/>
    <w:basedOn w:val="3"/>
    <w:qFormat/>
    <w:uiPriority w:val="0"/>
    <w:pPr>
      <w:spacing w:before="36" w:after="36"/>
    </w:pPr>
    <w:rPr>
      <w:rFonts w:ascii="Times New Roman" w:hAnsi="Times New Roman" w:eastAsia="SimSun"/>
      <w:sz w:val="24"/>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83</Words>
  <Characters>475</Characters>
  <Lines>12</Lines>
  <Paragraphs>8</Paragraphs>
  <TotalTime>16</TotalTime>
  <ScaleCrop>false</ScaleCrop>
  <LinksUpToDate>false</LinksUpToDate>
  <CharactersWithSpaces>583</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2026-08-21T16:23:00Z</dcterms:created>
  <dc:creator>机器人</dc:creator>
  <cp:lastModifiedBy>机器人</cp:lastModifiedBy>
  <dcterms:modified xsi:type="dcterms:W3CDTF">2026-08-21T19:51:48Z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2052-12.1.2.26885</vt:lpwstr>
  </property>
  <property fmtid="{D5CDD505-2E9C-101B-9397-08002B2CF9AE}" pid="3" name="ICV">
    <vt:lpwstr>C74742C13C5B74D2D43B886A71EA28A3_42</vt:lpwstr>
  </property>
</Properties>
</file>