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ACE-LoRA: Graph-Attentive Context Enhancement for Parameter-Efficient Adaptation of Medical Vision-Language Models</w:t>
      </w:r>
    </w:p>
    <w:p>
      <w:r>
        <w:rPr>
          <w:color w:val="666666"/>
          <w:sz w:val="16"/>
        </w:rPr>
        <w:t>M. Arda Aydın, Melih B. Yilmaz, Aykut Koç, Tolga Çukur</w:t>
      </w:r>
    </w:p>
    <w:p>
      <w:r>
        <w:rPr>
          <w:color w:val="0563C1"/>
          <w:sz w:val="16"/>
          <w:u w:val="single"/>
        </w:rPr>
        <w:t>https://arxiv.org/abs/2603.17079</w:t>
      </w:r>
    </w:p>
    <w:p>
      <w:pPr>
        <w:pStyle w:val="Heading2"/>
      </w:pPr>
      <w:r>
        <w:t>Research Questions</w:t>
      </w:r>
    </w:p>
    <w:p>
      <w:pPr>
        <w:pStyle w:val="ListBullet"/>
      </w:pPr>
      <w:r>
        <w:t>How can we bridge the specialization-generalization trade-off in medical vision-language models to capture fine-grained diagnostic cues while maintaining robust zero-shot generalization?</w:t>
      </w:r>
    </w:p>
    <w:p>
      <w:pPr>
        <w:pStyle w:val="ListBullet"/>
      </w:pPr>
      <w:r>
        <w:t>How can hypergraph neural networks capture higher-order contextual interactions beyond pairwise attention to improve medical image-text alignment?</w:t>
      </w:r>
    </w:p>
    <w:p>
      <w:pPr>
        <w:pStyle w:val="ListBullet"/>
      </w:pPr>
      <w:r>
        <w:t>How can we mitigate false negatives in medical contrastive learning where distinct samples may share identical clinical semantics?</w:t>
      </w:r>
    </w:p>
    <w:p>
      <w:pPr>
        <w:pStyle w:val="Heading2"/>
      </w:pPr>
      <w:r>
        <w:t>Core Idea</w:t>
      </w:r>
    </w:p>
    <w:p>
      <w:r>
        <w:t>Medical VLMs face a fundamental trade-off: specialist models capture diagnostic details but generalize poorly, while generalist models retain broad semantics but lose fine-grained cues. ACE-LoRA addresses this by parameter-efficiently adapting generalist models using LoRA plus a novel hypergraph module (ACE-HGNN) that captures higher-order interactions among image patches and text tokens beyond simple pairwise attention. The key insight is that medical diagnosis requires understanding structured relationships among groups of visual/textual elements, not just global features. A label-guided InfoNCE loss prevents the model from pushing apart semantically similar medical samples during contrastive learning.</w:t>
      </w:r>
    </w:p>
    <w:p>
      <w:pPr>
        <w:pStyle w:val="Heading2"/>
      </w:pPr>
      <w:r>
        <w:t>Key Formula</w:t>
      </w:r>
    </w:p>
    <w:p>
      <w:r>
        <w:rPr>
          <w:b/>
          <w:sz w:val="20"/>
        </w:rPr>
        <w:t>Hypergraph incidence matrix construction</w:t>
      </w:r>
    </w:p>
    <w:p>
      <w:pPr>
        <w:jc w:val="center"/>
      </w:pPr>
      <m:oMath>
        <m:box>
          <m:e>
            <m:sSub>
              <m:e>
                <m:r>
                  <m:rPr>
                    <m:sty m:val="i"/>
                  </m:rPr>
                  <m:t>𝐇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j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e>
                            <m:e>
                              <m:box>
                                <m:e>
                                  <m:r>
                                    <m:rPr>
                                      <m:nor/>
                                    </m:rPr>
                                    <m:t>if </m:t>
                                  </m:r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i"/>
                                    </m:rPr>
                                    <m:t>j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exp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(</m:t>
                                          </m:r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𝐒</m:t>
                                              </m:r>
                                            </m:e>
                                            <m:sub>
                                              <m:box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m:t>i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,</m:t>
                                                  </m:r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m:t>j</m:t>
                                                  </m:r>
                                                </m:e>
                                              </m:box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)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nary>
                                            <m:naryPr>
                                              <m:chr m:val="∑"/>
                                              <m:limLoc m:val="undOvr"/>
                                            </m:naryPr>
                                            <m:sub>
                                              <m:box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m:t>k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∈</m:t>
                                                  </m:r>
                                                  <m:sSub>
                                                    <m:e>
                                                      <m:r>
                                                        <m:rPr>
                                                          <m:sty m:val="i"/>
                                                        </m:rPr>
                                                        <m:t>Ω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i"/>
                                                        </m:rPr>
                                                        <m:t>i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box>
                                            </m:sub>
                                            <m:sup/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exp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(</m:t>
                                              </m:r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m:t>𝐒</m:t>
                                                  </m:r>
                                                </m:e>
                                                <m:sub>
                                                  <m:box>
                                                    <m:e>
                                                      <m:r>
                                                        <m:rPr>
                                                          <m:sty m:val="i"/>
                                                        </m:rPr>
                                                        <m:t>i</m:t>
                                                      </m:r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m:t>,</m:t>
                                                      </m:r>
                                                      <m:r>
                                                        <m:rPr>
                                                          <m:sty m:val="i"/>
                                                        </m:rPr>
                                                        <m:t>k</m:t>
                                                      </m:r>
                                                    </m:e>
                                                  </m:box>
                                                </m:sub>
                                              </m:s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)</m:t>
                                              </m:r>
                                            </m:e>
                                          </m:nary>
                                        </m:e>
                                      </m:box>
                                    </m:den>
                                  </m:f>
                                </m:e>
                              </m:box>
                            </m:e>
                            <m:e>
                              <m:box>
                                <m:e>
                                  <m:r>
                                    <m:rPr>
                                      <m:nor/>
                                    </m:rPr>
                                    <m:t>if </m:t>
                                  </m:r>
                                  <m:r>
                                    <m:rPr>
                                      <m:sty m:val="i"/>
                                    </m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∈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nor/>
                                    </m:rPr>
                                    <m:t> and </m:t>
                                  </m:r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≠</m:t>
                                  </m:r>
                                  <m:r>
                                    <m:rPr>
                                      <m:sty m:val="i"/>
                                    </m:rPr>
                                    <m:t>j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</m:e>
                              </m:box>
                            </m:e>
                            <m:e>
                              <m:box>
                                <m:e>
                                  <m:r>
                                    <m:rPr>
                                      <m:nor/>
                                    </m:rPr>
                                    <m:t>otherwise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</w:p>
    <w:p>
      <w:r>
        <w:rPr>
          <w:sz w:val="18"/>
        </w:rPr>
        <w:t>H is the incidence matrix, S is the raw affinity matrix, Ω_i is the top-k neighbors for node i. This constructs hyperedges by selecting top-k similar tokens and applying softmax normalization while preserving self-connections. Critical for capturing higher-order token relationships in medical images.</w:t>
      </w:r>
    </w:p>
    <w:p>
      <w:r>
        <w:rPr>
          <w:b/>
          <w:sz w:val="20"/>
        </w:rPr>
        <w:t>Label-guided InfoNCE loss</w:t>
      </w:r>
    </w:p>
    <w:p>
      <w:pPr>
        <w:jc w:val="center"/>
      </w:pPr>
      <m:oMath>
        <m:box>
          <m:e>
            <m:r>
              <m:rPr>
                <m:sty m:val="i"/>
              </m:rPr>
              <m:t>ℒ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sup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exp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⟨</m:t>
                                    </m:r>
                                    <m:sSubSup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  <m:sup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′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(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)</m:t>
                                            </m:r>
                                          </m:e>
                                        </m:box>
                                      </m:sup>
                                    </m:sSubSup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sSubSup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  <m:sup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′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(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)</m:t>
                                            </m:r>
                                          </m:e>
                                        </m:box>
                                      </m:sup>
                                    </m:sSubSup>
                                    <m:r>
                                      <m:rPr>
                                        <m:sty m:val="i"/>
                                      </m:rPr>
                                      <m:t>⟩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/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τ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nary>
                                      <m:naryPr>
                                        <m:chr m:val="∑"/>
                                        <m:limLoc m:val="undOvr"/>
                                      </m:naryPr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=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1</m:t>
                                            </m:r>
                                          </m:e>
                                        </m:box>
                                      </m:sub>
                                      <m:sup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B</m:t>
                                            </m:r>
                                          </m:e>
                                        </m:box>
                                      </m:sup>
                                      <m:e>
                                        <m:sSub>
                                          <m:e>
                                            <m:box>
                                              <m:e>
                                                <m:r>
                                                  <m:rPr>
                                                    <m:scr m:val="double-struck"/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e>
                                          <m:sub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,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k</m:t>
                                                </m:r>
                                              </m:e>
                                            </m:box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exp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⟨</m:t>
                                        </m:r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0</m:t>
                                            </m:r>
                                          </m:sub>
                                          <m:sup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′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(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)</m:t>
                                                </m:r>
                                              </m:e>
                                            </m:box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0</m:t>
                                            </m:r>
                                          </m:sub>
                                          <m:sup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′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(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k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)</m:t>
                                                </m:r>
                                              </m:e>
                                            </m:box>
                                          </m:sup>
                                        </m:sSubSup>
                                        <m:r>
                                          <m:rPr>
                                            <m:sty m:val="i"/>
                                          </m:rPr>
                                          <m:t>⟩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/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τ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</m:e>
                                    </m:nary>
                                  </m:e>
                                </m:box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nary>
                              <m:naryPr>
                                <m:chr m:val="∑"/>
                                <m:limLoc m:val="undOvr"/>
                              </m:naryPr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sub>
                              <m:sup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</m:e>
                                </m:box>
                              </m:sup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f>
                                  <m:num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exp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⟨</m:t>
                                        </m:r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0</m:t>
                                            </m:r>
                                          </m:sub>
                                          <m:sup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′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(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)</m:t>
                                                </m:r>
                                              </m:e>
                                            </m:box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0</m:t>
                                            </m:r>
                                          </m:sub>
                                          <m:sup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′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(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)</m:t>
                                                </m:r>
                                              </m:e>
                                            </m:box>
                                          </m:sup>
                                        </m:sSubSup>
                                        <m:r>
                                          <m:rPr>
                                            <m:sty m:val="i"/>
                                          </m:rPr>
                                          <m:t>⟩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/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τ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nary>
                                          <m:naryPr>
                                            <m:chr m:val="∑"/>
                                            <m:limLoc m:val="undOvr"/>
                                          </m:naryPr>
                                          <m:sub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k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=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sub>
                                          <m:sup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B</m:t>
                                                </m:r>
                                              </m:e>
                                            </m:box>
                                          </m:sup>
                                          <m:e>
                                            <m:sSub>
                                              <m:e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cr m:val="double-struck"/>
                                                        <m:sty m:val="p"/>
                                                      </m:rPr>
                                                      <m:t>1</m:t>
                                                    </m:r>
                                                  </m:e>
                                                </m:box>
                                              </m:e>
                                              <m:sub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i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,</m:t>
                                                    </m:r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k</m:t>
                                                    </m:r>
                                                  </m:e>
                                                </m:box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exp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(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⟨</m:t>
                                            </m:r>
                                            <m:sSubSup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t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0</m:t>
                                                </m:r>
                                              </m:sub>
                                              <m:sup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′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(</m:t>
                                                    </m:r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i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)</m:t>
                                                    </m:r>
                                                  </m:e>
                                                </m:box>
                                              </m:sup>
                                            </m:sSubSup>
                                            <m:r>
                                              <m:rPr>
                                                <m:sty m:val="p"/>
                                              </m:rPr>
                                              <m:t>,</m:t>
                                            </m:r>
                                            <m:sSubSup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0</m:t>
                                                </m:r>
                                              </m:sub>
                                              <m:sup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′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(</m:t>
                                                    </m:r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k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m:t>)</m:t>
                                                    </m:r>
                                                  </m:e>
                                                </m:box>
                                              </m:sup>
                                            </m:sSubSup>
                                            <m:r>
                                              <m:rPr>
                                                <m:sty m:val="i"/>
                                              </m:rPr>
                                              <m:t>⟩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/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τ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)</m:t>
                                            </m:r>
                                          </m:e>
                                        </m:nary>
                                      </m:e>
                                    </m:box>
                                  </m:den>
                                </m:f>
                              </m:e>
                            </m:nary>
                          </m:e>
                        </m:nary>
                      </m:e>
                    </m:box>
                  </m:e>
                </m:d>
              </m:e>
            </m:box>
          </m:e>
        </m:box>
      </m:oMath>
    </w:p>
    <w:p>
      <w:r>
        <w:rPr>
          <w:sz w:val="18"/>
        </w:rPr>
        <w:t>v'_0 and t'_0 are refined global embeddings, τ is temperature, 𝟙_{i,k} is indicator function that equals 1 when disease labels differ or i=k, 0 otherwise. This prevents falsely pushing apart semantically similar medical samples during contrastive learning by excluding same-label pairs from negative samples.</w:t>
      </w:r>
    </w:p>
    <w:p>
      <w:pPr>
        <w:pStyle w:val="Heading2"/>
      </w:pPr>
      <w:r>
        <w:t>Key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16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 xml:space="preserve">Figure 1: </w:t>
      </w:r>
      <w:r>
        <w:rPr>
          <w:color w:val="444444"/>
          <w:sz w:val="18"/>
        </w:rPr>
        <w:t>Shows the complete ACE-LoRA architecture with LoRA integration, ACE-HGNN hypergraph construction for local-global context modeling, and label-guided InfoNCE loss.</w:t>
      </w:r>
    </w:p>
    <w:p>
      <w:pPr>
        <w:pStyle w:val="Heading2"/>
      </w:pPr>
      <w:r>
        <w:t>Limitations</w:t>
      </w:r>
    </w:p>
    <w:p>
      <w:pPr>
        <w:pStyle w:val="ListBullet"/>
      </w:pPr>
      <w:r>
        <w:t>Relies on CheXpert labeler for extracting disease labels, limiting applicability to domains without standardized label extraction tools</w:t>
      </w:r>
    </w:p>
    <w:p>
      <w:pPr>
        <w:pStyle w:val="ListBullet"/>
      </w:pPr>
      <w:r>
        <w:t>ACE-HGNN module adds computational overhead during inference, though minimal compared to full fine-tuning</w:t>
      </w:r>
    </w:p>
    <w:p>
      <w:pPr>
        <w:pStyle w:val="ListBullet"/>
      </w:pPr>
      <w:r>
        <w:t>Evaluated primarily on radiology and histopathology; generalization to other medical domains unclear</w:t>
      </w:r>
    </w:p>
    <w:p>
      <w:pPr>
        <w:pStyle w:val="ListBullet"/>
      </w:pPr>
      <w:r>
        <w:t>Hypergraph construction uses fixed top-k selection which may not be optimal across all medical imaging modalities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