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Temporal Gains, Spatial Costs: Revisiting Video Fine-Tuning in Multimodal Large Language Models</w:t>
      </w:r>
    </w:p>
    <w:p>
      <w:r>
        <w:rPr>
          <w:color w:val="666666"/>
          <w:sz w:val="16"/>
        </w:rPr>
        <w:t>Linghao Zhang, Jungang Li, Yonghua Hei, Sicheng Tao, Song Dai, Yibo Yan et al.</w:t>
      </w:r>
    </w:p>
    <w:p>
      <w:r>
        <w:rPr>
          <w:color w:val="0563C1"/>
          <w:sz w:val="16"/>
          <w:u w:val="single"/>
        </w:rPr>
        <w:t>https://arxiv.org/abs/2603.17541</w:t>
      </w:r>
    </w:p>
    <w:p>
      <w:pPr>
        <w:pStyle w:val="Heading2"/>
      </w:pPr>
      <w:r>
        <w:t>Research Questions</w:t>
      </w:r>
    </w:p>
    <w:p>
      <w:pPr>
        <w:pStyle w:val="ListBullet"/>
      </w:pPr>
      <w:r>
        <w:t>How does Video-SFT (video-based supervised fine-tuning) affect the balance between spatial and temporal understanding capabilities in MLLMs?</w:t>
      </w:r>
    </w:p>
    <w:p>
      <w:pPr>
        <w:pStyle w:val="ListBullet"/>
      </w:pPr>
      <w:r>
        <w:t>What is the relationship between temporal budget (number of frames) and the image-video performance trade-off?</w:t>
      </w:r>
    </w:p>
    <w:p>
      <w:pPr>
        <w:pStyle w:val="ListBullet"/>
      </w:pPr>
      <w:r>
        <w:t>Can adaptive frame allocation strategies mitigate the conflict between image and video understanding in unified MLLM training?</w:t>
      </w:r>
    </w:p>
    <w:p>
      <w:pPr>
        <w:pStyle w:val="Heading2"/>
      </w:pPr>
      <w:r>
        <w:t>Core Idea</w:t>
      </w:r>
    </w:p>
    <w:p>
      <w:r>
        <w:t>This paper reveals a fundamental conflict in multimodal large language models: video fine-tuning consistently improves video understanding but degrades image understanding, termed the "temporal trap". The key insight is that shared parameters create competing gradients - video-oriented updates with temporal specialization interfere with spatial capability preservation. The authors show this trade-off intensifies with more training frames and propose an adaptive frame allocation strategy that assigns different frame counts based on instruction complexity to partially mitigate the conflict.</w:t>
      </w:r>
    </w:p>
    <w:p>
      <w:pPr>
        <w:pStyle w:val="Heading2"/>
      </w:pPr>
      <w:r>
        <w:t>Key Formula</w:t>
      </w:r>
    </w:p>
    <w:p>
      <w:r>
        <w:rPr>
          <w:b/>
          <w:sz w:val="20"/>
        </w:rPr>
        <w:t>Image loss change under video update</w:t>
      </w:r>
    </w:p>
    <w:p>
      <w:pPr>
        <w:jc w:val="center"/>
      </w:pP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θ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η</m:t>
            </m:r>
            <m:r>
              <m:rPr>
                <m:sty m:val="i"/>
              </m:rPr>
              <m:t>⟨</m:t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bSup>
            <m:r>
              <m:rPr>
                <m:sty m:val="i"/>
              </m:rPr>
              <m:t>⟩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b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b>
              <m:e>
                <m:r>
                  <m:rPr>
                    <m:sty m:val="i"/>
                  </m:rPr>
                  <m:t>H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θ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~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sSubSup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bSup>
          </m:e>
        </m:box>
      </m:oMath>
    </w:p>
    <w:p>
      <w:r>
        <w:rPr>
          <w:sz w:val="18"/>
        </w:rPr>
        <w:t>Shows how image loss L_img changes when parameters θ are updated by video gradient g^(m)_vid. The key term ⟨g_img, g^(m)_vid⟩ represents gradient alignment - negative alignment leads to image degradation. This formalizes when video updates harm image performance.</w:t>
      </w:r>
    </w:p>
    <w:p>
      <w:r>
        <w:rPr>
          <w:b/>
          <w:sz w:val="20"/>
        </w:rPr>
        <w:t>Video gradient decomposition</w:t>
      </w:r>
    </w:p>
    <w:p>
      <w:pPr>
        <w:jc w:val="center"/>
      </w:pPr>
      <m:oMath>
        <m:box>
          <m:e>
            <m:sSubSup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  <m:sSub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ϵ</m:t>
                </m:r>
              </m:e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</m:e>
        </m:box>
      </m:oMath>
    </w:p>
    <w:p>
      <w:r>
        <w:rPr>
          <w:sz w:val="18"/>
        </w:rPr>
        <w:t>Decomposes video gradient into shared component g_sh (useful for both modalities), temporal component g_tmp (video-specific), and residual ε^(m). Coefficient α^(m) increases with frame count m, explaining why more frames intensify the conflict.</w:t>
      </w:r>
    </w:p>
    <w:p>
      <w:pPr>
        <w:pStyle w:val="Heading2"/>
      </w:pPr>
      <w:r>
        <w:t>Key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64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 xml:space="preserve">Figure 2: </w:t>
      </w:r>
      <w:r>
        <w:rPr>
          <w:color w:val="444444"/>
          <w:sz w:val="18"/>
        </w:rPr>
        <w:t>Shows consistent performance degradation on image benchmarks (MME, MMStar, MMBench, POPE) while video benchmarks improve across different MLLM architectures after Video-SFT, directly demonstrating the temporal trap phenomenon.</w:t>
      </w:r>
    </w:p>
    <w:p>
      <w:pPr>
        <w:pStyle w:val="Heading2"/>
      </w:pPr>
      <w:r>
        <w:t>Limitations</w:t>
      </w:r>
    </w:p>
    <w:p>
      <w:pPr>
        <w:pStyle w:val="ListBullet"/>
      </w:pPr>
      <w:r>
        <w:t>Hybrid-Frame Strategy relies on predefined discrete frame counts (8, 16, 32, 64) rather than continuous optimization</w:t>
      </w:r>
    </w:p>
    <w:p>
      <w:pPr>
        <w:pStyle w:val="ListBullet"/>
      </w:pPr>
      <w:r>
        <w:t>Current approach only uses textual instruction analysis, ignoring actual visual content dynamics of videos</w:t>
      </w:r>
    </w:p>
    <w:p>
      <w:pPr>
        <w:pStyle w:val="ListBullet"/>
      </w:pPr>
      <w:r>
        <w:t>Theoretical analysis provides local sufficient conditions but not complete characterization of the trade-off mechanism</w:t>
      </w:r>
    </w:p>
    <w:p>
      <w:pPr>
        <w:pStyle w:val="ListBullet"/>
      </w:pPr>
      <w:r>
        <w:t>Evaluation limited to standard benchmarks, excluding streaming video and interactive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