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BEC46">
      <w:pPr>
        <w:spacing w:before="120" w:after="120" w:line="288" w:lineRule="auto"/>
        <w:ind w:left="0"/>
        <w:jc w:val="left"/>
      </w:pPr>
      <w:bookmarkStart w:id="0" w:name="heading_1"/>
      <w:r>
        <w:rPr>
          <w:rFonts w:ascii="Arial" w:hAnsi="Arial" w:eastAsia="等线" w:cs="Arial"/>
          <w:b/>
          <w:sz w:val="32"/>
        </w:rPr>
        <w:t>（一）必选核心数据集</w:t>
      </w:r>
      <w:bookmarkEnd w:id="0"/>
    </w:p>
    <w:tbl>
      <w:tblPr>
        <w:tblStyle w:val="2"/>
        <w:tblW w:w="1058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1544"/>
        <w:gridCol w:w="1995"/>
        <w:gridCol w:w="1540"/>
        <w:gridCol w:w="2524"/>
        <w:gridCol w:w="2188"/>
      </w:tblGrid>
      <w:tr w14:paraId="13AB58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DFB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分类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A0A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数据集编号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547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组织来源</w:t>
            </w:r>
          </w:p>
          <w:p w14:paraId="7BF4F67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（补充完善）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4ED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样本量/分组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BA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核心不可替代性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B29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严格使用边界</w:t>
            </w:r>
          </w:p>
          <w:p w14:paraId="55F029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（规避方法学漏洞）</w:t>
            </w:r>
          </w:p>
        </w:tc>
      </w:tr>
      <w:tr w14:paraId="4EBDF9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1BC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小鼠流感核心表型锚定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8151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GSE31022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528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小鼠全肺组织（C57BL/6小鼠，经H1N1流感病毒滴鼻感染后，解剖分离的完整肺实质组织，包含气道、肺泡及肺间质等全部肺组织成分；测序平台：Affymetrix Mouse Genome 430 2.0 Array）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69F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共36个样本；分组：空白对照、H1N1感染D1-D6，每组n=3生物学重复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D4D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匹配C57BL/6小鼠H1N1感染模型，D1-D6完整时间梯度，精准覆盖研究的D3-D5咳嗽高峰期；2. 全肺组织样本、生物学重复充足，是流感急性期差异基因筛选的基准数据集；3. 造模体系与课题动物实验完全一致，数据可直接对接后续验证。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EAC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</w:tr>
      <w:tr w14:paraId="12CBDF6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E56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A0A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GSE42639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896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小鼠全肺组织（C57BL/6小鼠，分别经非致死性轻症H1N1、致死性重症H1N1病毒滴鼻感染后，72h解剖分离的完整肺实质组织，与GSE31022组织来源解剖部位完全一致；测序平台：Illumina Genome Analyzer II）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CE6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共24个样本；分组：空白对照、轻症H1N1感染、重症H1N1感染，每组n=8生物学重复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0D3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公开数据库中唯一同时设置「非致死性轻症H1N1+致死性重症H1N1」分组的小鼠数据集；2. 完美支撑「轻症流感咳嗽高敏、重症流感咳嗽缺失」的核心原创表型；3. 发表于Cell顶刊，数据预处理与质控有权威背书，可信度高。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249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</w:tr>
      <w:tr w14:paraId="1B3BB3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4EF0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3549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GSE63786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B4A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小鼠全肺组织（C57BL/6小鼠，分别经H1N1、H5N1流感病毒滴鼻感染后，不同时间点解剖分离的完整肺实质组织，与GSE31022、GSE42639解剖部位一致；测序平台：Affymetrix Mouse Genome 430 2.0 Array）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748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共56个样本；分组：H1N1、H5N1感染，14个连续时间点，每组n=2-4生物学重复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E85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唯一具备14个连续时间点的小鼠流感时序数据集，可验证GSE31022筛选基因的稳定性；2. 与GSE31022同测序平台，无批次效应，可直接交叉验证；3. 补充流感感染不同阶段的基因表达动态，强化急性期基因的可靠性。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752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剔除H5N1毒株所有样本</w:t>
            </w:r>
          </w:p>
        </w:tc>
      </w:tr>
      <w:tr w14:paraId="5EB5D1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70C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小鼠咳嗽表型核心锚定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866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GSE304603（小鼠部分）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EBBD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小鼠气道PNECs（C57BL/6小鼠，解剖分离气管及主支气管，通过流式分选技术纯化得到的气道机械感觉神经内分泌细胞，来源于气道上皮层，是咳嗽反射的核心触发细胞；测序平台：10x Genomics单细胞测序）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806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共12个样本；分组：正常对照PNECs、气道炎症咳嗽模型PNECs，每组n=6生物学重复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D374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唯一聚焦咳嗽反射触发核心细胞（气道PNECs）的单细胞数据集，精准锁定咳嗽触发核心基因；2. 剔除全肺组织中免疫细胞、间质细胞的混杂信号；3. 无哮喘/慢阻肺等混杂疾病，分组清晰，数据纯度高。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226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</w:p>
        </w:tc>
      </w:tr>
      <w:tr w14:paraId="139C1C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46F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人类流感临床核心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48F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GSE185576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EB41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未明确标注具体组织（临床甲型流感患者，结合入组标准含「咳嗽」症状，推测主要为气道分泌物、鼻拭子或外周血单个核细胞，间接反映气道/肺组织的感染应答状态；测序平台：Illumina HiSeq 2500）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56BE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共152个样本；分组：健康对照、甲型流感患者（含咳嗽症状，发病1-10天），按发病时间分梯度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5CD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唯一入组标准明确包含「咳嗽、近10天内发病」的甲型流感患者数据集，完美匹配「流感感染后咳嗽」核心表型；2. 大样本量、设健康对照、有感染后时间梯度，数据规范可用于临床关联分析。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79D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剔除细菌合并感染、其他病毒感染的样本</w:t>
            </w:r>
          </w:p>
        </w:tc>
      </w:tr>
      <w:tr w14:paraId="467A63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A3F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C780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GSE101702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2D3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未明确标注具体组织（多中心甲型流感患者，样本类型推测为外周血单个核细胞，侧重全身宿主免疫应答，可间接反映肺及气道的感染严重程度；测序平台：Illumina HiSeq 2000）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D4B0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共154个样本；分组：健康对照、轻症甲型流感患者、重症甲型流感患者，多中心样本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195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人类流感轻症/重症研究的标杆数据集，发表于Nature Communications；2. 多中心大样本，明确轻症/重症分组，与小鼠GSE42639形成跨物种表型对应；3. 与GSE185576为同一研究团队、同一芯片平台，可无批次效应合并分析。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EE5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。</w:t>
            </w:r>
          </w:p>
        </w:tc>
      </w:tr>
      <w:tr w14:paraId="5BE333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C81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人类跨物种验证核心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DCE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GSE304603（人源部分）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46E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人气道PNECs（来源于人类正常气道组织或肺叶切除标本，经流式分选纯化得到的气道机械感觉神经内分泌细胞，解剖部位为气管及主支气管上皮层，与小鼠PNECs来源完全同源；测序平台：10x Genomics单细胞测序）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49D5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共8个样本；分组：正常对照人气道PNECs、炎症状态人气道PNECs，每组n=4生物学重复</w:t>
            </w:r>
          </w:p>
        </w:tc>
        <w:tc>
          <w:tcPr>
            <w:tcW w:w="2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9B4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唯一匹配小鼠部分的人源气道PNECs数据集，细胞类型与小鼠完全同源；2. 可直接验证小鼠核心靶点在人气道咳嗽触发细胞中的表达，完美支撑临床转化价值；3. 单细胞测序数据，可精准匹配细胞特异性。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7B0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仅用于验证核心靶点在人气道PNECs中的表达趋势，不参与核心靶点筛选；仅对比靶点表达趋势，不进行差异基因重新筛选，避免循环论证。</w:t>
            </w:r>
          </w:p>
        </w:tc>
      </w:tr>
    </w:tbl>
    <w:p w14:paraId="337003E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75873B">
      <w:pPr>
        <w:spacing w:before="120" w:after="120" w:line="288" w:lineRule="auto"/>
        <w:ind w:left="0"/>
        <w:jc w:val="left"/>
      </w:pPr>
      <w:bookmarkStart w:id="1" w:name="heading_4"/>
      <w:r>
        <w:rPr>
          <w:rFonts w:ascii="Arial" w:hAnsi="Arial" w:eastAsia="等线" w:cs="Arial"/>
          <w:b/>
          <w:sz w:val="36"/>
        </w:rPr>
        <w:t>二、分析流程</w:t>
      </w:r>
      <w:bookmarkEnd w:id="1"/>
    </w:p>
    <w:p w14:paraId="09BA1C82">
      <w:pPr>
        <w:spacing w:before="320" w:after="120" w:line="288" w:lineRule="auto"/>
        <w:ind w:left="0"/>
        <w:jc w:val="left"/>
        <w:outlineLvl w:val="1"/>
      </w:pPr>
      <w:bookmarkStart w:id="2" w:name="heading_5"/>
      <w:r>
        <w:rPr>
          <w:rFonts w:ascii="Arial" w:hAnsi="Arial" w:eastAsia="等线" w:cs="Arial"/>
          <w:b/>
          <w:sz w:val="32"/>
        </w:rPr>
        <w:t>第一部分：小鼠数据分析——锁定轻症流感咳嗽高敏的核心靶点（核心目的：筛选小鼠层面“流感+咳嗽”双表型靶点，锚定肺-脑轴外周候选靶点）</w:t>
      </w:r>
      <w:bookmarkEnd w:id="2"/>
    </w:p>
    <w:p w14:paraId="1FD14396">
      <w:pPr>
        <w:spacing w:before="300" w:after="120" w:line="288" w:lineRule="auto"/>
        <w:ind w:left="0"/>
        <w:jc w:val="left"/>
        <w:outlineLvl w:val="2"/>
      </w:pPr>
      <w:bookmarkStart w:id="3" w:name="heading_6"/>
      <w:r>
        <w:rPr>
          <w:rFonts w:ascii="Arial" w:hAnsi="Arial" w:eastAsia="等线" w:cs="Arial"/>
          <w:b/>
          <w:sz w:val="30"/>
        </w:rPr>
        <w:t>第一步：质控与轻症流感特异性核心基因锚定（对应数据集：GSE31022、GSE42639、GSE63786）</w:t>
      </w:r>
      <w:bookmarkEnd w:id="3"/>
    </w:p>
    <w:p w14:paraId="77FD014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数据预处理与严格质控</w:t>
      </w:r>
      <w:r>
        <w:rPr>
          <w:rFonts w:ascii="Arial" w:hAnsi="Arial" w:eastAsia="等线" w:cs="Arial"/>
          <w:sz w:val="22"/>
        </w:rPr>
        <w:t>：对GSE31022、GSE42639、GSE63786分别进行背景校正、标准化（采用quantile normalization方法）、批次效应去除（ComBat软件），其中GSE31022与GSE63786为同测序平台，合并后再进行质控，剔除低表达基因（检测率&lt;50%）、异常样本（样本相关性r&lt;0.8），完成数据质控，确保数据可靠性；同时记录质控报告，用于答辩备查。</w:t>
      </w:r>
    </w:p>
    <w:p w14:paraId="319D8F5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流感急性期核心基因筛选与稳定性验证</w:t>
      </w:r>
      <w:r>
        <w:rPr>
          <w:rFonts w:ascii="Arial" w:hAnsi="Arial" w:eastAsia="等线" w:cs="Arial"/>
          <w:sz w:val="22"/>
        </w:rPr>
        <w:t>：① 对GSE31022执行差异分析（采用limma包），分组为H1N1感染D3-D5样本 vs 正常对照样本，筛选阈值设定为</w:t>
      </w:r>
      <w:r>
        <w:rPr>
          <w:rFonts w:ascii="Consolas" w:hAnsi="Consolas" w:eastAsia="Consolas" w:cs="Consolas"/>
          <w:sz w:val="22"/>
          <w:shd w:val="clear" w:fill="EFF0F1"/>
        </w:rPr>
        <w:t>校正后P值（adj.P.Val）&lt; 0.05，|log2倍数变化（log2FC）| ≥ 1</w:t>
      </w:r>
      <w:r>
        <w:rPr>
          <w:rFonts w:ascii="Arial" w:hAnsi="Arial" w:eastAsia="等线" w:cs="Arial"/>
          <w:sz w:val="22"/>
        </w:rPr>
        <w:t>，输出</w:t>
      </w:r>
      <w:r>
        <w:rPr>
          <w:rFonts w:ascii="Arial" w:hAnsi="Arial" w:eastAsia="等线" w:cs="Arial"/>
          <w:b/>
          <w:sz w:val="22"/>
        </w:rPr>
        <w:t>小鼠流感急性期稳定差异基因集A</w:t>
      </w:r>
      <w:r>
        <w:rPr>
          <w:rFonts w:ascii="Arial" w:hAnsi="Arial" w:eastAsia="等线" w:cs="Arial"/>
          <w:sz w:val="22"/>
        </w:rPr>
        <w:t>；② 对GSE63786（仅H1N1感染样本）执行差异分析，分组为H1N1感染D3-D5样本 vs 正常对照样本，筛选阈值同上，输出</w:t>
      </w:r>
      <w:r>
        <w:rPr>
          <w:rFonts w:ascii="Arial" w:hAnsi="Arial" w:eastAsia="等线" w:cs="Arial"/>
          <w:b/>
          <w:sz w:val="22"/>
        </w:rPr>
        <w:t>小鼠流感急性期时序差异基因集A1</w:t>
      </w:r>
      <w:r>
        <w:rPr>
          <w:rFonts w:ascii="Arial" w:hAnsi="Arial" w:eastAsia="等线" w:cs="Arial"/>
          <w:sz w:val="22"/>
        </w:rPr>
        <w:t>；③ 取基因集A ∩ A1，得到</w:t>
      </w:r>
      <w:r>
        <w:rPr>
          <w:rFonts w:ascii="Arial" w:hAnsi="Arial" w:eastAsia="等线" w:cs="Arial"/>
          <w:b/>
          <w:sz w:val="22"/>
        </w:rPr>
        <w:t>小鼠流感急性期稳定高置信差异基因集A2</w:t>
      </w:r>
      <w:r>
        <w:rPr>
          <w:rFonts w:ascii="Arial" w:hAnsi="Arial" w:eastAsia="等线" w:cs="Arial"/>
          <w:sz w:val="22"/>
        </w:rPr>
        <w:t>（核心目的：通过时序验证，降低假阳性，锁定流感感染急性期稳定应答的核心基因，聚焦咳嗽高峰期相关基因）。</w:t>
      </w:r>
    </w:p>
    <w:p w14:paraId="6306867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轻症流感特异性基因筛选</w:t>
      </w:r>
      <w:r>
        <w:rPr>
          <w:rFonts w:ascii="Arial" w:hAnsi="Arial" w:eastAsia="等线" w:cs="Arial"/>
          <w:sz w:val="22"/>
        </w:rPr>
        <w:t>：对GSE42639执行差异分析（limma包），设置两组分组对比：① 轻症H1N1感染样本 vs 正常对照样本；② 轻症H1N1感染样本 vs 重症H1N1感染样本，筛选阈值为两组差异分析均满足</w:t>
      </w:r>
      <w:r>
        <w:rPr>
          <w:rFonts w:ascii="Consolas" w:hAnsi="Consolas" w:eastAsia="Consolas" w:cs="Consolas"/>
          <w:sz w:val="22"/>
          <w:shd w:val="clear" w:fill="EFF0F1"/>
        </w:rPr>
        <w:t>adj.P.Val &lt; 0.05，log2FC ≥ 1</w:t>
      </w:r>
      <w:r>
        <w:rPr>
          <w:rFonts w:ascii="Arial" w:hAnsi="Arial" w:eastAsia="等线" w:cs="Arial"/>
          <w:sz w:val="22"/>
        </w:rPr>
        <w:t>（仅保留轻症中显著上调的基因），输出</w:t>
      </w:r>
      <w:r>
        <w:rPr>
          <w:rFonts w:ascii="Arial" w:hAnsi="Arial" w:eastAsia="等线" w:cs="Arial"/>
          <w:b/>
          <w:sz w:val="22"/>
        </w:rPr>
        <w:t>小鼠轻症流感特异性基因集B</w:t>
      </w:r>
      <w:r>
        <w:rPr>
          <w:rFonts w:ascii="Arial" w:hAnsi="Arial" w:eastAsia="等线" w:cs="Arial"/>
          <w:sz w:val="22"/>
        </w:rPr>
        <w:t>（核心目的：确保靶点仅在轻症中特异性表达，支撑“轻症咳、重症不咳”的核心表型）。</w:t>
      </w:r>
    </w:p>
    <w:p w14:paraId="2FCF428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第一轮交集筛选（核心表型锚定）</w:t>
      </w:r>
      <w:r>
        <w:rPr>
          <w:rFonts w:ascii="Arial" w:hAnsi="Arial" w:eastAsia="等线" w:cs="Arial"/>
          <w:sz w:val="22"/>
        </w:rPr>
        <w:t>：取基因集A2 ∩ 基因集B，输出</w:t>
      </w:r>
      <w:r>
        <w:rPr>
          <w:rFonts w:ascii="Arial" w:hAnsi="Arial" w:eastAsia="等线" w:cs="Arial"/>
          <w:b/>
          <w:sz w:val="22"/>
        </w:rPr>
        <w:t>仅在轻症流感中特异性上调、与流感感染直接相关且表达稳定的候选基因集C</w:t>
      </w:r>
      <w:r>
        <w:rPr>
          <w:rFonts w:ascii="Arial" w:hAnsi="Arial" w:eastAsia="等线" w:cs="Arial"/>
          <w:sz w:val="22"/>
        </w:rPr>
        <w:t>；同时增加阴性对照质控：验证基因集C在重症流感vs正常对照中无显著差异（adj.P.Val &gt; 0.05），确保靶点的轻症特异性，剔除泛流感应答基因。</w:t>
      </w:r>
    </w:p>
    <w:p w14:paraId="6629459F">
      <w:pPr>
        <w:spacing w:before="300" w:after="120" w:line="288" w:lineRule="auto"/>
        <w:ind w:left="0"/>
        <w:jc w:val="left"/>
        <w:outlineLvl w:val="2"/>
      </w:pPr>
      <w:bookmarkStart w:id="4" w:name="heading_7"/>
      <w:r>
        <w:rPr>
          <w:rFonts w:ascii="Arial" w:hAnsi="Arial" w:eastAsia="等线" w:cs="Arial"/>
          <w:b/>
          <w:sz w:val="30"/>
        </w:rPr>
        <w:t>第二步：咳嗽高敏核心调控基因筛选（对应数据集：GSE304603小鼠部分）</w:t>
      </w:r>
      <w:bookmarkEnd w:id="4"/>
    </w:p>
    <w:p w14:paraId="65A17DA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预处理与质控：对GSE304603小鼠部分单细胞数据进行过滤（剔除线粒体基因占比&gt;10%、UMI数&lt;200的细胞）、标准化、降维聚类，精准识别PNECs细胞群（基于PNECs特异性标志物Foxj1、Scg2筛选），确保细胞纯度&gt;95%。</w:t>
      </w:r>
    </w:p>
    <w:p w14:paraId="5E5CCEF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差异基因筛选：对筛选后的PNECs细胞执行差异分析（Seurat软件FindMarkers函数），分组为气道炎症咳嗽模型PNECs vs 正常对照PNECs，筛选阈值为</w:t>
      </w:r>
      <w:r>
        <w:rPr>
          <w:rFonts w:ascii="Consolas" w:hAnsi="Consolas" w:eastAsia="Consolas" w:cs="Consolas"/>
          <w:sz w:val="22"/>
          <w:shd w:val="clear" w:fill="EFF0F1"/>
        </w:rPr>
        <w:t>adj.P.Val &lt; 0.05，|log2FC| ≥ 1</w:t>
      </w:r>
      <w:r>
        <w:rPr>
          <w:rFonts w:ascii="Arial" w:hAnsi="Arial" w:eastAsia="等线" w:cs="Arial"/>
          <w:sz w:val="22"/>
        </w:rPr>
        <w:t>，输出</w:t>
      </w:r>
      <w:r>
        <w:rPr>
          <w:rFonts w:ascii="Arial" w:hAnsi="Arial" w:eastAsia="等线" w:cs="Arial"/>
          <w:b/>
          <w:sz w:val="22"/>
        </w:rPr>
        <w:t>小鼠咳嗽高敏气道端核心调控基因集D</w:t>
      </w:r>
      <w:r>
        <w:rPr>
          <w:rFonts w:ascii="Arial" w:hAnsi="Arial" w:eastAsia="等线" w:cs="Arial"/>
          <w:sz w:val="22"/>
        </w:rPr>
        <w:t>（咳嗽反射触发的核心基因，无混杂因素，核心目的：锁定咳嗽反射外周端的核心调控基因，聚焦PNECs细胞特异性基因）。</w:t>
      </w:r>
    </w:p>
    <w:p w14:paraId="5812576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可选补充</w:t>
      </w:r>
      <w:r>
        <w:rPr>
          <w:rFonts w:ascii="Arial" w:hAnsi="Arial" w:eastAsia="等线" w:cs="Arial"/>
          <w:sz w:val="22"/>
        </w:rPr>
        <w:t>：若保留GSE278510，仅用其对基因集D进行通路注释（采用clusterProfiler包），验证靶点是否富集于「气道感觉神经元敏化、咳嗽传入通路」，不做交集筛选，避免哮喘模型基因混杂。</w:t>
      </w:r>
    </w:p>
    <w:p w14:paraId="178E955E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第三步：小鼠最终核心靶点锁定（核心目的：获得“流感+咳嗽”双表型共表达靶点）</w:t>
      </w:r>
      <w:bookmarkEnd w:id="5"/>
    </w:p>
    <w:p w14:paraId="2C865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</w:t>
      </w:r>
      <w:r>
        <w:rPr>
          <w:rFonts w:ascii="Arial" w:hAnsi="Arial" w:eastAsia="等线" w:cs="Arial"/>
          <w:b/>
          <w:sz w:val="22"/>
        </w:rPr>
        <w:t>轻症流感基因集C ∩ 咳嗽高敏基因集D</w:t>
      </w:r>
      <w:r>
        <w:rPr>
          <w:rFonts w:ascii="Arial" w:hAnsi="Arial" w:eastAsia="等线" w:cs="Arial"/>
          <w:sz w:val="22"/>
        </w:rPr>
        <w:t>，输出</w:t>
      </w:r>
      <w:r>
        <w:rPr>
          <w:rFonts w:ascii="Arial" w:hAnsi="Arial" w:eastAsia="等线" w:cs="Arial"/>
          <w:b/>
          <w:sz w:val="22"/>
        </w:rPr>
        <w:t>同时与「轻症流感感染」和「咳嗽高敏」双维度相关的核心靶点集E</w:t>
      </w:r>
      <w:r>
        <w:rPr>
          <w:rFonts w:ascii="Arial" w:hAnsi="Arial" w:eastAsia="等线" w:cs="Arial"/>
          <w:sz w:val="22"/>
        </w:rPr>
        <w:t>，即小鼠肺-脑轴外周端候选核心靶点；对靶点集E进行初步功能注释（GO/KEGG），剔除与气道功能、神经信号传导无关的基因，进一步提升靶点特异性；同时用GSE63786时序数据验证靶点集E在D3-D5的表达稳定性，确保靶点表达趋势一致。</w:t>
      </w:r>
    </w:p>
    <w:p w14:paraId="29FED2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616035">
      <w:pPr>
        <w:spacing w:before="320" w:after="120" w:line="288" w:lineRule="auto"/>
        <w:ind w:left="0"/>
        <w:jc w:val="left"/>
        <w:outlineLvl w:val="1"/>
      </w:pPr>
      <w:bookmarkStart w:id="6" w:name="heading_9"/>
      <w:r>
        <w:rPr>
          <w:rFonts w:ascii="Arial" w:hAnsi="Arial" w:eastAsia="等线" w:cs="Arial"/>
          <w:b/>
          <w:sz w:val="32"/>
        </w:rPr>
        <w:t>第二部分：人类数据分析——跨物种临床转化验证（核心目的：验证小鼠靶点的人类保守性，提升临床转化价值）</w:t>
      </w:r>
      <w:bookmarkEnd w:id="6"/>
    </w:p>
    <w:p w14:paraId="1B5A9191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第四步：人类轻症流感相关基因筛选（对应数据集：GSE185576、GSE101702）</w:t>
      </w:r>
      <w:bookmarkEnd w:id="7"/>
    </w:p>
    <w:p w14:paraId="09BA55A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数据预处理与合并质控</w:t>
      </w:r>
      <w:r>
        <w:rPr>
          <w:rFonts w:ascii="Arial" w:hAnsi="Arial" w:eastAsia="等线" w:cs="Arial"/>
          <w:sz w:val="22"/>
        </w:rPr>
        <w:t>：对GSE185576、GSE101702进行合并预处理（因两者为同一研究团队、同一芯片平台，无需额外去除批次效应），完成标准化、质控，剔除低表达基因（检测率&lt;50%）、异常样本，确保合并后数据的一致性；记录合并质控报告，用于答辩备查。</w:t>
      </w:r>
    </w:p>
    <w:p w14:paraId="3D5BA69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人类流感急性期基因筛选</w:t>
      </w:r>
      <w:r>
        <w:rPr>
          <w:rFonts w:ascii="Arial" w:hAnsi="Arial" w:eastAsia="等线" w:cs="Arial"/>
          <w:sz w:val="22"/>
        </w:rPr>
        <w:t>：对GSE185576执行差异分析（limma包），分组为伴咳嗽症状的甲型流感患者（发病3-5天） vs 健康对照，筛选阈值为</w:t>
      </w:r>
      <w:r>
        <w:rPr>
          <w:rFonts w:ascii="Consolas" w:hAnsi="Consolas" w:eastAsia="Consolas" w:cs="Consolas"/>
          <w:sz w:val="22"/>
          <w:shd w:val="clear" w:fill="EFF0F1"/>
        </w:rPr>
        <w:t>adj.P.Val &lt; 0.05，|log2FC| ≥ 1</w:t>
      </w:r>
      <w:r>
        <w:rPr>
          <w:rFonts w:ascii="Arial" w:hAnsi="Arial" w:eastAsia="等线" w:cs="Arial"/>
          <w:sz w:val="22"/>
        </w:rPr>
        <w:t>，输出</w:t>
      </w:r>
      <w:r>
        <w:rPr>
          <w:rFonts w:ascii="Arial" w:hAnsi="Arial" w:eastAsia="等线" w:cs="Arial"/>
          <w:b/>
          <w:sz w:val="22"/>
        </w:rPr>
        <w:t>人类流感急性期基因集F</w:t>
      </w:r>
      <w:r>
        <w:rPr>
          <w:rFonts w:ascii="Arial" w:hAnsi="Arial" w:eastAsia="等线" w:cs="Arial"/>
          <w:sz w:val="22"/>
        </w:rPr>
        <w:t>（核心目的：锁定人类流感伴咳嗽的核心应答基因，与小鼠D3-D5时间窗对应）。</w:t>
      </w:r>
    </w:p>
    <w:p w14:paraId="121BAA6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人类轻症流感特异性基因筛选</w:t>
      </w:r>
      <w:r>
        <w:rPr>
          <w:rFonts w:ascii="Arial" w:hAnsi="Arial" w:eastAsia="等线" w:cs="Arial"/>
          <w:sz w:val="22"/>
        </w:rPr>
        <w:t>：对GSE101702执行差异分析（limma包），分组为轻症流感患者 vs 重症流感患者，筛选阈值为</w:t>
      </w:r>
      <w:r>
        <w:rPr>
          <w:rFonts w:ascii="Consolas" w:hAnsi="Consolas" w:eastAsia="Consolas" w:cs="Consolas"/>
          <w:sz w:val="22"/>
          <w:shd w:val="clear" w:fill="EFF0F1"/>
        </w:rPr>
        <w:t>adj.P.Val &lt; 0.05，log2FC ≥ 1</w:t>
      </w:r>
      <w:r>
        <w:rPr>
          <w:rFonts w:ascii="Arial" w:hAnsi="Arial" w:eastAsia="等线" w:cs="Arial"/>
          <w:sz w:val="22"/>
        </w:rPr>
        <w:t>，输出</w:t>
      </w:r>
      <w:r>
        <w:rPr>
          <w:rFonts w:ascii="Arial" w:hAnsi="Arial" w:eastAsia="等线" w:cs="Arial"/>
          <w:b/>
          <w:sz w:val="22"/>
        </w:rPr>
        <w:t>人类轻症流感特异性基因集G</w:t>
      </w:r>
      <w:r>
        <w:rPr>
          <w:rFonts w:ascii="Arial" w:hAnsi="Arial" w:eastAsia="等线" w:cs="Arial"/>
          <w:sz w:val="22"/>
        </w:rPr>
        <w:t>（核心目的：确保人类层面靶点的轻症特异性，与小鼠基因集B形成跨物种对应）。</w:t>
      </w:r>
    </w:p>
    <w:p w14:paraId="6171402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第二轮交集筛选：取基因集F ∩ 基因集G，输出</w:t>
      </w:r>
      <w:r>
        <w:rPr>
          <w:rFonts w:ascii="Arial" w:hAnsi="Arial" w:eastAsia="等线" w:cs="Arial"/>
          <w:b/>
          <w:sz w:val="22"/>
        </w:rPr>
        <w:t>人类轻症流感伴咳嗽的特异性基因集H</w:t>
      </w:r>
      <w:r>
        <w:rPr>
          <w:rFonts w:ascii="Arial" w:hAnsi="Arial" w:eastAsia="等线" w:cs="Arial"/>
          <w:sz w:val="22"/>
        </w:rPr>
        <w:t>；同时用GSE304603（人源部分）验证基因集H在人气道PNECs中的表达趋势（确保≥80%的基因表达趋势与小鼠一致），确保靶点的组织特异性。</w:t>
      </w:r>
    </w:p>
    <w:p w14:paraId="55D289D6">
      <w:pPr>
        <w:spacing w:before="300" w:after="120" w:line="288" w:lineRule="auto"/>
        <w:ind w:left="0"/>
        <w:jc w:val="left"/>
        <w:outlineLvl w:val="2"/>
      </w:pPr>
      <w:bookmarkStart w:id="8" w:name="heading_11"/>
      <w:r>
        <w:rPr>
          <w:rFonts w:ascii="Arial" w:hAnsi="Arial" w:eastAsia="等线" w:cs="Arial"/>
          <w:b/>
          <w:sz w:val="30"/>
        </w:rPr>
        <w:t>第五步：跨物种保守靶点最终确定（核心目的：获得高置信度、可临床转化的核心靶点）</w:t>
      </w:r>
      <w:bookmarkEnd w:id="8"/>
    </w:p>
    <w:p w14:paraId="7DE81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</w:t>
      </w:r>
      <w:r>
        <w:rPr>
          <w:rFonts w:ascii="Arial" w:hAnsi="Arial" w:eastAsia="等线" w:cs="Arial"/>
          <w:b/>
          <w:sz w:val="22"/>
        </w:rPr>
        <w:t>小鼠核心靶点集E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人类基因集H</w:t>
      </w:r>
      <w:r>
        <w:rPr>
          <w:rFonts w:ascii="Arial" w:hAnsi="Arial" w:eastAsia="等线" w:cs="Arial"/>
          <w:sz w:val="22"/>
        </w:rPr>
        <w:t>进行同源基因比对（采用HomoloGene数据库），仅保留「在小鼠和人类中均显著上调、表达趋势完全一致、且在人气道PNECs中高表达、在GSE63786时序数据中表达稳定」的基因，输出</w:t>
      </w:r>
      <w:r>
        <w:rPr>
          <w:rFonts w:ascii="Arial" w:hAnsi="Arial" w:eastAsia="等线" w:cs="Arial"/>
          <w:b/>
          <w:sz w:val="22"/>
        </w:rPr>
        <w:t>最终高置信度、跨物种保守的流感介导咳嗽高敏核心靶点集</w:t>
      </w:r>
      <w:r>
        <w:rPr>
          <w:rFonts w:ascii="Arial" w:hAnsi="Arial" w:eastAsia="等线" w:cs="Arial"/>
          <w:sz w:val="22"/>
        </w:rPr>
        <w:t>；对最终靶点集进行去冗余处理，锁定Top10核心靶点，用于后续机制研究。</w:t>
      </w:r>
    </w:p>
    <w:p w14:paraId="47D6F71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E68BED">
      <w:pPr>
        <w:spacing w:before="320" w:after="120" w:line="288" w:lineRule="auto"/>
        <w:ind w:left="0"/>
        <w:jc w:val="left"/>
        <w:outlineLvl w:val="1"/>
      </w:pPr>
      <w:bookmarkStart w:id="9" w:name="heading_12"/>
      <w:r>
        <w:rPr>
          <w:rFonts w:ascii="Arial" w:hAnsi="Arial" w:eastAsia="等线" w:cs="Arial"/>
          <w:b/>
          <w:sz w:val="32"/>
        </w:rPr>
        <w:t>第三部分：机制与功能注释（收尾，无额外数据集，核心目的：阐释肺-脑轴外周调控机制，完成逻辑闭环）</w:t>
      </w:r>
      <w:bookmarkEnd w:id="9"/>
    </w:p>
    <w:p w14:paraId="49754E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对最终保守靶点进行系统的功能与机制分析，确保贴合课题“肺-脑轴”核心逻辑：</w:t>
      </w:r>
    </w:p>
    <w:p w14:paraId="1D18BDE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GO/KEGG功能富集分析（采用clusterProfiler包），重点聚焦「气道机械感知、神经肽分泌、神经-免疫交互、感觉信号传导」等核心通路，筛选与咳嗽高敏、肺-脑轴调控相关的关键通路，排除无关通路。</w:t>
      </w:r>
    </w:p>
    <w:p w14:paraId="244BD12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PPI蛋白互作网络构建（采用STRING数据库+Cytoscape软件），用随机游走算法锁定Top3-5核心hub基因，作为课题的核心研究靶点，明确靶点间的调控关系。</w:t>
      </w:r>
    </w:p>
    <w:p w14:paraId="4B2088F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制阐释：结合GSE304603明确的Piezo2-Scg2-Slc23a2咳嗽核心通路，整合最终靶点的功能注释结果及GSE63786时序表达数据，构建并阐释**「轻症流感感染→气道PNECs激活→核心靶点调控神经肽分泌→咳嗽传入通路敏化→咳嗽高敏」**的肺-脑轴外周调控机制，完成“表型-靶点-机制”的逻辑闭环，支撑课题科学假说。</w:t>
      </w:r>
    </w:p>
    <w:p w14:paraId="6BC80A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AF76CF">
      <w:pPr>
        <w:spacing w:before="120" w:after="120" w:line="288" w:lineRule="auto"/>
        <w:ind w:left="0"/>
        <w:jc w:val="left"/>
      </w:pP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7483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53BB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3"/>
  </w:num>
  <w:num w:numId="5">
    <w:abstractNumId w:val="6"/>
  </w:num>
  <w:num w:numId="6">
    <w:abstractNumId w:val="0"/>
  </w:num>
  <w:num w:numId="7">
    <w:abstractNumId w:val="10"/>
  </w:num>
  <w:num w:numId="8">
    <w:abstractNumId w:val="12"/>
  </w:num>
  <w:num w:numId="9">
    <w:abstractNumId w:val="2"/>
  </w:num>
  <w:num w:numId="10">
    <w:abstractNumId w:val="11"/>
  </w:num>
  <w:num w:numId="11">
    <w:abstractNumId w:val="5"/>
  </w:num>
  <w:num w:numId="12">
    <w:abstractNumId w:val="8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A05F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7449</Words>
  <Characters>8783</Characters>
  <TotalTime>8</TotalTime>
  <ScaleCrop>false</ScaleCrop>
  <LinksUpToDate>false</LinksUpToDate>
  <CharactersWithSpaces>8900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2026-04-16T07:03:00Z</dcterms:created>
  <dc:creator>Apache POI</dc:creator>
  <cp:lastModifiedBy>我系福头</cp:lastModifiedBy>
  <dcterms:modified xsi:type="dcterms:W3CDTF">2026-04-16T07:12:54Z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eyJoZGlkIjoiM2Y1ZWE3YjViM2NjMWQ1MjY2MTI5M2RhMzU2MjM5MDYiLCJ1c2VySWQiOiIyMzc1NDU1MjEifQ==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956D6926BC914E3E95CCBE342374A1F1_13</vt:lpwstr>
  </property>
</Properties>
</file>