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C826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流感急性期数据集最终处理流程（修改版：单独处理GSE31022，GSE63786暂不处理）</w:t>
      </w:r>
    </w:p>
    <w:p w14:paraId="6C3B9B9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一、最终确定纳入数据集（调整后）</w:t>
      </w:r>
      <w:bookmarkEnd w:id="0"/>
    </w:p>
    <w:p w14:paraId="1286D87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（一）小鼠流感全肺芯片数据</w:t>
      </w:r>
      <w:bookmarkEnd w:id="1"/>
    </w:p>
    <w:p w14:paraId="74FF440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GSE31022（Affymetrix平台）：C57BL/6小鼠H1N1感染，感染后D1-D6，全肺组织（</w:t>
      </w:r>
      <w:r>
        <w:rPr>
          <w:rFonts w:ascii="Arial" w:hAnsi="Arial" w:eastAsia="等线" w:cs="Arial"/>
          <w:b/>
          <w:sz w:val="22"/>
        </w:rPr>
        <w:t>单独处理，核心分析数据集</w:t>
      </w:r>
      <w:r>
        <w:rPr>
          <w:rFonts w:ascii="Arial" w:hAnsi="Arial" w:eastAsia="等线" w:cs="Arial"/>
          <w:sz w:val="22"/>
        </w:rPr>
        <w:t>）</w:t>
      </w:r>
    </w:p>
    <w:p w14:paraId="357B871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GSE63786（Affymetrix平台）：暂不处理，后续可根据需求补充</w:t>
      </w:r>
    </w:p>
    <w:p w14:paraId="32730F1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GSE42639（Illumina平台）：C57BL/6小鼠轻症/重症H1N1感染，感染后72h，全肺组织（单独分析，不合并）</w:t>
      </w:r>
    </w:p>
    <w:p w14:paraId="2EE11C4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（二）小鼠咳嗽相关单细胞数据</w:t>
      </w:r>
      <w:bookmarkEnd w:id="2"/>
    </w:p>
    <w:p w14:paraId="4F4628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GSE304603（小鼠源）：小鼠气道PNECs细胞，咳嗽炎症模型vs正常对照</w:t>
      </w:r>
    </w:p>
    <w:p w14:paraId="4AFAE23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（三）人类验证数据</w:t>
      </w:r>
      <w:bookmarkEnd w:id="3"/>
    </w:p>
    <w:p w14:paraId="371D77D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GSE185576：流感伴咳嗽患者外周血，急性期样本</w:t>
      </w:r>
    </w:p>
    <w:p w14:paraId="4B378AB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GSE101702：轻症/重症流感患者外周血</w:t>
      </w:r>
    </w:p>
    <w:p w14:paraId="3842DE6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GSE304603（人源）：人气道PNECs细胞（仅用于表达验证，不参与差异筛选）</w:t>
      </w:r>
    </w:p>
    <w:p w14:paraId="7DC3894D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二、核心硬性执行原则（不可更改）</w:t>
      </w:r>
      <w:bookmarkEnd w:id="4"/>
    </w:p>
    <w:p w14:paraId="62DABE6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处理规则</w:t>
      </w:r>
      <w:r>
        <w:rPr>
          <w:rFonts w:ascii="Arial" w:hAnsi="Arial" w:eastAsia="等线" w:cs="Arial"/>
          <w:sz w:val="22"/>
        </w:rPr>
        <w:t>：仅单独处理GSE31022（不合并任何数据集）；GSE63786暂不处理；GSE42639平台不同，</w:t>
      </w:r>
      <w:r>
        <w:rPr>
          <w:rFonts w:ascii="Arial" w:hAnsi="Arial" w:eastAsia="等线" w:cs="Arial"/>
          <w:b/>
          <w:sz w:val="22"/>
        </w:rPr>
        <w:t>严禁合并，单独分析</w:t>
      </w:r>
      <w:r>
        <w:rPr>
          <w:rFonts w:ascii="Arial" w:hAnsi="Arial" w:eastAsia="等线" w:cs="Arial"/>
          <w:sz w:val="22"/>
        </w:rPr>
        <w:t>。</w:t>
      </w:r>
    </w:p>
    <w:p w14:paraId="4C8AA7A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急性期纳入标准</w:t>
      </w:r>
      <w:r>
        <w:rPr>
          <w:rFonts w:ascii="Arial" w:hAnsi="Arial" w:eastAsia="等线" w:cs="Arial"/>
          <w:sz w:val="22"/>
        </w:rPr>
        <w:t>：GSE31022中所有H1N1感染后</w:t>
      </w:r>
      <w:r>
        <w:rPr>
          <w:rFonts w:ascii="Arial" w:hAnsi="Arial" w:eastAsia="等线" w:cs="Arial"/>
          <w:b/>
          <w:sz w:val="22"/>
        </w:rPr>
        <w:t>D1-D6样本全部纳入</w:t>
      </w:r>
      <w:r>
        <w:rPr>
          <w:rFonts w:ascii="Arial" w:hAnsi="Arial" w:eastAsia="等线" w:cs="Arial"/>
          <w:sz w:val="22"/>
        </w:rPr>
        <w:t>，不筛选具体感染天数、不区分感染剂量，统一归为「流感急性期感染组」。</w:t>
      </w:r>
    </w:p>
    <w:p w14:paraId="6F34E2F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分组统一</w:t>
      </w:r>
      <w:r>
        <w:rPr>
          <w:rFonts w:ascii="Arial" w:hAnsi="Arial" w:eastAsia="等线" w:cs="Arial"/>
          <w:sz w:val="22"/>
        </w:rPr>
        <w:t>：所有数据集仅设</w:t>
      </w:r>
      <w:r>
        <w:rPr>
          <w:rFonts w:ascii="Arial" w:hAnsi="Arial" w:eastAsia="等线" w:cs="Arial"/>
          <w:b/>
          <w:sz w:val="22"/>
        </w:rPr>
        <w:t>对照组（Control）、感染组（H1N1）</w:t>
      </w:r>
      <w:r>
        <w:rPr>
          <w:rFonts w:ascii="Arial" w:hAnsi="Arial" w:eastAsia="等线" w:cs="Arial"/>
          <w:sz w:val="22"/>
        </w:rPr>
        <w:t>，不拆分时间/剂量亚组。</w:t>
      </w:r>
    </w:p>
    <w:p w14:paraId="54DDC84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分析阈值</w:t>
      </w:r>
      <w:r>
        <w:rPr>
          <w:rFonts w:ascii="Arial" w:hAnsi="Arial" w:eastAsia="等线" w:cs="Arial"/>
          <w:sz w:val="22"/>
        </w:rPr>
        <w:t>：全流程统一差异基因筛选标准：</w:t>
      </w:r>
      <w:r>
        <w:rPr>
          <w:rFonts w:ascii="Arial" w:hAnsi="Arial" w:eastAsia="等线" w:cs="Arial"/>
          <w:b/>
          <w:sz w:val="22"/>
        </w:rPr>
        <w:t>adj.P.Val ＜ 0.05 且 |log2FC| ≥ 1</w:t>
      </w:r>
      <w:r>
        <w:rPr>
          <w:rFonts w:ascii="Arial" w:hAnsi="Arial" w:eastAsia="等线" w:cs="Arial"/>
          <w:sz w:val="22"/>
        </w:rPr>
        <w:t>。</w:t>
      </w:r>
    </w:p>
    <w:p w14:paraId="76DFBDD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组织隔离原则</w:t>
      </w:r>
      <w:r>
        <w:rPr>
          <w:rFonts w:ascii="Arial" w:hAnsi="Arial" w:eastAsia="等线" w:cs="Arial"/>
          <w:sz w:val="22"/>
        </w:rPr>
        <w:t>：全肺数据仅筛选流感相关基因，PNECs数据仅筛选咳嗽相关基因，绝不跨组织混合筛选。</w:t>
      </w:r>
    </w:p>
    <w:p w14:paraId="41268796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三、完整分步处理流程</w:t>
      </w:r>
      <w:bookmarkEnd w:id="5"/>
    </w:p>
    <w:p w14:paraId="1F7CD51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模块1：小鼠流感全肺数据预处理与差异分析</w:t>
      </w:r>
      <w:bookmarkEnd w:id="6"/>
    </w:p>
    <w:p w14:paraId="371D3AB2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步骤1：GSE31022单独处理（核心步骤）</w:t>
      </w:r>
      <w:bookmarkEnd w:id="7"/>
    </w:p>
    <w:p w14:paraId="1BED94C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原始数据下载与质控：</w:t>
      </w:r>
      <w:bookmarkStart w:id="17" w:name="_GoBack"/>
      <w:r>
        <w:rPr>
          <w:rFonts w:ascii="Arial" w:hAnsi="Arial" w:eastAsia="等线" w:cs="Arial"/>
          <w:sz w:val="22"/>
        </w:rPr>
        <w:t>剔除低表达基因</w:t>
      </w:r>
      <w:bookmarkEnd w:id="17"/>
      <w:r>
        <w:rPr>
          <w:rFonts w:ascii="Arial" w:hAnsi="Arial" w:eastAsia="等线" w:cs="Arial"/>
          <w:sz w:val="22"/>
        </w:rPr>
        <w:t>、去除异常样本，完成背景校正、分位数标准化。</w:t>
      </w:r>
    </w:p>
    <w:p w14:paraId="38A1438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样本分组：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4AD7976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对照组：GSE31022空白未感染样本</w:t>
      </w:r>
    </w:p>
    <w:p w14:paraId="517E1DF4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感染组：GSE31022中H1N1感染D1-D6全部急性期样本，不区分天数、剂量</w:t>
      </w:r>
    </w:p>
    <w:p w14:paraId="08B4E17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差异分析：感染组 vs 对照组，筛选差异基因（严格遵循统一阈值）。</w:t>
      </w:r>
    </w:p>
    <w:p w14:paraId="1F497DB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输出结果</w:t>
      </w:r>
      <w:r>
        <w:rPr>
          <w:rFonts w:ascii="Arial" w:hAnsi="Arial" w:eastAsia="等线" w:cs="Arial"/>
          <w:sz w:val="22"/>
        </w:rPr>
        <w:t>：小鼠流感急性期核心差异基因集A</w:t>
      </w:r>
    </w:p>
    <w:p w14:paraId="2A1ADA53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步骤2：GSE42639单独处理（不变）</w:t>
      </w:r>
      <w:bookmarkEnd w:id="8"/>
    </w:p>
    <w:p w14:paraId="783358E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原始数据质控、标准化、低表达基因过滤。</w:t>
      </w:r>
    </w:p>
    <w:p w14:paraId="3197ACE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样本分组：正常对照、轻症H1N1、重症H1N1。</w:t>
      </w:r>
    </w:p>
    <w:p w14:paraId="6D0DD16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双重差异分析：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8FE258B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轻症H1N1 vs 正常对照</w:t>
      </w:r>
    </w:p>
    <w:p w14:paraId="702DB81F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轻症H1N1 vs 重症H1N1</w:t>
      </w:r>
    </w:p>
    <w:p w14:paraId="3320302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取两组差异结果</w:t>
      </w:r>
      <w:r>
        <w:rPr>
          <w:rFonts w:ascii="Arial" w:hAnsi="Arial" w:eastAsia="等线" w:cs="Arial"/>
          <w:b/>
          <w:sz w:val="22"/>
        </w:rPr>
        <w:t>共同上调基因</w:t>
      </w:r>
      <w:r>
        <w:rPr>
          <w:rFonts w:ascii="Arial" w:hAnsi="Arial" w:eastAsia="等线" w:cs="Arial"/>
          <w:sz w:val="22"/>
        </w:rPr>
        <w:t>，锁定轻症特异性信号。</w:t>
      </w:r>
    </w:p>
    <w:p w14:paraId="133B540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输出结果</w:t>
      </w:r>
      <w:r>
        <w:rPr>
          <w:rFonts w:ascii="Arial" w:hAnsi="Arial" w:eastAsia="等线" w:cs="Arial"/>
          <w:sz w:val="22"/>
        </w:rPr>
        <w:t>：小鼠轻症流感特异性基因集B</w:t>
      </w:r>
    </w:p>
    <w:p w14:paraId="247D295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步骤3：小鼠流感候选基因筛选（不变）</w:t>
      </w:r>
      <w:bookmarkEnd w:id="9"/>
    </w:p>
    <w:p w14:paraId="6F5D6D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取基因集A ∩ 基因集B，</w:t>
      </w:r>
      <w:r>
        <w:rPr>
          <w:rFonts w:ascii="Arial" w:hAnsi="Arial" w:eastAsia="等线" w:cs="Arial"/>
          <w:b/>
          <w:sz w:val="22"/>
        </w:rPr>
        <w:t>输出结果</w:t>
      </w:r>
      <w:r>
        <w:rPr>
          <w:rFonts w:ascii="Arial" w:hAnsi="Arial" w:eastAsia="等线" w:cs="Arial"/>
          <w:sz w:val="22"/>
        </w:rPr>
        <w:t>：轻症流感急性期候选基因集C</w:t>
      </w:r>
    </w:p>
    <w:p w14:paraId="744D78F5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模块2：小鼠咳嗽相关数据处理（不变）</w:t>
      </w:r>
      <w:bookmarkEnd w:id="10"/>
    </w:p>
    <w:p w14:paraId="364688B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GSE304603小鼠单细胞数据质控：过滤低质量细胞、细胞聚类分群。</w:t>
      </w:r>
    </w:p>
    <w:p w14:paraId="6A9A368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精准筛选气道PNECs目标细胞群，剔除其他混杂细胞。</w:t>
      </w:r>
    </w:p>
    <w:p w14:paraId="5D1062D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差异分析：咳嗽炎症模型PNECs vs 正常PNECs。</w:t>
      </w:r>
    </w:p>
    <w:p w14:paraId="4BF27E3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输出结果</w:t>
      </w:r>
      <w:r>
        <w:rPr>
          <w:rFonts w:ascii="Arial" w:hAnsi="Arial" w:eastAsia="等线" w:cs="Arial"/>
          <w:sz w:val="22"/>
        </w:rPr>
        <w:t>：小鼠咳嗽高敏相关差异基因集D</w:t>
      </w:r>
    </w:p>
    <w:p w14:paraId="10D3B772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模块3：小鼠双表型核心靶点筛选（不变）</w:t>
      </w:r>
      <w:bookmarkEnd w:id="11"/>
    </w:p>
    <w:p w14:paraId="5C9C9D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取基因集C（轻症流感） ∩ 基因集D（咳嗽高敏），</w:t>
      </w:r>
      <w:r>
        <w:rPr>
          <w:rFonts w:ascii="Arial" w:hAnsi="Arial" w:eastAsia="等线" w:cs="Arial"/>
          <w:b/>
          <w:sz w:val="22"/>
        </w:rPr>
        <w:t>输出结果</w:t>
      </w:r>
      <w:r>
        <w:rPr>
          <w:rFonts w:ascii="Arial" w:hAnsi="Arial" w:eastAsia="等线" w:cs="Arial"/>
          <w:sz w:val="22"/>
        </w:rPr>
        <w:t>：小鼠肺-咳嗽双表型核心靶点集E</w:t>
      </w:r>
    </w:p>
    <w:p w14:paraId="4F95AA97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模块4：人类流感数据处理（不变）</w:t>
      </w:r>
      <w:bookmarkEnd w:id="12"/>
    </w:p>
    <w:p w14:paraId="776E8A6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GSE185576：质控后分析流感患者vs健康对照，</w:t>
      </w:r>
      <w:r>
        <w:rPr>
          <w:rFonts w:ascii="Arial" w:hAnsi="Arial" w:eastAsia="等线" w:cs="Arial"/>
          <w:b/>
          <w:sz w:val="22"/>
        </w:rPr>
        <w:t>输出人类流感急性期基因集F</w:t>
      </w:r>
    </w:p>
    <w:p w14:paraId="54BA0BB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GSE101702：质控后分析轻症流感vs重症流感，</w:t>
      </w:r>
      <w:r>
        <w:rPr>
          <w:rFonts w:ascii="Arial" w:hAnsi="Arial" w:eastAsia="等线" w:cs="Arial"/>
          <w:b/>
          <w:sz w:val="22"/>
        </w:rPr>
        <w:t>输出人类轻症流感特异性基因集G</w:t>
      </w:r>
    </w:p>
    <w:p w14:paraId="69D9377A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取基因集F ∩ 基因集G，</w:t>
      </w:r>
      <w:r>
        <w:rPr>
          <w:rFonts w:ascii="Arial" w:hAnsi="Arial" w:eastAsia="等线" w:cs="Arial"/>
          <w:b/>
          <w:sz w:val="22"/>
        </w:rPr>
        <w:t>输出结果</w:t>
      </w:r>
      <w:r>
        <w:rPr>
          <w:rFonts w:ascii="Arial" w:hAnsi="Arial" w:eastAsia="等线" w:cs="Arial"/>
          <w:sz w:val="22"/>
        </w:rPr>
        <w:t>：人类轻症流感候选基因集H</w:t>
      </w:r>
    </w:p>
    <w:p w14:paraId="7E03FE94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模块5：跨物种验证与最终靶点锁定（不变）</w:t>
      </w:r>
      <w:bookmarkEnd w:id="13"/>
    </w:p>
    <w:p w14:paraId="2B881B5C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小鼠靶点集E与人类基因集H做同源基因匹配。</w:t>
      </w:r>
    </w:p>
    <w:p w14:paraId="269211C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结合GSE304603人源PNECs数据，验证靶点在人气道咳嗽核心细胞的表达。</w:t>
      </w:r>
    </w:p>
    <w:p w14:paraId="4BC120A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剔除表达趋势不一致、无表达的基因。</w:t>
      </w:r>
    </w:p>
    <w:p w14:paraId="2008001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输出结果</w:t>
      </w:r>
      <w:r>
        <w:rPr>
          <w:rFonts w:ascii="Arial" w:hAnsi="Arial" w:eastAsia="等线" w:cs="Arial"/>
          <w:sz w:val="22"/>
        </w:rPr>
        <w:t>：跨物种保守最终核心靶点</w:t>
      </w:r>
    </w:p>
    <w:p w14:paraId="7E7F7553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模块6：后续功能验证（可选，不变）</w:t>
      </w:r>
      <w:bookmarkEnd w:id="14"/>
    </w:p>
    <w:p w14:paraId="50B508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对最终核心靶点做GO/KEGG富集分析、PPI蛋白互作网络分析，锁定Hub基因</w:t>
      </w:r>
    </w:p>
    <w:p w14:paraId="186BA907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四、极简执行流程图（直接发生信人员，调整后）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01B8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EC92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小鼠全肺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GSE31022（单独处理）→基因集A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GSE42639（单独分析）→基因集B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A∩B→基因集C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小鼠PNECs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GSE304603（小鼠）→基因集D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C∩D→小鼠靶点E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人类外周血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GSE185576+GSE101702→基因集H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最终验证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E+H同源匹配+人PNECs验证→最终核心靶点</w:t>
            </w:r>
          </w:p>
        </w:tc>
      </w:tr>
    </w:tbl>
    <w:p w14:paraId="4013115F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五、必做质控要求（调整后）</w:t>
      </w:r>
      <w:bookmarkEnd w:id="16"/>
    </w:p>
    <w:p w14:paraId="599F392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GSE31022数据质控后做PCA分析，确认感染组与对照组样本明显聚类，无异常样本。</w:t>
      </w:r>
    </w:p>
    <w:p w14:paraId="1C6EC08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核实GSE31022所有感染样本均为急性期（D1-D6），无恢复期、清除期样本混入。</w:t>
      </w:r>
    </w:p>
    <w:p w14:paraId="7C77046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差异分析结果做火山图、热图验证，确保基因表达趋势符合生物学逻辑。</w:t>
      </w:r>
    </w:p>
    <w:p w14:paraId="25242BA7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单细胞数据严格把控PNECs细胞纯度，杜绝混杂细胞干扰。</w:t>
      </w:r>
    </w:p>
    <w:p w14:paraId="6704E5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D61E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5E51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243FCF68"/>
    <w:multiLevelType w:val="singleLevel"/>
    <w:tmpl w:val="243FCF6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2A8F537B"/>
    <w:multiLevelType w:val="singleLevel"/>
    <w:tmpl w:val="2A8F53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4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46A08BB8"/>
    <w:multiLevelType w:val="singleLevel"/>
    <w:tmpl w:val="46A08B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6"/>
  </w:num>
  <w:num w:numId="2">
    <w:abstractNumId w:val="10"/>
  </w:num>
  <w:num w:numId="3">
    <w:abstractNumId w:val="31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5"/>
  </w:num>
  <w:num w:numId="9">
    <w:abstractNumId w:val="17"/>
  </w:num>
  <w:num w:numId="10">
    <w:abstractNumId w:val="2"/>
  </w:num>
  <w:num w:numId="11">
    <w:abstractNumId w:val="23"/>
  </w:num>
  <w:num w:numId="12">
    <w:abstractNumId w:val="32"/>
  </w:num>
  <w:num w:numId="13">
    <w:abstractNumId w:val="9"/>
  </w:num>
  <w:num w:numId="14">
    <w:abstractNumId w:val="28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7"/>
  </w:num>
  <w:num w:numId="21">
    <w:abstractNumId w:val="33"/>
  </w:num>
  <w:num w:numId="22">
    <w:abstractNumId w:val="19"/>
  </w:num>
  <w:num w:numId="23">
    <w:abstractNumId w:val="26"/>
  </w:num>
  <w:num w:numId="24">
    <w:abstractNumId w:val="5"/>
  </w:num>
  <w:num w:numId="25">
    <w:abstractNumId w:val="37"/>
  </w:num>
  <w:num w:numId="26">
    <w:abstractNumId w:val="36"/>
  </w:num>
  <w:num w:numId="27">
    <w:abstractNumId w:val="7"/>
  </w:num>
  <w:num w:numId="28">
    <w:abstractNumId w:val="34"/>
  </w:num>
  <w:num w:numId="29">
    <w:abstractNumId w:val="3"/>
  </w:num>
  <w:num w:numId="30">
    <w:abstractNumId w:val="25"/>
  </w:num>
  <w:num w:numId="31">
    <w:abstractNumId w:val="1"/>
  </w:num>
  <w:num w:numId="32">
    <w:abstractNumId w:val="30"/>
  </w:num>
  <w:num w:numId="33">
    <w:abstractNumId w:val="38"/>
  </w:num>
  <w:num w:numId="34">
    <w:abstractNumId w:val="0"/>
  </w:num>
  <w:num w:numId="35">
    <w:abstractNumId w:val="20"/>
  </w:num>
  <w:num w:numId="36">
    <w:abstractNumId w:val="29"/>
  </w:num>
  <w:num w:numId="37">
    <w:abstractNumId w:val="15"/>
  </w:num>
  <w:num w:numId="38">
    <w:abstractNumId w:val="13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A856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1507</Words>
  <Characters>1905</Characters>
  <TotalTime>3</TotalTime>
  <ScaleCrop>false</ScaleCrop>
  <LinksUpToDate>false</LinksUpToDate>
  <CharactersWithSpaces>1948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2026-04-19T00:53:00Z</dcterms:created>
  <dc:creator>Apache POI</dc:creator>
  <cp:lastModifiedBy>我系福头</cp:lastModifiedBy>
  <dcterms:modified xsi:type="dcterms:W3CDTF">2026-04-19T00:58:40Z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F9051BCC8F4042D8B5D3F868E4E33F2E_13</vt:lpwstr>
  </property>
</Properties>
</file>