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0ABA" w14:textId="2408770E" w:rsidR="0078558D" w:rsidRPr="001D6E71" w:rsidRDefault="0078558D" w:rsidP="00E2242D">
      <w:pPr>
        <w:spacing w:line="360" w:lineRule="exact"/>
        <w:jc w:val="both"/>
        <w:rPr>
          <w:b/>
          <w:szCs w:val="28"/>
          <w:lang w:val="vi-VN"/>
        </w:rPr>
      </w:pPr>
      <w:r w:rsidRPr="009769D8">
        <w:rPr>
          <w:b/>
          <w:szCs w:val="28"/>
        </w:rPr>
        <w:t>KẾ HOẠCH</w:t>
      </w:r>
      <w:r w:rsidR="001D6E71">
        <w:rPr>
          <w:b/>
          <w:szCs w:val="28"/>
          <w:lang w:val="vi-VN"/>
        </w:rPr>
        <w:t xml:space="preserve"> số 4094/KH-DKVN ngày 21/7/2022 về </w:t>
      </w:r>
      <w:r w:rsidR="004E1656">
        <w:rPr>
          <w:b/>
          <w:szCs w:val="28"/>
        </w:rPr>
        <w:t>t</w:t>
      </w:r>
      <w:r w:rsidR="006B5DD5">
        <w:rPr>
          <w:b/>
          <w:szCs w:val="28"/>
        </w:rPr>
        <w:t>riển khai</w:t>
      </w:r>
      <w:r w:rsidR="008E7CC4">
        <w:rPr>
          <w:b/>
          <w:szCs w:val="28"/>
        </w:rPr>
        <w:t xml:space="preserve"> Hệ thống nhận diện thương hiệu</w:t>
      </w:r>
      <w:r w:rsidR="004E1656">
        <w:rPr>
          <w:b/>
          <w:szCs w:val="28"/>
        </w:rPr>
        <w:t xml:space="preserve"> </w:t>
      </w:r>
      <w:r w:rsidR="008B045D">
        <w:rPr>
          <w:b/>
          <w:szCs w:val="28"/>
        </w:rPr>
        <w:t>Petrovietnam</w:t>
      </w:r>
      <w:r w:rsidR="001D6E71">
        <w:rPr>
          <w:b/>
          <w:szCs w:val="28"/>
          <w:lang w:val="vi-VN"/>
        </w:rPr>
        <w:t xml:space="preserve"> </w:t>
      </w:r>
      <w:r w:rsidR="004E1656">
        <w:rPr>
          <w:b/>
          <w:szCs w:val="28"/>
        </w:rPr>
        <w:t xml:space="preserve">trong toàn </w:t>
      </w:r>
      <w:r w:rsidR="001E0071">
        <w:rPr>
          <w:b/>
          <w:szCs w:val="28"/>
        </w:rPr>
        <w:t>Tập đoàn</w:t>
      </w:r>
    </w:p>
    <w:p w14:paraId="731C6B97" w14:textId="77777777" w:rsidR="0078558D" w:rsidRPr="009769D8" w:rsidRDefault="0078558D" w:rsidP="001F3F9B">
      <w:pPr>
        <w:spacing w:before="120" w:after="120" w:line="360" w:lineRule="exact"/>
        <w:jc w:val="center"/>
        <w:rPr>
          <w:b/>
          <w:szCs w:val="28"/>
        </w:rPr>
      </w:pPr>
    </w:p>
    <w:p w14:paraId="245880E2" w14:textId="10B2E1CA" w:rsidR="0078558D" w:rsidRPr="009769D8" w:rsidRDefault="0078558D" w:rsidP="004C082A">
      <w:pPr>
        <w:tabs>
          <w:tab w:val="left" w:pos="993"/>
        </w:tabs>
        <w:spacing w:before="120" w:after="120" w:line="240" w:lineRule="auto"/>
        <w:ind w:firstLine="709"/>
        <w:jc w:val="both"/>
        <w:rPr>
          <w:b/>
          <w:spacing w:val="-6"/>
          <w:szCs w:val="28"/>
        </w:rPr>
      </w:pPr>
      <w:bookmarkStart w:id="0" w:name="_Hlk109035720"/>
      <w:r w:rsidRPr="009769D8">
        <w:rPr>
          <w:szCs w:val="28"/>
        </w:rPr>
        <w:t xml:space="preserve">Thực hiện </w:t>
      </w:r>
      <w:r w:rsidR="006B5DD5">
        <w:rPr>
          <w:szCs w:val="28"/>
        </w:rPr>
        <w:t>Q</w:t>
      </w:r>
      <w:r w:rsidRPr="009769D8">
        <w:rPr>
          <w:szCs w:val="28"/>
        </w:rPr>
        <w:t xml:space="preserve">uyết định số </w:t>
      </w:r>
      <w:r w:rsidR="006B5DD5">
        <w:rPr>
          <w:szCs w:val="28"/>
        </w:rPr>
        <w:t>6655</w:t>
      </w:r>
      <w:r w:rsidRPr="009769D8">
        <w:rPr>
          <w:szCs w:val="28"/>
        </w:rPr>
        <w:t>/QĐ-DKVN</w:t>
      </w:r>
      <w:r w:rsidRPr="009769D8">
        <w:rPr>
          <w:i/>
          <w:szCs w:val="28"/>
        </w:rPr>
        <w:t xml:space="preserve"> </w:t>
      </w:r>
      <w:r w:rsidRPr="009769D8">
        <w:rPr>
          <w:szCs w:val="28"/>
        </w:rPr>
        <w:t xml:space="preserve">ngày </w:t>
      </w:r>
      <w:r w:rsidR="006B5DD5">
        <w:rPr>
          <w:szCs w:val="28"/>
        </w:rPr>
        <w:t>18/11/2021</w:t>
      </w:r>
      <w:r w:rsidRPr="009769D8">
        <w:rPr>
          <w:szCs w:val="28"/>
        </w:rPr>
        <w:t xml:space="preserve"> của Hội đồng thành viên Tập đoàn Dầu khí Việt Nam </w:t>
      </w:r>
      <w:r w:rsidRPr="009769D8">
        <w:rPr>
          <w:spacing w:val="-6"/>
          <w:szCs w:val="28"/>
        </w:rPr>
        <w:t>(Tập đoàn</w:t>
      </w:r>
      <w:r w:rsidR="00CA6769">
        <w:rPr>
          <w:spacing w:val="-6"/>
          <w:szCs w:val="28"/>
        </w:rPr>
        <w:t>/</w:t>
      </w:r>
      <w:r w:rsidR="00CA6769" w:rsidRPr="00B20250">
        <w:rPr>
          <w:bCs/>
          <w:kern w:val="32"/>
          <w:szCs w:val="28"/>
          <w:lang w:val="en-AU"/>
        </w:rPr>
        <w:t>Petrovietnam</w:t>
      </w:r>
      <w:r w:rsidRPr="009769D8">
        <w:rPr>
          <w:spacing w:val="-6"/>
          <w:szCs w:val="28"/>
        </w:rPr>
        <w:t xml:space="preserve">) </w:t>
      </w:r>
      <w:r w:rsidR="006B5DD5">
        <w:rPr>
          <w:iCs/>
          <w:szCs w:val="28"/>
        </w:rPr>
        <w:t xml:space="preserve">về việc </w:t>
      </w:r>
      <w:r w:rsidR="004E1656">
        <w:rPr>
          <w:iCs/>
          <w:szCs w:val="28"/>
        </w:rPr>
        <w:t>P</w:t>
      </w:r>
      <w:r w:rsidR="006B5DD5">
        <w:rPr>
          <w:iCs/>
          <w:szCs w:val="28"/>
        </w:rPr>
        <w:t xml:space="preserve">hê duyệt Nhãn hiệu của Tập đoàn và Quyết định số 418/QĐ-DKVN ngày 25/01/2022 của Tổng giám đốc Tập đoàn về việc </w:t>
      </w:r>
      <w:r w:rsidR="004E1656">
        <w:rPr>
          <w:iCs/>
          <w:szCs w:val="28"/>
        </w:rPr>
        <w:t>P</w:t>
      </w:r>
      <w:r w:rsidR="006B5DD5">
        <w:rPr>
          <w:iCs/>
          <w:szCs w:val="28"/>
        </w:rPr>
        <w:t>hê duyệt và ban hành Hệ thống nhận diện thương hiệu Tập đoàn</w:t>
      </w:r>
      <w:r w:rsidRPr="009769D8">
        <w:rPr>
          <w:spacing w:val="-6"/>
          <w:szCs w:val="28"/>
        </w:rPr>
        <w:t>;</w:t>
      </w:r>
      <w:r w:rsidR="003B4D41">
        <w:rPr>
          <w:spacing w:val="-6"/>
          <w:szCs w:val="28"/>
        </w:rPr>
        <w:t xml:space="preserve"> </w:t>
      </w:r>
      <w:r w:rsidR="004E1656">
        <w:rPr>
          <w:spacing w:val="-6"/>
          <w:szCs w:val="28"/>
        </w:rPr>
        <w:t>T</w:t>
      </w:r>
      <w:r w:rsidR="003B4D41">
        <w:rPr>
          <w:spacing w:val="-6"/>
          <w:szCs w:val="28"/>
        </w:rPr>
        <w:t xml:space="preserve">hông báo kết luận số 3848/TB-DKVN ngày 12/7/2022 của Chủ tịch Hội đồng thành viên Tập đoàn Dầu khí Việt Nam tại Hội thảo về công tác Thương hiệu </w:t>
      </w:r>
      <w:r w:rsidR="00152BF8" w:rsidRPr="00B20250">
        <w:rPr>
          <w:bCs/>
          <w:kern w:val="32"/>
          <w:szCs w:val="28"/>
          <w:lang w:val="en-AU"/>
        </w:rPr>
        <w:t>Petrovietnam</w:t>
      </w:r>
      <w:r w:rsidR="003B4D41">
        <w:rPr>
          <w:spacing w:val="-6"/>
          <w:szCs w:val="28"/>
        </w:rPr>
        <w:t xml:space="preserve">; </w:t>
      </w:r>
      <w:r w:rsidRPr="009769D8">
        <w:rPr>
          <w:rFonts w:eastAsia="Calibri"/>
          <w:spacing w:val="-6"/>
          <w:szCs w:val="28"/>
        </w:rPr>
        <w:t xml:space="preserve">Tập đoàn </w:t>
      </w:r>
      <w:r w:rsidRPr="009769D8">
        <w:rPr>
          <w:spacing w:val="-6"/>
          <w:szCs w:val="28"/>
        </w:rPr>
        <w:t xml:space="preserve">xây dựng </w:t>
      </w:r>
      <w:r w:rsidR="004E1656">
        <w:rPr>
          <w:spacing w:val="-6"/>
          <w:szCs w:val="28"/>
        </w:rPr>
        <w:t>K</w:t>
      </w:r>
      <w:r w:rsidRPr="009769D8">
        <w:rPr>
          <w:spacing w:val="-6"/>
          <w:szCs w:val="28"/>
        </w:rPr>
        <w:t xml:space="preserve">ế hoạch triển khai </w:t>
      </w:r>
      <w:r w:rsidR="00CE65F9">
        <w:rPr>
          <w:szCs w:val="28"/>
        </w:rPr>
        <w:t>Hệ thống nhận diện thương hiệu</w:t>
      </w:r>
      <w:r w:rsidR="008B045D">
        <w:rPr>
          <w:szCs w:val="28"/>
        </w:rPr>
        <w:t xml:space="preserve"> Petrovietnam</w:t>
      </w:r>
      <w:r w:rsidR="00CE65F9">
        <w:rPr>
          <w:szCs w:val="28"/>
        </w:rPr>
        <w:t xml:space="preserve"> trong toàn Tập đoàn</w:t>
      </w:r>
      <w:bookmarkEnd w:id="0"/>
      <w:r w:rsidR="00D40301">
        <w:rPr>
          <w:szCs w:val="28"/>
        </w:rPr>
        <w:t xml:space="preserve"> </w:t>
      </w:r>
      <w:r w:rsidR="00D40301">
        <w:rPr>
          <w:bCs/>
          <w:kern w:val="32"/>
          <w:szCs w:val="28"/>
          <w:lang w:val="en-AU"/>
        </w:rPr>
        <w:t>Dầu khí Quốc gia Việt Nam (toàn Tập đoàn)</w:t>
      </w:r>
      <w:r w:rsidRPr="009769D8">
        <w:rPr>
          <w:spacing w:val="-6"/>
          <w:szCs w:val="28"/>
        </w:rPr>
        <w:t xml:space="preserve">, </w:t>
      </w:r>
      <w:r w:rsidR="00CE65F9">
        <w:rPr>
          <w:spacing w:val="-6"/>
          <w:szCs w:val="28"/>
        </w:rPr>
        <w:t xml:space="preserve">cụ thể </w:t>
      </w:r>
      <w:r w:rsidRPr="009769D8">
        <w:rPr>
          <w:spacing w:val="-6"/>
          <w:szCs w:val="28"/>
        </w:rPr>
        <w:t>như sau:</w:t>
      </w:r>
    </w:p>
    <w:p w14:paraId="29028527" w14:textId="5850B17C" w:rsidR="0078558D" w:rsidRPr="00E2242D" w:rsidRDefault="0078558D" w:rsidP="00E2242D">
      <w:pPr>
        <w:pStyle w:val="Heading1"/>
        <w:numPr>
          <w:ilvl w:val="0"/>
          <w:numId w:val="9"/>
        </w:numPr>
        <w:spacing w:before="120" w:after="120" w:line="240" w:lineRule="auto"/>
        <w:ind w:left="0" w:firstLine="709"/>
      </w:pPr>
      <w:r w:rsidRPr="009769D8">
        <w:t>MỤC ĐÍCH, YÊU CẦU</w:t>
      </w:r>
      <w:r w:rsidR="00E2242D">
        <w:rPr>
          <w:lang w:val="vi-VN"/>
        </w:rPr>
        <w:t xml:space="preserve">: </w:t>
      </w:r>
      <w:r w:rsidR="00E2242D" w:rsidRPr="00E2242D">
        <w:rPr>
          <w:b w:val="0"/>
          <w:bCs w:val="0"/>
          <w:lang w:val="vi-VN"/>
        </w:rPr>
        <w:t xml:space="preserve">1 </w:t>
      </w:r>
      <w:r w:rsidR="00B20250" w:rsidRPr="00E2242D">
        <w:rPr>
          <w:b w:val="0"/>
          <w:bCs w:val="0"/>
        </w:rPr>
        <w:t>Tạo dựng</w:t>
      </w:r>
      <w:r w:rsidR="00106DE1" w:rsidRPr="00E2242D">
        <w:rPr>
          <w:b w:val="0"/>
          <w:bCs w:val="0"/>
        </w:rPr>
        <w:t>, quảng bá rộng rãi</w:t>
      </w:r>
      <w:r w:rsidR="00B20250" w:rsidRPr="00E2242D">
        <w:rPr>
          <w:b w:val="0"/>
          <w:bCs w:val="0"/>
        </w:rPr>
        <w:t xml:space="preserve"> hình ảnh Petrovietnam</w:t>
      </w:r>
      <w:r w:rsidR="004E1656" w:rsidRPr="00E2242D">
        <w:rPr>
          <w:b w:val="0"/>
          <w:bCs w:val="0"/>
        </w:rPr>
        <w:t xml:space="preserve"> </w:t>
      </w:r>
      <w:r w:rsidR="00B20250" w:rsidRPr="00E2242D">
        <w:rPr>
          <w:b w:val="0"/>
          <w:bCs w:val="0"/>
        </w:rPr>
        <w:t>năng động, linh hoạt, thích ứng với xu thế phát triển mới</w:t>
      </w:r>
      <w:r w:rsidR="00106DE1" w:rsidRPr="00E2242D">
        <w:rPr>
          <w:b w:val="0"/>
          <w:bCs w:val="0"/>
        </w:rPr>
        <w:t xml:space="preserve"> góp phần làm gia tăng uy tín, giá trị thương hiệu</w:t>
      </w:r>
      <w:r w:rsidR="00B20250" w:rsidRPr="00E2242D">
        <w:rPr>
          <w:b w:val="0"/>
          <w:bCs w:val="0"/>
        </w:rPr>
        <w:t xml:space="preserve">, </w:t>
      </w:r>
      <w:r w:rsidR="00005F2C" w:rsidRPr="00E2242D">
        <w:rPr>
          <w:b w:val="0"/>
          <w:bCs w:val="0"/>
        </w:rPr>
        <w:t xml:space="preserve">liên kết chuỗi giá trị dầu khí </w:t>
      </w:r>
      <w:r w:rsidR="00B20250" w:rsidRPr="00E2242D">
        <w:rPr>
          <w:b w:val="0"/>
          <w:bCs w:val="0"/>
        </w:rPr>
        <w:t>với sứ mệnh: “Tối ưu hóa nguồn năng lượng dầu khí, phát triển bền vững các nguồn năng lượng mới, góp phần xây dựng và bảo vệ Tổ quốc”</w:t>
      </w:r>
      <w:r w:rsidRPr="00E2242D">
        <w:rPr>
          <w:b w:val="0"/>
          <w:bCs w:val="0"/>
        </w:rPr>
        <w:t>.</w:t>
      </w:r>
      <w:r w:rsidR="00C4469F" w:rsidRPr="00E2242D">
        <w:rPr>
          <w:b w:val="0"/>
          <w:bCs w:val="0"/>
        </w:rPr>
        <w:t xml:space="preserve"> </w:t>
      </w:r>
      <w:r w:rsidR="00E2242D" w:rsidRPr="00E2242D">
        <w:rPr>
          <w:b w:val="0"/>
          <w:bCs w:val="0"/>
          <w:lang w:val="vi-VN"/>
        </w:rPr>
        <w:t xml:space="preserve">2 </w:t>
      </w:r>
      <w:r w:rsidR="00C4469F" w:rsidRPr="00E2242D">
        <w:rPr>
          <w:b w:val="0"/>
          <w:bCs w:val="0"/>
        </w:rPr>
        <w:t xml:space="preserve">Đầu tư công sức, thời gian, </w:t>
      </w:r>
      <w:r w:rsidR="00342C12" w:rsidRPr="00E2242D">
        <w:rPr>
          <w:b w:val="0"/>
          <w:bCs w:val="0"/>
        </w:rPr>
        <w:t>tài chính</w:t>
      </w:r>
      <w:r w:rsidR="00C4469F" w:rsidRPr="00E2242D">
        <w:rPr>
          <w:b w:val="0"/>
          <w:bCs w:val="0"/>
        </w:rPr>
        <w:t xml:space="preserve"> tổ chức triển khai </w:t>
      </w:r>
      <w:r w:rsidR="00B22280" w:rsidRPr="00E2242D">
        <w:rPr>
          <w:b w:val="0"/>
          <w:bCs w:val="0"/>
        </w:rPr>
        <w:t>thống</w:t>
      </w:r>
      <w:r w:rsidR="00005F2C" w:rsidRPr="00E2242D">
        <w:rPr>
          <w:b w:val="0"/>
          <w:bCs w:val="0"/>
        </w:rPr>
        <w:t xml:space="preserve"> nhất</w:t>
      </w:r>
      <w:r w:rsidR="00B22280" w:rsidRPr="00E2242D">
        <w:rPr>
          <w:b w:val="0"/>
          <w:bCs w:val="0"/>
        </w:rPr>
        <w:t xml:space="preserve"> trong toàn Tập đoàn</w:t>
      </w:r>
      <w:r w:rsidRPr="00E2242D">
        <w:rPr>
          <w:b w:val="0"/>
          <w:bCs w:val="0"/>
        </w:rPr>
        <w:t>.</w:t>
      </w:r>
    </w:p>
    <w:p w14:paraId="2D52F0BE" w14:textId="4C8FD723" w:rsidR="00E8124F" w:rsidRPr="00E2242D" w:rsidRDefault="007F18A4" w:rsidP="00E2242D">
      <w:pPr>
        <w:tabs>
          <w:tab w:val="left" w:pos="993"/>
        </w:tabs>
        <w:spacing w:before="120" w:after="120" w:line="240" w:lineRule="auto"/>
        <w:ind w:firstLine="709"/>
        <w:jc w:val="both"/>
        <w:rPr>
          <w:b/>
          <w:bCs/>
          <w:kern w:val="32"/>
          <w:szCs w:val="28"/>
          <w:lang w:val="vi-VN" w:eastAsia="x-none"/>
        </w:rPr>
      </w:pPr>
      <w:r>
        <w:rPr>
          <w:b/>
          <w:bCs/>
          <w:kern w:val="32"/>
          <w:szCs w:val="28"/>
          <w:lang w:val="en-AU" w:eastAsia="x-none"/>
        </w:rPr>
        <w:t xml:space="preserve">II. </w:t>
      </w:r>
      <w:r w:rsidR="0078558D" w:rsidRPr="009769D8">
        <w:rPr>
          <w:b/>
          <w:bCs/>
          <w:kern w:val="32"/>
          <w:szCs w:val="28"/>
          <w:lang w:val="en-AU" w:eastAsia="x-none"/>
        </w:rPr>
        <w:t>NỘI DUNG</w:t>
      </w:r>
      <w:r w:rsidR="00E2242D">
        <w:rPr>
          <w:b/>
          <w:bCs/>
          <w:kern w:val="32"/>
          <w:szCs w:val="28"/>
          <w:lang w:val="vi-VN" w:eastAsia="x-none"/>
        </w:rPr>
        <w:t xml:space="preserve">: </w:t>
      </w:r>
      <w:r w:rsidR="00E2242D" w:rsidRPr="00E2242D">
        <w:rPr>
          <w:kern w:val="32"/>
          <w:szCs w:val="28"/>
          <w:lang w:val="vi-VN" w:eastAsia="x-none"/>
        </w:rPr>
        <w:t xml:space="preserve">1 </w:t>
      </w:r>
      <w:r w:rsidR="003E62F6" w:rsidRPr="00E2242D">
        <w:rPr>
          <w:kern w:val="32"/>
          <w:szCs w:val="28"/>
          <w:lang w:val="en-AU"/>
        </w:rPr>
        <w:t>Xây dựng hệ thống nhận diện thương hiệu của Petrovietnam là một thể thống nhất, bao gồm toàn bộ thiết kế nhãn hiệu (logo), font chữ, đồ họa bổ trợ và màu sắc đại diện; thể hiện bản sắc, hiện đại, mang phong cách riêng tạo nên dấu ấn nhận diện thương hiệu, thể hiện nhất quán hình ảnh tích cực về một Tập đoàn năng lượng tiên phong trong mọi hoạt động.</w:t>
      </w:r>
      <w:r w:rsidR="00E2242D" w:rsidRPr="00E2242D">
        <w:rPr>
          <w:kern w:val="32"/>
          <w:szCs w:val="28"/>
          <w:lang w:val="vi-VN" w:eastAsia="x-none"/>
        </w:rPr>
        <w:t xml:space="preserve"> 2 </w:t>
      </w:r>
      <w:r w:rsidR="00446CEC" w:rsidRPr="00E2242D">
        <w:rPr>
          <w:rFonts w:cs="Times New Roman"/>
          <w:szCs w:val="28"/>
        </w:rPr>
        <w:t xml:space="preserve">Hệ thống nhận diện </w:t>
      </w:r>
      <w:r w:rsidR="00CC5949" w:rsidRPr="00E2242D">
        <w:rPr>
          <w:rFonts w:cs="Times New Roman"/>
          <w:szCs w:val="28"/>
        </w:rPr>
        <w:t>t</w:t>
      </w:r>
      <w:r w:rsidR="00446CEC" w:rsidRPr="00E2242D">
        <w:rPr>
          <w:rFonts w:cs="Times New Roman"/>
          <w:szCs w:val="28"/>
        </w:rPr>
        <w:t>hương hiệu mới được sử dụng cùng Hệ thống nhận diện</w:t>
      </w:r>
      <w:r w:rsidR="003E62F6" w:rsidRPr="00E2242D">
        <w:rPr>
          <w:rFonts w:cs="Times New Roman"/>
          <w:szCs w:val="28"/>
        </w:rPr>
        <w:t xml:space="preserve"> </w:t>
      </w:r>
      <w:r w:rsidR="00446CEC" w:rsidRPr="00E2242D">
        <w:rPr>
          <w:rFonts w:cs="Times New Roman"/>
          <w:szCs w:val="28"/>
        </w:rPr>
        <w:t>thương hiệu ban hành kèm theo Quyết định số</w:t>
      </w:r>
      <w:r w:rsidR="00E8124F" w:rsidRPr="00E2242D">
        <w:rPr>
          <w:rFonts w:cs="Times New Roman"/>
          <w:szCs w:val="28"/>
        </w:rPr>
        <w:t xml:space="preserve"> </w:t>
      </w:r>
      <w:r w:rsidR="00446CEC" w:rsidRPr="00E2242D">
        <w:rPr>
          <w:rFonts w:cs="Times New Roman"/>
          <w:szCs w:val="28"/>
        </w:rPr>
        <w:t>364/QĐ-DKVN ngày 16/01/2012 của Tổng Giám đốc Tập đoàn</w:t>
      </w:r>
      <w:r w:rsidR="003E62F6" w:rsidRPr="00E2242D">
        <w:rPr>
          <w:rFonts w:cs="Times New Roman"/>
          <w:szCs w:val="28"/>
        </w:rPr>
        <w:t>, có lộ trình thay đổi phù hợp điều kiện thực tế, đảm bảo tính thống nhất:</w:t>
      </w:r>
      <w:r w:rsidR="00E2242D" w:rsidRPr="00E2242D">
        <w:rPr>
          <w:kern w:val="32"/>
          <w:szCs w:val="28"/>
          <w:lang w:val="vi-VN" w:eastAsia="x-none"/>
        </w:rPr>
        <w:t xml:space="preserve"> a </w:t>
      </w:r>
      <w:r w:rsidR="003E62F6" w:rsidRPr="00E2242D">
        <w:rPr>
          <w:rFonts w:cs="Times New Roman"/>
          <w:szCs w:val="28"/>
        </w:rPr>
        <w:t>T</w:t>
      </w:r>
      <w:r w:rsidR="00005F2C" w:rsidRPr="00E2242D">
        <w:rPr>
          <w:rFonts w:cs="Times New Roman"/>
          <w:szCs w:val="28"/>
        </w:rPr>
        <w:t>ừ</w:t>
      </w:r>
      <w:r w:rsidR="003E62F6" w:rsidRPr="00E2242D">
        <w:rPr>
          <w:rFonts w:cs="Times New Roman"/>
          <w:szCs w:val="28"/>
        </w:rPr>
        <w:t xml:space="preserve"> năm 2022 đến </w:t>
      </w:r>
      <w:r w:rsidR="000D5CDF" w:rsidRPr="00E2242D">
        <w:rPr>
          <w:rFonts w:cs="Times New Roman"/>
          <w:szCs w:val="28"/>
        </w:rPr>
        <w:t>khi nhận được giấy chứng nhận đăng ký nhãn hiệu mới (dự kiến hết năm 2024)</w:t>
      </w:r>
      <w:r w:rsidR="003E62F6" w:rsidRPr="00E2242D">
        <w:rPr>
          <w:rFonts w:cs="Times New Roman"/>
          <w:szCs w:val="28"/>
        </w:rPr>
        <w:t xml:space="preserve">: </w:t>
      </w:r>
      <w:r w:rsidR="00446CEC" w:rsidRPr="00E2242D">
        <w:rPr>
          <w:rFonts w:cs="Times New Roman"/>
          <w:szCs w:val="28"/>
        </w:rPr>
        <w:t xml:space="preserve">Nhãn hiệu mới được sử dụng </w:t>
      </w:r>
      <w:r w:rsidR="00F77654" w:rsidRPr="00E2242D">
        <w:rPr>
          <w:rFonts w:cs="Times New Roman"/>
          <w:szCs w:val="28"/>
        </w:rPr>
        <w:t>trong</w:t>
      </w:r>
      <w:r w:rsidR="00901A6E" w:rsidRPr="00E2242D">
        <w:rPr>
          <w:rFonts w:cs="Times New Roman"/>
          <w:szCs w:val="28"/>
        </w:rPr>
        <w:t xml:space="preserve"> các</w:t>
      </w:r>
      <w:r w:rsidR="00F77654" w:rsidRPr="00E2242D">
        <w:rPr>
          <w:rFonts w:cs="Times New Roman"/>
          <w:szCs w:val="28"/>
        </w:rPr>
        <w:t xml:space="preserve"> hoạt động</w:t>
      </w:r>
      <w:r w:rsidR="00D40301" w:rsidRPr="00E2242D">
        <w:rPr>
          <w:rFonts w:cs="Times New Roman"/>
          <w:szCs w:val="28"/>
        </w:rPr>
        <w:t xml:space="preserve"> </w:t>
      </w:r>
      <w:r w:rsidR="00F77654" w:rsidRPr="00E2242D">
        <w:rPr>
          <w:rFonts w:cs="Times New Roman"/>
          <w:szCs w:val="28"/>
        </w:rPr>
        <w:t xml:space="preserve">của </w:t>
      </w:r>
      <w:r w:rsidR="000A46E3" w:rsidRPr="00E2242D">
        <w:rPr>
          <w:rFonts w:cs="Times New Roman"/>
          <w:szCs w:val="28"/>
        </w:rPr>
        <w:t>P</w:t>
      </w:r>
      <w:r w:rsidR="00901A6E" w:rsidRPr="00E2242D">
        <w:rPr>
          <w:rFonts w:cs="Times New Roman"/>
          <w:szCs w:val="28"/>
        </w:rPr>
        <w:t>etrovietnam</w:t>
      </w:r>
      <w:r w:rsidR="000A46E3" w:rsidRPr="00E2242D">
        <w:rPr>
          <w:rFonts w:cs="Times New Roman"/>
          <w:szCs w:val="28"/>
        </w:rPr>
        <w:t xml:space="preserve"> và đơn vị</w:t>
      </w:r>
      <w:r w:rsidR="00F77654" w:rsidRPr="00E2242D">
        <w:rPr>
          <w:rFonts w:cs="Times New Roman"/>
          <w:szCs w:val="28"/>
        </w:rPr>
        <w:t xml:space="preserve"> như</w:t>
      </w:r>
      <w:r w:rsidR="00D40301" w:rsidRPr="00E2242D">
        <w:rPr>
          <w:rFonts w:cs="Times New Roman"/>
          <w:szCs w:val="28"/>
        </w:rPr>
        <w:t>:</w:t>
      </w:r>
      <w:r w:rsidR="00F77654" w:rsidRPr="00E2242D">
        <w:rPr>
          <w:rFonts w:cs="Times New Roman"/>
          <w:szCs w:val="28"/>
        </w:rPr>
        <w:t xml:space="preserve"> </w:t>
      </w:r>
      <w:r w:rsidR="00CC5949" w:rsidRPr="00E2242D">
        <w:rPr>
          <w:rFonts w:cs="Times New Roman"/>
          <w:szCs w:val="28"/>
        </w:rPr>
        <w:t>trong ứng</w:t>
      </w:r>
      <w:r w:rsidR="003E62F6" w:rsidRPr="00E2242D">
        <w:rPr>
          <w:rFonts w:cs="Times New Roman"/>
          <w:szCs w:val="28"/>
        </w:rPr>
        <w:t xml:space="preserve"> dụng </w:t>
      </w:r>
      <w:r w:rsidR="00E8124F" w:rsidRPr="00E2242D">
        <w:rPr>
          <w:rFonts w:cs="Times New Roman"/>
          <w:szCs w:val="28"/>
        </w:rPr>
        <w:t xml:space="preserve">tư liệu </w:t>
      </w:r>
      <w:r w:rsidR="003E62F6" w:rsidRPr="00E2242D">
        <w:rPr>
          <w:rFonts w:cs="Times New Roman"/>
          <w:szCs w:val="28"/>
        </w:rPr>
        <w:t>số</w:t>
      </w:r>
      <w:r w:rsidR="00E8124F" w:rsidRPr="00E2242D">
        <w:rPr>
          <w:rFonts w:cs="Times New Roman"/>
          <w:szCs w:val="28"/>
        </w:rPr>
        <w:t>;</w:t>
      </w:r>
      <w:r w:rsidR="003E62F6" w:rsidRPr="00E2242D">
        <w:rPr>
          <w:rFonts w:cs="Times New Roman"/>
          <w:szCs w:val="28"/>
        </w:rPr>
        <w:t xml:space="preserve"> </w:t>
      </w:r>
      <w:r w:rsidR="00E32732" w:rsidRPr="00E2242D">
        <w:rPr>
          <w:szCs w:val="28"/>
        </w:rPr>
        <w:t>thiết kế nội thất/trang thiết bị văn phòng, trang phục, sản phẩm/quà tặng</w:t>
      </w:r>
      <w:r w:rsidR="00E8124F" w:rsidRPr="00E2242D">
        <w:rPr>
          <w:rFonts w:cs="Times New Roman"/>
          <w:szCs w:val="28"/>
        </w:rPr>
        <w:t xml:space="preserve">… </w:t>
      </w:r>
      <w:r w:rsidR="00E2242D" w:rsidRPr="00E2242D">
        <w:rPr>
          <w:kern w:val="32"/>
          <w:szCs w:val="28"/>
          <w:lang w:val="vi-VN" w:eastAsia="x-none"/>
        </w:rPr>
        <w:t xml:space="preserve"> b </w:t>
      </w:r>
      <w:r w:rsidR="000D5CDF" w:rsidRPr="00E2242D">
        <w:rPr>
          <w:rFonts w:cs="Times New Roman"/>
          <w:spacing w:val="2"/>
          <w:szCs w:val="28"/>
        </w:rPr>
        <w:t>Sau khi nhận được giấy chứng nhận sử dụng nhãn hiệu mới (trong và ngoài nước)</w:t>
      </w:r>
      <w:r w:rsidR="00E8124F" w:rsidRPr="00E2242D">
        <w:rPr>
          <w:rFonts w:cs="Times New Roman"/>
          <w:spacing w:val="2"/>
          <w:szCs w:val="28"/>
        </w:rPr>
        <w:t>: Nhãn hiệu mới được áp dụng thay thế hoàn toàn nhãn hiệu tại Quyết định số 364/QĐ-DKVN</w:t>
      </w:r>
      <w:r w:rsidR="001E0071" w:rsidRPr="00E2242D">
        <w:rPr>
          <w:rFonts w:cs="Times New Roman"/>
          <w:spacing w:val="2"/>
          <w:szCs w:val="28"/>
        </w:rPr>
        <w:t xml:space="preserve"> trong và ngoài lãnh thổ Việt Nam (</w:t>
      </w:r>
      <w:r w:rsidR="000D5CDF" w:rsidRPr="00E2242D">
        <w:rPr>
          <w:rFonts w:cs="Times New Roman"/>
          <w:spacing w:val="2"/>
          <w:szCs w:val="28"/>
        </w:rPr>
        <w:t>dự kiến từ năm 2025</w:t>
      </w:r>
      <w:r w:rsidR="001E0071" w:rsidRPr="00E2242D">
        <w:rPr>
          <w:rFonts w:cs="Times New Roman"/>
          <w:spacing w:val="2"/>
          <w:szCs w:val="28"/>
        </w:rPr>
        <w:t>)</w:t>
      </w:r>
    </w:p>
    <w:p w14:paraId="2CDBC09F" w14:textId="4F5D60AA" w:rsidR="0078558D" w:rsidRPr="009769D8" w:rsidRDefault="007F18A4" w:rsidP="004C082A">
      <w:pPr>
        <w:spacing w:before="120" w:after="120" w:line="240" w:lineRule="auto"/>
        <w:ind w:firstLine="720"/>
        <w:jc w:val="both"/>
        <w:rPr>
          <w:b/>
          <w:szCs w:val="28"/>
        </w:rPr>
      </w:pPr>
      <w:r>
        <w:rPr>
          <w:b/>
          <w:szCs w:val="28"/>
        </w:rPr>
        <w:t>III</w:t>
      </w:r>
      <w:r w:rsidR="0078558D" w:rsidRPr="009769D8">
        <w:rPr>
          <w:b/>
          <w:szCs w:val="28"/>
        </w:rPr>
        <w:t>. TỔ CHỨC THỰC HIỆN</w:t>
      </w:r>
    </w:p>
    <w:p w14:paraId="3794CC42" w14:textId="3885A76A" w:rsidR="007F18A4" w:rsidRDefault="00E2242D" w:rsidP="004C082A">
      <w:pPr>
        <w:tabs>
          <w:tab w:val="left" w:pos="993"/>
          <w:tab w:val="left" w:pos="1276"/>
        </w:tabs>
        <w:spacing w:before="120" w:after="120" w:line="240" w:lineRule="auto"/>
        <w:ind w:firstLine="709"/>
        <w:jc w:val="both"/>
        <w:rPr>
          <w:b/>
          <w:szCs w:val="28"/>
        </w:rPr>
      </w:pPr>
      <w:r>
        <w:rPr>
          <w:b/>
          <w:szCs w:val="28"/>
        </w:rPr>
        <w:t>III</w:t>
      </w:r>
      <w:r>
        <w:rPr>
          <w:b/>
          <w:szCs w:val="28"/>
          <w:lang w:val="vi-VN"/>
        </w:rPr>
        <w:t>.</w:t>
      </w:r>
      <w:r w:rsidR="007F18A4">
        <w:rPr>
          <w:b/>
          <w:szCs w:val="28"/>
        </w:rPr>
        <w:t>1. Các Ban/Văn phòng Tập đoàn.</w:t>
      </w:r>
    </w:p>
    <w:p w14:paraId="48E01DAF" w14:textId="2D649EAD" w:rsidR="00A42C69" w:rsidRPr="00E2242D" w:rsidRDefault="007F18A4" w:rsidP="00E2242D">
      <w:pPr>
        <w:tabs>
          <w:tab w:val="left" w:pos="993"/>
          <w:tab w:val="left" w:pos="1276"/>
        </w:tabs>
        <w:spacing w:before="120" w:after="120" w:line="240" w:lineRule="auto"/>
        <w:ind w:firstLine="709"/>
        <w:jc w:val="both"/>
        <w:rPr>
          <w:szCs w:val="28"/>
          <w:lang w:val="vi-VN"/>
        </w:rPr>
      </w:pPr>
      <w:r>
        <w:rPr>
          <w:b/>
          <w:szCs w:val="28"/>
        </w:rPr>
        <w:t>1</w:t>
      </w:r>
      <w:r w:rsidR="0078558D" w:rsidRPr="009769D8">
        <w:rPr>
          <w:b/>
          <w:szCs w:val="28"/>
        </w:rPr>
        <w:t>.1.</w:t>
      </w:r>
      <w:r w:rsidR="0078558D" w:rsidRPr="009769D8">
        <w:rPr>
          <w:szCs w:val="28"/>
        </w:rPr>
        <w:t xml:space="preserve"> </w:t>
      </w:r>
      <w:r w:rsidR="005A241D" w:rsidRPr="00A55C9F">
        <w:rPr>
          <w:b/>
          <w:bCs/>
          <w:szCs w:val="28"/>
        </w:rPr>
        <w:t>Ban Pháp chế Kiểm tra – Kiểm tra Tập đoàn</w:t>
      </w:r>
      <w:r w:rsidR="00E2242D">
        <w:rPr>
          <w:b/>
          <w:bCs/>
          <w:szCs w:val="28"/>
          <w:lang w:val="vi-VN"/>
        </w:rPr>
        <w:t>:</w:t>
      </w:r>
      <w:r w:rsidR="00E2242D">
        <w:rPr>
          <w:szCs w:val="28"/>
          <w:lang w:val="vi-VN"/>
        </w:rPr>
        <w:t xml:space="preserve"> 1 </w:t>
      </w:r>
      <w:r w:rsidR="005A241D">
        <w:rPr>
          <w:szCs w:val="28"/>
        </w:rPr>
        <w:t>Thực hiện các thủ tục đăng ký nhãn hiệu mới trong và ngoài lãnh thổ Việt Nam theo quy định</w:t>
      </w:r>
      <w:r w:rsidR="008B045D">
        <w:rPr>
          <w:szCs w:val="28"/>
        </w:rPr>
        <w:t>,</w:t>
      </w:r>
      <w:r w:rsidR="005A241D">
        <w:rPr>
          <w:szCs w:val="28"/>
        </w:rPr>
        <w:t xml:space="preserve"> bao gồm cả nhãn hiệu nhánh của các đơn vị thành viên</w:t>
      </w:r>
      <w:r w:rsidR="0022403A">
        <w:rPr>
          <w:szCs w:val="28"/>
        </w:rPr>
        <w:t xml:space="preserve"> (hoàn thành thủ tục trong năm 2022)</w:t>
      </w:r>
      <w:r w:rsidR="005A241D">
        <w:rPr>
          <w:szCs w:val="28"/>
        </w:rPr>
        <w:t>.</w:t>
      </w:r>
      <w:r w:rsidR="00E2242D">
        <w:rPr>
          <w:szCs w:val="28"/>
          <w:lang w:val="vi-VN"/>
        </w:rPr>
        <w:t xml:space="preserve"> 2</w:t>
      </w:r>
      <w:r w:rsidR="00653F71">
        <w:rPr>
          <w:szCs w:val="28"/>
          <w:lang w:val="vi-VN"/>
        </w:rPr>
        <w:t xml:space="preserve"> </w:t>
      </w:r>
      <w:r w:rsidR="005A241D" w:rsidRPr="006D15E3">
        <w:rPr>
          <w:szCs w:val="28"/>
        </w:rPr>
        <w:t xml:space="preserve">Đầu mối </w:t>
      </w:r>
      <w:r w:rsidR="00A42C69" w:rsidRPr="006D15E3">
        <w:rPr>
          <w:szCs w:val="28"/>
        </w:rPr>
        <w:t xml:space="preserve">phối hợp với các ban chức năng của Tập đoàn </w:t>
      </w:r>
      <w:r w:rsidR="005A241D" w:rsidRPr="006D15E3">
        <w:rPr>
          <w:szCs w:val="28"/>
        </w:rPr>
        <w:t>sửa đổi</w:t>
      </w:r>
      <w:r w:rsidR="00A42C69" w:rsidRPr="006D15E3">
        <w:rPr>
          <w:szCs w:val="28"/>
        </w:rPr>
        <w:t xml:space="preserve"> “Quy chế quản lý </w:t>
      </w:r>
      <w:r w:rsidR="0022403A">
        <w:rPr>
          <w:szCs w:val="28"/>
        </w:rPr>
        <w:t>t</w:t>
      </w:r>
      <w:r w:rsidR="00A42C69" w:rsidRPr="006D15E3">
        <w:rPr>
          <w:szCs w:val="28"/>
        </w:rPr>
        <w:t xml:space="preserve">hương hiệu Tập đoàn Dầu khí Việt Nam”, </w:t>
      </w:r>
      <w:r w:rsidR="00074FFA" w:rsidRPr="006D15E3">
        <w:rPr>
          <w:szCs w:val="28"/>
        </w:rPr>
        <w:t xml:space="preserve">hợp đồng chuyển quyền sử dụng </w:t>
      </w:r>
      <w:r w:rsidR="00CC5949">
        <w:rPr>
          <w:szCs w:val="28"/>
        </w:rPr>
        <w:t>N</w:t>
      </w:r>
      <w:r w:rsidR="00074FFA" w:rsidRPr="006D15E3">
        <w:rPr>
          <w:szCs w:val="28"/>
        </w:rPr>
        <w:t xml:space="preserve">hãn hiệu </w:t>
      </w:r>
      <w:r w:rsidR="00152BF8" w:rsidRPr="00B20250">
        <w:rPr>
          <w:bCs/>
          <w:kern w:val="32"/>
          <w:szCs w:val="28"/>
          <w:lang w:val="en-AU"/>
        </w:rPr>
        <w:t>Petrovietnam</w:t>
      </w:r>
      <w:r w:rsidR="00074FFA" w:rsidRPr="006D15E3">
        <w:rPr>
          <w:szCs w:val="28"/>
        </w:rPr>
        <w:t xml:space="preserve"> </w:t>
      </w:r>
      <w:r w:rsidR="00A42C69" w:rsidRPr="006D15E3">
        <w:rPr>
          <w:szCs w:val="28"/>
        </w:rPr>
        <w:t>phù hợp trong từng giai đoạn</w:t>
      </w:r>
      <w:r w:rsidR="00E01326">
        <w:rPr>
          <w:szCs w:val="28"/>
        </w:rPr>
        <w:t xml:space="preserve"> (tại mục II).</w:t>
      </w:r>
      <w:r w:rsidR="00E2242D">
        <w:rPr>
          <w:szCs w:val="28"/>
          <w:lang w:val="vi-VN"/>
        </w:rPr>
        <w:t xml:space="preserve"> 3 </w:t>
      </w:r>
      <w:r w:rsidR="00FC37F8" w:rsidRPr="00901A6E">
        <w:rPr>
          <w:spacing w:val="-4"/>
          <w:szCs w:val="28"/>
        </w:rPr>
        <w:t xml:space="preserve">Đầu mối phối hợp các ban/văn phòng Tập đoàn </w:t>
      </w:r>
      <w:r w:rsidR="00A42C69" w:rsidRPr="00901A6E">
        <w:rPr>
          <w:spacing w:val="-4"/>
          <w:szCs w:val="28"/>
        </w:rPr>
        <w:t>giám sát</w:t>
      </w:r>
      <w:r w:rsidR="0022403A" w:rsidRPr="00901A6E">
        <w:rPr>
          <w:spacing w:val="-4"/>
          <w:szCs w:val="28"/>
        </w:rPr>
        <w:t xml:space="preserve"> thường xuyên; tổ chức </w:t>
      </w:r>
      <w:r w:rsidR="0022403A" w:rsidRPr="00901A6E">
        <w:rPr>
          <w:spacing w:val="-4"/>
          <w:szCs w:val="28"/>
        </w:rPr>
        <w:lastRenderedPageBreak/>
        <w:t xml:space="preserve">đoàn kiểm tra </w:t>
      </w:r>
      <w:r w:rsidR="00A42C69" w:rsidRPr="00901A6E">
        <w:rPr>
          <w:spacing w:val="-4"/>
          <w:szCs w:val="28"/>
        </w:rPr>
        <w:t xml:space="preserve">việc sử dụng </w:t>
      </w:r>
      <w:r w:rsidR="00CC5949">
        <w:rPr>
          <w:spacing w:val="-4"/>
          <w:szCs w:val="28"/>
        </w:rPr>
        <w:t>N</w:t>
      </w:r>
      <w:r w:rsidR="00A42C69" w:rsidRPr="00901A6E">
        <w:rPr>
          <w:spacing w:val="-4"/>
          <w:szCs w:val="28"/>
        </w:rPr>
        <w:t xml:space="preserve">hãn hiệu </w:t>
      </w:r>
      <w:r w:rsidR="00152BF8" w:rsidRPr="00901A6E">
        <w:rPr>
          <w:bCs/>
          <w:spacing w:val="-4"/>
          <w:kern w:val="32"/>
          <w:szCs w:val="28"/>
          <w:lang w:val="en-AU"/>
        </w:rPr>
        <w:t>Petrovietnam</w:t>
      </w:r>
      <w:r w:rsidR="00A42C69" w:rsidRPr="00901A6E">
        <w:rPr>
          <w:spacing w:val="-4"/>
          <w:szCs w:val="28"/>
        </w:rPr>
        <w:t xml:space="preserve"> của các </w:t>
      </w:r>
      <w:r w:rsidR="0022403A" w:rsidRPr="00901A6E">
        <w:rPr>
          <w:spacing w:val="-4"/>
          <w:szCs w:val="28"/>
        </w:rPr>
        <w:t>c</w:t>
      </w:r>
      <w:r w:rsidR="00A42C69" w:rsidRPr="00901A6E">
        <w:rPr>
          <w:spacing w:val="-4"/>
          <w:szCs w:val="28"/>
        </w:rPr>
        <w:t xml:space="preserve">ông ty/đơn vị theo đúng quy định của pháp luật, </w:t>
      </w:r>
      <w:r w:rsidR="0022403A" w:rsidRPr="00901A6E">
        <w:rPr>
          <w:spacing w:val="-4"/>
          <w:szCs w:val="28"/>
        </w:rPr>
        <w:t>đ</w:t>
      </w:r>
      <w:r w:rsidR="00A42C69" w:rsidRPr="00901A6E">
        <w:rPr>
          <w:spacing w:val="-4"/>
          <w:szCs w:val="28"/>
        </w:rPr>
        <w:t xml:space="preserve">iều lệ </w:t>
      </w:r>
      <w:r w:rsidR="00152BF8" w:rsidRPr="00901A6E">
        <w:rPr>
          <w:spacing w:val="-4"/>
          <w:szCs w:val="28"/>
        </w:rPr>
        <w:t xml:space="preserve">tổ chức và hoạt động của </w:t>
      </w:r>
      <w:r w:rsidR="00152BF8" w:rsidRPr="00901A6E">
        <w:rPr>
          <w:bCs/>
          <w:spacing w:val="-4"/>
          <w:kern w:val="32"/>
          <w:szCs w:val="28"/>
          <w:lang w:val="en-AU"/>
        </w:rPr>
        <w:t>Petrovietnam</w:t>
      </w:r>
      <w:r w:rsidR="00A42C69" w:rsidRPr="00901A6E">
        <w:rPr>
          <w:spacing w:val="-4"/>
          <w:szCs w:val="28"/>
        </w:rPr>
        <w:t>.</w:t>
      </w:r>
    </w:p>
    <w:p w14:paraId="1ADC67BF" w14:textId="0A327606" w:rsidR="0078558D" w:rsidRPr="00E2242D" w:rsidRDefault="007F18A4" w:rsidP="00E2242D">
      <w:pPr>
        <w:tabs>
          <w:tab w:val="left" w:pos="993"/>
          <w:tab w:val="left" w:pos="1276"/>
        </w:tabs>
        <w:spacing w:before="120" w:after="120" w:line="240" w:lineRule="auto"/>
        <w:ind w:firstLine="709"/>
        <w:jc w:val="both"/>
        <w:rPr>
          <w:b/>
          <w:bCs/>
          <w:szCs w:val="28"/>
        </w:rPr>
      </w:pPr>
      <w:r>
        <w:rPr>
          <w:b/>
          <w:bCs/>
          <w:szCs w:val="28"/>
        </w:rPr>
        <w:t>1</w:t>
      </w:r>
      <w:r w:rsidR="005A241D" w:rsidRPr="00074FFA">
        <w:rPr>
          <w:b/>
          <w:bCs/>
          <w:szCs w:val="28"/>
        </w:rPr>
        <w:t xml:space="preserve">.2. </w:t>
      </w:r>
      <w:r w:rsidR="0078558D" w:rsidRPr="00074FFA">
        <w:rPr>
          <w:b/>
          <w:bCs/>
          <w:szCs w:val="28"/>
        </w:rPr>
        <w:t xml:space="preserve">Ban Truyền thông &amp; Văn hóa doanh nghiệp </w:t>
      </w:r>
      <w:r w:rsidR="00EB6427" w:rsidRPr="00074FFA">
        <w:rPr>
          <w:b/>
          <w:bCs/>
          <w:szCs w:val="28"/>
        </w:rPr>
        <w:t>Tập đoàn</w:t>
      </w:r>
      <w:r w:rsidR="00E2242D">
        <w:rPr>
          <w:b/>
          <w:bCs/>
          <w:szCs w:val="28"/>
          <w:lang w:val="vi-VN"/>
        </w:rPr>
        <w:t>:</w:t>
      </w:r>
      <w:r w:rsidR="00EB6427" w:rsidRPr="00074FFA">
        <w:rPr>
          <w:b/>
          <w:bCs/>
          <w:szCs w:val="28"/>
        </w:rPr>
        <w:t xml:space="preserve"> </w:t>
      </w:r>
      <w:r w:rsidR="00E2242D" w:rsidRPr="00E2242D">
        <w:rPr>
          <w:szCs w:val="28"/>
          <w:lang w:val="vi-VN"/>
        </w:rPr>
        <w:t xml:space="preserve">1 </w:t>
      </w:r>
      <w:r w:rsidR="00475AE2" w:rsidRPr="00E2242D">
        <w:rPr>
          <w:szCs w:val="28"/>
        </w:rPr>
        <w:t xml:space="preserve">Kiểm soát hình ảnh, thiết kế sử dụng </w:t>
      </w:r>
      <w:r w:rsidR="00CC5949" w:rsidRPr="00E2242D">
        <w:rPr>
          <w:szCs w:val="28"/>
        </w:rPr>
        <w:t>N</w:t>
      </w:r>
      <w:r w:rsidR="00475AE2" w:rsidRPr="00E2242D">
        <w:rPr>
          <w:szCs w:val="28"/>
        </w:rPr>
        <w:t xml:space="preserve">hãn hiệu </w:t>
      </w:r>
      <w:r w:rsidR="00152BF8" w:rsidRPr="00E2242D">
        <w:rPr>
          <w:kern w:val="32"/>
          <w:szCs w:val="28"/>
          <w:lang w:val="en-AU"/>
        </w:rPr>
        <w:t>Petrovietnam</w:t>
      </w:r>
      <w:r w:rsidR="00E2242D" w:rsidRPr="00E2242D">
        <w:rPr>
          <w:szCs w:val="28"/>
          <w:lang w:val="vi-VN"/>
        </w:rPr>
        <w:t xml:space="preserve">. 2 </w:t>
      </w:r>
      <w:r w:rsidR="0078558D" w:rsidRPr="00E2242D">
        <w:rPr>
          <w:szCs w:val="28"/>
        </w:rPr>
        <w:t>Giám sát, tổng hợp, đánh giá</w:t>
      </w:r>
      <w:r w:rsidR="008B045D" w:rsidRPr="00E2242D">
        <w:rPr>
          <w:szCs w:val="28"/>
        </w:rPr>
        <w:t>,</w:t>
      </w:r>
      <w:r w:rsidR="0078558D" w:rsidRPr="00E2242D">
        <w:rPr>
          <w:szCs w:val="28"/>
        </w:rPr>
        <w:t xml:space="preserve"> </w:t>
      </w:r>
      <w:r w:rsidR="00DE70FB" w:rsidRPr="00E2242D">
        <w:rPr>
          <w:szCs w:val="28"/>
          <w:lang w:val="vi-VN"/>
        </w:rPr>
        <w:t xml:space="preserve">báo cáo </w:t>
      </w:r>
      <w:r w:rsidR="0078558D" w:rsidRPr="00E2242D">
        <w:rPr>
          <w:szCs w:val="28"/>
        </w:rPr>
        <w:t xml:space="preserve">kết quả và đề xuất </w:t>
      </w:r>
      <w:r w:rsidR="004E1656" w:rsidRPr="00E2242D">
        <w:rPr>
          <w:szCs w:val="28"/>
        </w:rPr>
        <w:t>l</w:t>
      </w:r>
      <w:r w:rsidR="00DE70FB" w:rsidRPr="00E2242D">
        <w:rPr>
          <w:szCs w:val="28"/>
        </w:rPr>
        <w:t xml:space="preserve">ãnh đạo Tập đoàn </w:t>
      </w:r>
      <w:r w:rsidR="0078558D" w:rsidRPr="00E2242D">
        <w:rPr>
          <w:szCs w:val="28"/>
        </w:rPr>
        <w:t>giải pháp tháo gỡ vướng</w:t>
      </w:r>
      <w:r w:rsidR="0078558D" w:rsidRPr="009769D8">
        <w:rPr>
          <w:szCs w:val="28"/>
        </w:rPr>
        <w:t xml:space="preserve"> mắc, khó khăn trong quá trình triển khai thực hiện Kế hoạch này. </w:t>
      </w:r>
    </w:p>
    <w:p w14:paraId="3E549308" w14:textId="326AA4D8" w:rsidR="002B4587" w:rsidRPr="00E2242D" w:rsidRDefault="00473119" w:rsidP="00E2242D">
      <w:pPr>
        <w:tabs>
          <w:tab w:val="left" w:pos="993"/>
          <w:tab w:val="num" w:pos="1260"/>
          <w:tab w:val="num" w:pos="5039"/>
        </w:tabs>
        <w:spacing w:before="120" w:after="120" w:line="240" w:lineRule="auto"/>
        <w:ind w:firstLine="709"/>
        <w:jc w:val="both"/>
        <w:rPr>
          <w:b/>
          <w:bCs/>
          <w:szCs w:val="28"/>
          <w:lang w:val="vi-VN"/>
        </w:rPr>
      </w:pPr>
      <w:r w:rsidRPr="00473119">
        <w:rPr>
          <w:b/>
          <w:bCs/>
          <w:szCs w:val="28"/>
        </w:rPr>
        <w:t xml:space="preserve">1.3. </w:t>
      </w:r>
      <w:r>
        <w:rPr>
          <w:b/>
          <w:bCs/>
          <w:szCs w:val="28"/>
        </w:rPr>
        <w:t>Các Ban/</w:t>
      </w:r>
      <w:r w:rsidRPr="00473119">
        <w:rPr>
          <w:b/>
          <w:bCs/>
          <w:szCs w:val="28"/>
        </w:rPr>
        <w:t>Văn phòng Tập đoàn</w:t>
      </w:r>
      <w:r w:rsidR="00E2242D">
        <w:rPr>
          <w:b/>
          <w:bCs/>
          <w:szCs w:val="28"/>
          <w:lang w:val="vi-VN"/>
        </w:rPr>
        <w:t xml:space="preserve">: </w:t>
      </w:r>
      <w:r w:rsidR="00E2242D" w:rsidRPr="00E2242D">
        <w:rPr>
          <w:szCs w:val="28"/>
          <w:lang w:val="vi-VN"/>
        </w:rPr>
        <w:t xml:space="preserve">1 </w:t>
      </w:r>
      <w:r w:rsidRPr="00E2242D">
        <w:rPr>
          <w:szCs w:val="28"/>
        </w:rPr>
        <w:t xml:space="preserve">Văn phòng áp dụng sử dụng nhãn hiệu mới trong </w:t>
      </w:r>
      <w:r w:rsidR="004E1656" w:rsidRPr="00E2242D">
        <w:rPr>
          <w:szCs w:val="28"/>
        </w:rPr>
        <w:t>thiết kế nội thất/</w:t>
      </w:r>
      <w:r w:rsidR="002B4587" w:rsidRPr="00E2242D">
        <w:rPr>
          <w:szCs w:val="28"/>
        </w:rPr>
        <w:t>trang thiết bị văn phòng, sản phẩm/quà tặng… hoàn thành trong năm 2022</w:t>
      </w:r>
      <w:r w:rsidR="00E2242D" w:rsidRPr="00E2242D">
        <w:rPr>
          <w:szCs w:val="28"/>
          <w:lang w:val="vi-VN"/>
        </w:rPr>
        <w:t xml:space="preserve">. 2 </w:t>
      </w:r>
      <w:r w:rsidR="002B4587" w:rsidRPr="00E2242D">
        <w:rPr>
          <w:szCs w:val="28"/>
        </w:rPr>
        <w:t xml:space="preserve">Các </w:t>
      </w:r>
      <w:r w:rsidR="00E01326" w:rsidRPr="00E2242D">
        <w:rPr>
          <w:szCs w:val="28"/>
        </w:rPr>
        <w:t>b</w:t>
      </w:r>
      <w:r w:rsidR="002B4587" w:rsidRPr="00E2242D">
        <w:rPr>
          <w:szCs w:val="28"/>
        </w:rPr>
        <w:t>an Tập đoàn</w:t>
      </w:r>
      <w:r w:rsidR="0056296A" w:rsidRPr="00E2242D">
        <w:rPr>
          <w:szCs w:val="28"/>
        </w:rPr>
        <w:t xml:space="preserve"> thực hiện đồng loạt</w:t>
      </w:r>
      <w:r w:rsidR="002B4587" w:rsidRPr="00E2242D">
        <w:rPr>
          <w:szCs w:val="28"/>
        </w:rPr>
        <w:t xml:space="preserve"> sử dụng nhãn hiệu mới trong các</w:t>
      </w:r>
      <w:r w:rsidR="0056296A" w:rsidRPr="00E2242D">
        <w:rPr>
          <w:szCs w:val="28"/>
        </w:rPr>
        <w:t xml:space="preserve"> văn bản nội bộ,</w:t>
      </w:r>
      <w:r w:rsidR="002B4587" w:rsidRPr="00E2242D">
        <w:rPr>
          <w:szCs w:val="28"/>
        </w:rPr>
        <w:t xml:space="preserve"> ứng dụng số</w:t>
      </w:r>
      <w:r w:rsidR="0056296A" w:rsidRPr="00E2242D">
        <w:rPr>
          <w:szCs w:val="28"/>
        </w:rPr>
        <w:t xml:space="preserve">, trang trí văn phòng… hoàn thành chậm nhất trong tháng </w:t>
      </w:r>
      <w:r w:rsidR="001A3E78" w:rsidRPr="00E2242D">
        <w:rPr>
          <w:szCs w:val="28"/>
        </w:rPr>
        <w:t>8</w:t>
      </w:r>
      <w:r w:rsidR="0056296A" w:rsidRPr="00E2242D">
        <w:rPr>
          <w:szCs w:val="28"/>
        </w:rPr>
        <w:t>/2022.</w:t>
      </w:r>
    </w:p>
    <w:p w14:paraId="44E86854" w14:textId="3D2FF57D" w:rsidR="001F3F9B" w:rsidRPr="00E2242D" w:rsidRDefault="00E2242D" w:rsidP="00E2242D">
      <w:pPr>
        <w:tabs>
          <w:tab w:val="left" w:pos="993"/>
          <w:tab w:val="left" w:pos="1276"/>
        </w:tabs>
        <w:spacing w:before="120" w:after="120" w:line="240" w:lineRule="auto"/>
        <w:ind w:firstLine="709"/>
        <w:jc w:val="both"/>
        <w:rPr>
          <w:b/>
          <w:szCs w:val="28"/>
          <w:lang w:val="vi-VN"/>
        </w:rPr>
      </w:pPr>
      <w:r>
        <w:rPr>
          <w:b/>
          <w:szCs w:val="28"/>
        </w:rPr>
        <w:t>III</w:t>
      </w:r>
      <w:r>
        <w:rPr>
          <w:b/>
          <w:szCs w:val="28"/>
          <w:lang w:val="vi-VN"/>
        </w:rPr>
        <w:t xml:space="preserve">. </w:t>
      </w:r>
      <w:r w:rsidR="007F18A4">
        <w:rPr>
          <w:b/>
          <w:szCs w:val="28"/>
        </w:rPr>
        <w:t>2</w:t>
      </w:r>
      <w:r w:rsidR="001F3F9B" w:rsidRPr="007F18A4">
        <w:rPr>
          <w:b/>
          <w:szCs w:val="28"/>
          <w:lang w:val="vi-VN"/>
        </w:rPr>
        <w:t xml:space="preserve">. Các </w:t>
      </w:r>
      <w:r w:rsidR="00074FFA" w:rsidRPr="007F18A4">
        <w:rPr>
          <w:b/>
          <w:szCs w:val="28"/>
        </w:rPr>
        <w:t>Công ty/</w:t>
      </w:r>
      <w:r w:rsidR="001F3F9B" w:rsidRPr="007F18A4">
        <w:rPr>
          <w:b/>
          <w:szCs w:val="28"/>
          <w:lang w:val="vi-VN"/>
        </w:rPr>
        <w:t xml:space="preserve">đơn vị </w:t>
      </w:r>
      <w:r w:rsidR="00074FFA" w:rsidRPr="007F18A4">
        <w:rPr>
          <w:b/>
          <w:szCs w:val="28"/>
        </w:rPr>
        <w:t xml:space="preserve">sử dụng Nhãn hiệu </w:t>
      </w:r>
      <w:r w:rsidR="00CC5949">
        <w:rPr>
          <w:b/>
          <w:szCs w:val="28"/>
        </w:rPr>
        <w:t>Petrovietnam</w:t>
      </w:r>
      <w:r>
        <w:rPr>
          <w:b/>
          <w:szCs w:val="28"/>
          <w:lang w:val="vi-VN"/>
        </w:rPr>
        <w:t xml:space="preserve">: 1 </w:t>
      </w:r>
      <w:r w:rsidR="0033706D" w:rsidRPr="0033706D">
        <w:rPr>
          <w:szCs w:val="28"/>
        </w:rPr>
        <w:t xml:space="preserve">Việc </w:t>
      </w:r>
      <w:r w:rsidR="00F77654">
        <w:rPr>
          <w:szCs w:val="28"/>
        </w:rPr>
        <w:t xml:space="preserve">sử dụng </w:t>
      </w:r>
      <w:r w:rsidR="00CC5949">
        <w:rPr>
          <w:szCs w:val="28"/>
        </w:rPr>
        <w:t>Nhãn</w:t>
      </w:r>
      <w:r w:rsidR="00F77654">
        <w:rPr>
          <w:szCs w:val="28"/>
        </w:rPr>
        <w:t xml:space="preserve"> </w:t>
      </w:r>
      <w:r w:rsidR="0033706D" w:rsidRPr="0033706D">
        <w:rPr>
          <w:szCs w:val="28"/>
        </w:rPr>
        <w:t>hiệu</w:t>
      </w:r>
      <w:r w:rsidR="00F77654">
        <w:rPr>
          <w:szCs w:val="28"/>
        </w:rPr>
        <w:t xml:space="preserve"> </w:t>
      </w:r>
      <w:r w:rsidR="00152BF8" w:rsidRPr="00B20250">
        <w:rPr>
          <w:bCs/>
          <w:kern w:val="32"/>
          <w:szCs w:val="28"/>
          <w:lang w:val="en-AU"/>
        </w:rPr>
        <w:t>Petrovietnam</w:t>
      </w:r>
      <w:r w:rsidR="00152BF8" w:rsidRPr="0033706D">
        <w:rPr>
          <w:szCs w:val="28"/>
        </w:rPr>
        <w:t xml:space="preserve"> </w:t>
      </w:r>
      <w:r w:rsidR="0033706D" w:rsidRPr="0033706D">
        <w:rPr>
          <w:szCs w:val="28"/>
        </w:rPr>
        <w:t xml:space="preserve">thực hiện bắt buộc đối với các </w:t>
      </w:r>
      <w:r w:rsidR="00F77654">
        <w:rPr>
          <w:szCs w:val="28"/>
        </w:rPr>
        <w:t>doanh nghiệp</w:t>
      </w:r>
      <w:r w:rsidR="0033706D" w:rsidRPr="0033706D">
        <w:rPr>
          <w:szCs w:val="28"/>
        </w:rPr>
        <w:t xml:space="preserve"> cấp II</w:t>
      </w:r>
      <w:r w:rsidR="0033706D">
        <w:rPr>
          <w:szCs w:val="28"/>
        </w:rPr>
        <w:t xml:space="preserve"> </w:t>
      </w:r>
      <w:r w:rsidR="00F77654">
        <w:rPr>
          <w:szCs w:val="28"/>
        </w:rPr>
        <w:t>của</w:t>
      </w:r>
      <w:r w:rsidR="0033706D">
        <w:rPr>
          <w:szCs w:val="28"/>
        </w:rPr>
        <w:t xml:space="preserve"> Tập đoàn </w:t>
      </w:r>
      <w:r w:rsidR="00F77654">
        <w:rPr>
          <w:szCs w:val="28"/>
        </w:rPr>
        <w:t xml:space="preserve">(các </w:t>
      </w:r>
      <w:r w:rsidR="00E433AB">
        <w:rPr>
          <w:szCs w:val="28"/>
        </w:rPr>
        <w:t>d</w:t>
      </w:r>
      <w:r w:rsidR="00F77654">
        <w:rPr>
          <w:szCs w:val="28"/>
        </w:rPr>
        <w:t xml:space="preserve">oanh nghiệp có vốn góp của </w:t>
      </w:r>
      <w:r w:rsidR="00152BF8" w:rsidRPr="00B20250">
        <w:rPr>
          <w:bCs/>
          <w:kern w:val="32"/>
          <w:szCs w:val="28"/>
          <w:lang w:val="en-AU"/>
        </w:rPr>
        <w:t>Petrovietnam</w:t>
      </w:r>
      <w:r w:rsidR="00F77654">
        <w:rPr>
          <w:szCs w:val="28"/>
        </w:rPr>
        <w:t xml:space="preserve"> và do </w:t>
      </w:r>
      <w:r w:rsidR="00152BF8" w:rsidRPr="00B20250">
        <w:rPr>
          <w:bCs/>
          <w:kern w:val="32"/>
          <w:szCs w:val="28"/>
          <w:lang w:val="en-AU"/>
        </w:rPr>
        <w:t>Petrovietnam</w:t>
      </w:r>
      <w:r w:rsidR="00F77654">
        <w:rPr>
          <w:szCs w:val="28"/>
        </w:rPr>
        <w:t xml:space="preserve"> nắm giữ quyền chi phối)</w:t>
      </w:r>
      <w:r w:rsidR="00D555CD">
        <w:rPr>
          <w:szCs w:val="28"/>
        </w:rPr>
        <w:t>;</w:t>
      </w:r>
      <w:r w:rsidR="0033706D">
        <w:rPr>
          <w:szCs w:val="28"/>
        </w:rPr>
        <w:t xml:space="preserve"> các </w:t>
      </w:r>
      <w:r w:rsidR="00D555CD">
        <w:rPr>
          <w:szCs w:val="28"/>
        </w:rPr>
        <w:t>doanh nghiệp</w:t>
      </w:r>
      <w:r w:rsidR="0033706D">
        <w:rPr>
          <w:szCs w:val="28"/>
        </w:rPr>
        <w:t xml:space="preserve"> cấp III </w:t>
      </w:r>
      <w:r w:rsidR="00D555CD">
        <w:rPr>
          <w:szCs w:val="28"/>
        </w:rPr>
        <w:t xml:space="preserve">của Tập đoàn (các </w:t>
      </w:r>
      <w:r w:rsidR="00E433AB">
        <w:rPr>
          <w:szCs w:val="28"/>
        </w:rPr>
        <w:t>d</w:t>
      </w:r>
      <w:r w:rsidR="00D555CD">
        <w:rPr>
          <w:szCs w:val="28"/>
        </w:rPr>
        <w:t xml:space="preserve">oanh nghiệp có vốn góp của </w:t>
      </w:r>
      <w:r w:rsidR="00E433AB">
        <w:rPr>
          <w:szCs w:val="28"/>
        </w:rPr>
        <w:t>d</w:t>
      </w:r>
      <w:r w:rsidR="00D555CD">
        <w:rPr>
          <w:szCs w:val="28"/>
        </w:rPr>
        <w:t xml:space="preserve">oanh nghiệp </w:t>
      </w:r>
      <w:r w:rsidR="0033706D">
        <w:rPr>
          <w:szCs w:val="28"/>
        </w:rPr>
        <w:t xml:space="preserve">cấp II </w:t>
      </w:r>
      <w:r w:rsidR="00D555CD">
        <w:rPr>
          <w:szCs w:val="28"/>
        </w:rPr>
        <w:t xml:space="preserve">và do </w:t>
      </w:r>
      <w:r w:rsidR="00E433AB">
        <w:rPr>
          <w:szCs w:val="28"/>
        </w:rPr>
        <w:t>d</w:t>
      </w:r>
      <w:r w:rsidR="00D555CD">
        <w:rPr>
          <w:szCs w:val="28"/>
        </w:rPr>
        <w:t>oanh nghiệp cấp II giữ quyền</w:t>
      </w:r>
      <w:r w:rsidR="0033706D" w:rsidRPr="0033706D">
        <w:rPr>
          <w:szCs w:val="28"/>
        </w:rPr>
        <w:t xml:space="preserve"> chi phối</w:t>
      </w:r>
      <w:r w:rsidR="00D555CD">
        <w:rPr>
          <w:szCs w:val="28"/>
        </w:rPr>
        <w:t>).</w:t>
      </w:r>
      <w:r>
        <w:rPr>
          <w:b/>
          <w:szCs w:val="28"/>
          <w:lang w:val="vi-VN"/>
        </w:rPr>
        <w:t xml:space="preserve"> 2 </w:t>
      </w:r>
      <w:r w:rsidR="00475AE2">
        <w:rPr>
          <w:szCs w:val="28"/>
        </w:rPr>
        <w:t xml:space="preserve">Đăng ký </w:t>
      </w:r>
      <w:r w:rsidR="009767FD">
        <w:rPr>
          <w:szCs w:val="28"/>
        </w:rPr>
        <w:t xml:space="preserve">bổ sung </w:t>
      </w:r>
      <w:r w:rsidR="00475AE2">
        <w:rPr>
          <w:szCs w:val="28"/>
        </w:rPr>
        <w:t xml:space="preserve">các ngành nghề của đơn vị </w:t>
      </w:r>
      <w:r w:rsidR="009767FD">
        <w:rPr>
          <w:szCs w:val="28"/>
        </w:rPr>
        <w:t>(nếu có), t</w:t>
      </w:r>
      <w:r w:rsidR="00951E64">
        <w:rPr>
          <w:szCs w:val="28"/>
        </w:rPr>
        <w:t>hiết kế nhãn hiệu mới của đơn vị</w:t>
      </w:r>
      <w:r w:rsidR="009767FD">
        <w:rPr>
          <w:szCs w:val="28"/>
        </w:rPr>
        <w:t xml:space="preserve"> </w:t>
      </w:r>
      <w:r w:rsidR="00986385">
        <w:rPr>
          <w:szCs w:val="28"/>
        </w:rPr>
        <w:t>cùng</w:t>
      </w:r>
      <w:r w:rsidR="00E433AB">
        <w:rPr>
          <w:szCs w:val="28"/>
        </w:rPr>
        <w:t xml:space="preserve"> các đơn vị trực thuộc </w:t>
      </w:r>
      <w:r w:rsidR="009767FD">
        <w:rPr>
          <w:szCs w:val="28"/>
        </w:rPr>
        <w:t xml:space="preserve">theo quy định tại </w:t>
      </w:r>
      <w:r w:rsidR="00E433AB">
        <w:rPr>
          <w:szCs w:val="28"/>
        </w:rPr>
        <w:t>Q</w:t>
      </w:r>
      <w:r w:rsidR="009767FD">
        <w:rPr>
          <w:szCs w:val="28"/>
        </w:rPr>
        <w:t xml:space="preserve">uyết định </w:t>
      </w:r>
      <w:r w:rsidR="00F33550">
        <w:rPr>
          <w:iCs/>
          <w:szCs w:val="28"/>
        </w:rPr>
        <w:t xml:space="preserve">418/QĐ-DKVN ngày 25/01/2022 </w:t>
      </w:r>
      <w:r w:rsidR="00986385">
        <w:rPr>
          <w:iCs/>
          <w:szCs w:val="28"/>
        </w:rPr>
        <w:t xml:space="preserve">và được điều chỉnh quy định màu sắc theo mẫu thiết kế tại </w:t>
      </w:r>
      <w:r w:rsidR="00DA4AC6">
        <w:rPr>
          <w:iCs/>
          <w:szCs w:val="28"/>
        </w:rPr>
        <w:t xml:space="preserve">phụ lục </w:t>
      </w:r>
      <w:r w:rsidR="00986385">
        <w:rPr>
          <w:iCs/>
          <w:szCs w:val="28"/>
        </w:rPr>
        <w:t>gửi kèm;</w:t>
      </w:r>
      <w:r w:rsidR="00DA4AC6">
        <w:rPr>
          <w:iCs/>
          <w:szCs w:val="28"/>
        </w:rPr>
        <w:t xml:space="preserve"> </w:t>
      </w:r>
      <w:r w:rsidR="00ED3E29">
        <w:rPr>
          <w:szCs w:val="28"/>
        </w:rPr>
        <w:t xml:space="preserve">báo cáo để </w:t>
      </w:r>
      <w:r w:rsidR="009767FD">
        <w:rPr>
          <w:szCs w:val="28"/>
        </w:rPr>
        <w:t xml:space="preserve">Tập đoàn </w:t>
      </w:r>
      <w:r w:rsidR="00E433AB">
        <w:rPr>
          <w:szCs w:val="28"/>
        </w:rPr>
        <w:t xml:space="preserve">xem xét, phê duyệt và thực hiện </w:t>
      </w:r>
      <w:r w:rsidR="00951E64">
        <w:rPr>
          <w:szCs w:val="28"/>
        </w:rPr>
        <w:t xml:space="preserve">đăng ký quyền sở hữu </w:t>
      </w:r>
      <w:r w:rsidR="000A46E3">
        <w:rPr>
          <w:szCs w:val="28"/>
        </w:rPr>
        <w:t>nhãn hiệu</w:t>
      </w:r>
      <w:r w:rsidR="009767FD">
        <w:rPr>
          <w:szCs w:val="28"/>
        </w:rPr>
        <w:t xml:space="preserve"> </w:t>
      </w:r>
      <w:r w:rsidR="00473119">
        <w:rPr>
          <w:szCs w:val="28"/>
        </w:rPr>
        <w:t>(</w:t>
      </w:r>
      <w:r w:rsidR="00E433AB">
        <w:rPr>
          <w:szCs w:val="28"/>
        </w:rPr>
        <w:t>hoàn thành chậm nhất ngày 30/9/2022)</w:t>
      </w:r>
      <w:r w:rsidR="00C05C28">
        <w:rPr>
          <w:szCs w:val="28"/>
        </w:rPr>
        <w:t>.</w:t>
      </w:r>
      <w:r w:rsidR="000A46E3">
        <w:rPr>
          <w:szCs w:val="28"/>
        </w:rPr>
        <w:t xml:space="preserve"> Đơn vị tuyệt đối không tự đăng ký quyền sở hữu nhãn hiệu mới của đơn vị có sử dụng hình ảnh </w:t>
      </w:r>
      <w:r w:rsidR="00CC5949">
        <w:rPr>
          <w:szCs w:val="28"/>
        </w:rPr>
        <w:t>N</w:t>
      </w:r>
      <w:r w:rsidR="000A46E3">
        <w:rPr>
          <w:szCs w:val="28"/>
        </w:rPr>
        <w:t xml:space="preserve">hãn hiệu của </w:t>
      </w:r>
      <w:r w:rsidR="00152BF8" w:rsidRPr="00B20250">
        <w:rPr>
          <w:bCs/>
          <w:kern w:val="32"/>
          <w:szCs w:val="28"/>
          <w:lang w:val="en-AU"/>
        </w:rPr>
        <w:t>Petrovietnam</w:t>
      </w:r>
      <w:r w:rsidR="008B045D">
        <w:rPr>
          <w:bCs/>
          <w:kern w:val="32"/>
          <w:szCs w:val="28"/>
          <w:lang w:val="en-AU"/>
        </w:rPr>
        <w:t xml:space="preserve"> (nếu không được Tập đoàn ủy quyền)</w:t>
      </w:r>
      <w:r w:rsidR="00152BF8">
        <w:rPr>
          <w:bCs/>
          <w:kern w:val="32"/>
          <w:szCs w:val="28"/>
          <w:lang w:val="en-AU"/>
        </w:rPr>
        <w:t>.</w:t>
      </w:r>
      <w:r>
        <w:rPr>
          <w:b/>
          <w:szCs w:val="28"/>
          <w:lang w:val="vi-VN"/>
        </w:rPr>
        <w:t xml:space="preserve"> 3 </w:t>
      </w:r>
      <w:r w:rsidR="00475AE2">
        <w:rPr>
          <w:szCs w:val="28"/>
        </w:rPr>
        <w:t>X</w:t>
      </w:r>
      <w:r w:rsidR="00074FFA">
        <w:rPr>
          <w:szCs w:val="28"/>
        </w:rPr>
        <w:t xml:space="preserve">ây dựng </w:t>
      </w:r>
      <w:r w:rsidR="001F3F9B" w:rsidRPr="009769D8">
        <w:rPr>
          <w:szCs w:val="28"/>
          <w:lang w:val="vi-VN"/>
        </w:rPr>
        <w:t>kế hoạch</w:t>
      </w:r>
      <w:r w:rsidR="00074FFA">
        <w:rPr>
          <w:szCs w:val="28"/>
        </w:rPr>
        <w:t xml:space="preserve">, lộ trình cụ thể với từng sản phẩm ứng dụng áp dụng nhãn hiệu mới của </w:t>
      </w:r>
      <w:r w:rsidR="00152BF8" w:rsidRPr="00B20250">
        <w:rPr>
          <w:bCs/>
          <w:kern w:val="32"/>
          <w:szCs w:val="28"/>
          <w:lang w:val="en-AU"/>
        </w:rPr>
        <w:t>Petrovietnam</w:t>
      </w:r>
      <w:r w:rsidR="00074FFA">
        <w:rPr>
          <w:szCs w:val="28"/>
        </w:rPr>
        <w:t xml:space="preserve">, </w:t>
      </w:r>
      <w:r w:rsidR="006F2099">
        <w:rPr>
          <w:szCs w:val="28"/>
        </w:rPr>
        <w:t xml:space="preserve">triển khai </w:t>
      </w:r>
      <w:r w:rsidR="00B22280" w:rsidRPr="00B22280">
        <w:rPr>
          <w:szCs w:val="28"/>
          <w:lang w:val="vi-VN"/>
        </w:rPr>
        <w:t xml:space="preserve">hệ thống nhận diện thương hiệu mới tại công ty/đơn vị </w:t>
      </w:r>
      <w:r w:rsidR="00074FFA">
        <w:rPr>
          <w:szCs w:val="28"/>
        </w:rPr>
        <w:t xml:space="preserve">báo cáo Tập đoàn (chậm nhất ngày </w:t>
      </w:r>
      <w:r w:rsidR="00A55C9F">
        <w:rPr>
          <w:szCs w:val="28"/>
        </w:rPr>
        <w:t>15</w:t>
      </w:r>
      <w:r w:rsidR="00074FFA">
        <w:rPr>
          <w:szCs w:val="28"/>
        </w:rPr>
        <w:t>/</w:t>
      </w:r>
      <w:r w:rsidR="00A55C9F">
        <w:rPr>
          <w:szCs w:val="28"/>
        </w:rPr>
        <w:t>12</w:t>
      </w:r>
      <w:r w:rsidR="00074FFA">
        <w:rPr>
          <w:szCs w:val="28"/>
        </w:rPr>
        <w:t>/2022).</w:t>
      </w:r>
    </w:p>
    <w:p w14:paraId="39147872" w14:textId="2D6EC9A9" w:rsidR="006F2099" w:rsidRDefault="00E2242D" w:rsidP="004C082A">
      <w:pPr>
        <w:tabs>
          <w:tab w:val="left" w:pos="993"/>
          <w:tab w:val="left" w:pos="1276"/>
        </w:tabs>
        <w:spacing w:before="120" w:after="120" w:line="240" w:lineRule="auto"/>
        <w:ind w:firstLine="706"/>
        <w:jc w:val="both"/>
        <w:rPr>
          <w:szCs w:val="28"/>
        </w:rPr>
      </w:pPr>
      <w:r>
        <w:rPr>
          <w:b/>
          <w:bCs/>
          <w:szCs w:val="28"/>
        </w:rPr>
        <w:t>III</w:t>
      </w:r>
      <w:r>
        <w:rPr>
          <w:b/>
          <w:bCs/>
          <w:szCs w:val="28"/>
          <w:lang w:val="vi-VN"/>
        </w:rPr>
        <w:t>.</w:t>
      </w:r>
      <w:r w:rsidR="006F2099" w:rsidRPr="007F18A4">
        <w:rPr>
          <w:b/>
          <w:bCs/>
          <w:szCs w:val="28"/>
        </w:rPr>
        <w:t>3. Các tổ chức chính trị, đoàn thể - xã hội thuộc Tập đoàn</w:t>
      </w:r>
      <w:r w:rsidR="006F2099">
        <w:rPr>
          <w:szCs w:val="28"/>
        </w:rPr>
        <w:t xml:space="preserve"> áp dụng từng nội dung cụ thể của </w:t>
      </w:r>
      <w:r w:rsidR="00F652EE">
        <w:rPr>
          <w:szCs w:val="28"/>
        </w:rPr>
        <w:t>h</w:t>
      </w:r>
      <w:r w:rsidR="006F2099">
        <w:rPr>
          <w:szCs w:val="28"/>
        </w:rPr>
        <w:t xml:space="preserve">ệ thống nhận diện thương hiệu của </w:t>
      </w:r>
      <w:r w:rsidR="00ED3E29">
        <w:rPr>
          <w:szCs w:val="28"/>
        </w:rPr>
        <w:t xml:space="preserve">Tập đoàn </w:t>
      </w:r>
      <w:r w:rsidR="006F2099">
        <w:rPr>
          <w:szCs w:val="28"/>
        </w:rPr>
        <w:t xml:space="preserve">phù hợp với hoạt động của </w:t>
      </w:r>
      <w:r w:rsidR="00F652EE">
        <w:rPr>
          <w:szCs w:val="28"/>
        </w:rPr>
        <w:t>tổ chức từ</w:t>
      </w:r>
      <w:r w:rsidR="00ED3E29">
        <w:rPr>
          <w:szCs w:val="28"/>
        </w:rPr>
        <w:t xml:space="preserve"> tháng 8</w:t>
      </w:r>
      <w:r w:rsidR="00F652EE">
        <w:rPr>
          <w:szCs w:val="28"/>
        </w:rPr>
        <w:t xml:space="preserve"> năm 2022</w:t>
      </w:r>
      <w:r w:rsidR="006F2099">
        <w:rPr>
          <w:szCs w:val="28"/>
        </w:rPr>
        <w:t>.</w:t>
      </w:r>
    </w:p>
    <w:p w14:paraId="6580C095" w14:textId="77777777" w:rsidR="00FC6A5E" w:rsidRPr="006F2099" w:rsidRDefault="00FC6A5E" w:rsidP="00FC6A5E">
      <w:pPr>
        <w:tabs>
          <w:tab w:val="left" w:pos="993"/>
          <w:tab w:val="left" w:pos="1276"/>
        </w:tabs>
        <w:spacing w:before="80" w:after="120" w:line="360" w:lineRule="exact"/>
        <w:ind w:firstLine="706"/>
        <w:jc w:val="both"/>
        <w:rPr>
          <w:szCs w:val="28"/>
        </w:rPr>
      </w:pPr>
    </w:p>
    <w:p w14:paraId="67017E81" w14:textId="77777777" w:rsidR="0078558D" w:rsidRPr="009769D8" w:rsidRDefault="0078558D">
      <w:pPr>
        <w:rPr>
          <w:b/>
          <w:sz w:val="26"/>
          <w:szCs w:val="26"/>
        </w:rPr>
        <w:sectPr w:rsidR="0078558D" w:rsidRPr="009769D8" w:rsidSect="001F3F9B">
          <w:footerReference w:type="default" r:id="rId8"/>
          <w:pgSz w:w="11907" w:h="16839" w:code="9"/>
          <w:pgMar w:top="1134" w:right="1183" w:bottom="709" w:left="1560" w:header="720" w:footer="720" w:gutter="0"/>
          <w:cols w:space="720"/>
          <w:docGrid w:linePitch="381"/>
        </w:sectPr>
      </w:pPr>
    </w:p>
    <w:p w14:paraId="71B1A59C" w14:textId="30A8421C" w:rsidR="006D6B31" w:rsidRPr="002C3279" w:rsidRDefault="006D6B31" w:rsidP="006D6B31">
      <w:pPr>
        <w:jc w:val="center"/>
        <w:rPr>
          <w:b/>
          <w:bCs/>
          <w:szCs w:val="28"/>
        </w:rPr>
      </w:pPr>
      <w:r w:rsidRPr="002C3279">
        <w:rPr>
          <w:b/>
          <w:bCs/>
          <w:szCs w:val="28"/>
        </w:rPr>
        <w:lastRenderedPageBreak/>
        <w:t>PHỤ LỤC</w:t>
      </w:r>
    </w:p>
    <w:p w14:paraId="472B5313" w14:textId="39526536" w:rsidR="006D6B31" w:rsidRPr="002C3279" w:rsidRDefault="006D6B31" w:rsidP="006D6B31">
      <w:pPr>
        <w:jc w:val="center"/>
        <w:rPr>
          <w:i/>
          <w:iCs/>
          <w:szCs w:val="28"/>
        </w:rPr>
      </w:pPr>
      <w:r w:rsidRPr="002C3279">
        <w:rPr>
          <w:i/>
          <w:iCs/>
          <w:szCs w:val="28"/>
        </w:rPr>
        <w:t xml:space="preserve">Kèm theo Kế hoạch số </w:t>
      </w:r>
      <w:r w:rsidR="00F84C3E">
        <w:rPr>
          <w:i/>
          <w:iCs/>
          <w:szCs w:val="28"/>
        </w:rPr>
        <w:t>4094</w:t>
      </w:r>
      <w:r w:rsidRPr="002C3279">
        <w:rPr>
          <w:i/>
          <w:iCs/>
          <w:szCs w:val="28"/>
        </w:rPr>
        <w:t xml:space="preserve">/KH-DKVN ngày </w:t>
      </w:r>
      <w:r w:rsidR="00F84C3E">
        <w:rPr>
          <w:i/>
          <w:iCs/>
          <w:szCs w:val="28"/>
        </w:rPr>
        <w:t xml:space="preserve">21 </w:t>
      </w:r>
      <w:r w:rsidRPr="002C3279">
        <w:rPr>
          <w:i/>
          <w:iCs/>
          <w:szCs w:val="28"/>
        </w:rPr>
        <w:t>tháng 7 năm 2022</w:t>
      </w:r>
    </w:p>
    <w:p w14:paraId="74F5EDB9" w14:textId="2DBBDCCA" w:rsidR="006D6B31" w:rsidRDefault="006D6B31" w:rsidP="006D6B31">
      <w:pPr>
        <w:jc w:val="center"/>
        <w:rPr>
          <w:sz w:val="26"/>
          <w:szCs w:val="26"/>
        </w:rPr>
      </w:pPr>
      <w:r>
        <w:rPr>
          <w:sz w:val="26"/>
          <w:szCs w:val="26"/>
        </w:rPr>
        <w:t>------------------------</w:t>
      </w:r>
    </w:p>
    <w:p w14:paraId="1B12078E" w14:textId="77777777" w:rsidR="006D6B31" w:rsidRDefault="006D6B31" w:rsidP="006D6B31">
      <w:pPr>
        <w:jc w:val="both"/>
        <w:rPr>
          <w:sz w:val="26"/>
          <w:szCs w:val="26"/>
        </w:rPr>
      </w:pPr>
    </w:p>
    <w:p w14:paraId="37006B4F" w14:textId="6F94DBBA" w:rsidR="006D6B31" w:rsidRDefault="006D6B31" w:rsidP="006D6B31">
      <w:pPr>
        <w:tabs>
          <w:tab w:val="left" w:pos="4320"/>
        </w:tabs>
        <w:jc w:val="center"/>
        <w:rPr>
          <w:b/>
          <w:szCs w:val="28"/>
        </w:rPr>
      </w:pPr>
      <w:r>
        <w:rPr>
          <w:b/>
          <w:szCs w:val="28"/>
        </w:rPr>
        <w:t xml:space="preserve">QUY ĐỊNH VỀ </w:t>
      </w:r>
      <w:r w:rsidR="00053F72">
        <w:rPr>
          <w:b/>
          <w:szCs w:val="28"/>
        </w:rPr>
        <w:t>NHÃN HIỆU (</w:t>
      </w:r>
      <w:r>
        <w:rPr>
          <w:b/>
          <w:szCs w:val="28"/>
        </w:rPr>
        <w:t>LOGO</w:t>
      </w:r>
      <w:r w:rsidR="00053F72">
        <w:rPr>
          <w:b/>
          <w:szCs w:val="28"/>
        </w:rPr>
        <w:t>)</w:t>
      </w:r>
      <w:r>
        <w:rPr>
          <w:b/>
          <w:szCs w:val="28"/>
        </w:rPr>
        <w:t xml:space="preserve"> THƯƠNG HIỆU NHÁNH</w:t>
      </w:r>
    </w:p>
    <w:p w14:paraId="3CBE591E" w14:textId="77777777" w:rsidR="00053F72" w:rsidRDefault="00053F72" w:rsidP="006D6B31">
      <w:pPr>
        <w:tabs>
          <w:tab w:val="left" w:pos="4320"/>
        </w:tabs>
        <w:jc w:val="center"/>
        <w:rPr>
          <w:b/>
          <w:szCs w:val="28"/>
        </w:rPr>
      </w:pPr>
    </w:p>
    <w:p w14:paraId="0A66653D" w14:textId="1F8290E7" w:rsidR="006D6B31" w:rsidRDefault="006D6B31" w:rsidP="006D6B31">
      <w:pPr>
        <w:tabs>
          <w:tab w:val="left" w:pos="4320"/>
        </w:tabs>
        <w:jc w:val="center"/>
        <w:rPr>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058"/>
      </w:tblGrid>
      <w:tr w:rsidR="00AE4EAB" w14:paraId="7D69E237" w14:textId="77777777" w:rsidTr="00AE4EAB">
        <w:tc>
          <w:tcPr>
            <w:tcW w:w="4338" w:type="dxa"/>
          </w:tcPr>
          <w:p w14:paraId="2392D3CC" w14:textId="353F5B95" w:rsidR="00076C10" w:rsidRPr="008402B6" w:rsidRDefault="00076C10" w:rsidP="008402B6">
            <w:pPr>
              <w:pStyle w:val="ListParagraph"/>
              <w:numPr>
                <w:ilvl w:val="0"/>
                <w:numId w:val="13"/>
              </w:numPr>
              <w:tabs>
                <w:tab w:val="left" w:pos="851"/>
                <w:tab w:val="left" w:pos="4320"/>
              </w:tabs>
              <w:ind w:left="0" w:right="15" w:firstLine="567"/>
              <w:jc w:val="both"/>
              <w:rPr>
                <w:bCs/>
                <w:szCs w:val="28"/>
              </w:rPr>
            </w:pPr>
            <w:r w:rsidRPr="008402B6">
              <w:rPr>
                <w:bCs/>
                <w:szCs w:val="28"/>
              </w:rPr>
              <w:t>Cấu trúc logo thương hiệu nhánh thuộc Tập đoàn gồm toàn bộ logo Petrovietnam và tên thương hiệu nhanh màu đỏ (giống màu ngọn lửa đặt phía dưới chính giữa chữ PETROVIETNAM được phân chia và phát triển bố cục theo hình bên</w:t>
            </w:r>
          </w:p>
          <w:p w14:paraId="3D5CBF2C" w14:textId="5889D476" w:rsidR="00076C10" w:rsidRPr="008402B6" w:rsidRDefault="00076C10" w:rsidP="008402B6">
            <w:pPr>
              <w:pStyle w:val="ListParagraph"/>
              <w:numPr>
                <w:ilvl w:val="0"/>
                <w:numId w:val="13"/>
              </w:numPr>
              <w:tabs>
                <w:tab w:val="left" w:pos="851"/>
                <w:tab w:val="left" w:pos="4320"/>
              </w:tabs>
              <w:ind w:left="0" w:right="15" w:firstLine="567"/>
              <w:jc w:val="both"/>
              <w:rPr>
                <w:b/>
                <w:szCs w:val="28"/>
              </w:rPr>
            </w:pPr>
            <w:r w:rsidRPr="008402B6">
              <w:rPr>
                <w:bCs/>
                <w:szCs w:val="28"/>
              </w:rPr>
              <w:t>Tên thương hiệu nhánh sử dụng font Bahnschrift, dáng Bold Condensed, chiều cao bằng chữ PETROVIETNAM (chiều cao bằng 3A khoảng cách giữa các chữ là 1/3A, A = chiều rộng một cột trong hệ thống lưới.</w:t>
            </w:r>
          </w:p>
        </w:tc>
        <w:tc>
          <w:tcPr>
            <w:tcW w:w="5058" w:type="dxa"/>
          </w:tcPr>
          <w:p w14:paraId="2A1EDF51" w14:textId="3D16BB0B" w:rsidR="00076C10" w:rsidRDefault="00AE4EAB" w:rsidP="006D6B31">
            <w:pPr>
              <w:tabs>
                <w:tab w:val="left" w:pos="4320"/>
              </w:tabs>
              <w:jc w:val="center"/>
              <w:rPr>
                <w:b/>
                <w:szCs w:val="28"/>
              </w:rPr>
            </w:pPr>
            <w:r>
              <w:rPr>
                <w:noProof/>
              </w:rPr>
              <w:drawing>
                <wp:inline distT="0" distB="0" distL="0" distR="0" wp14:anchorId="75150BCE" wp14:editId="02C6E7A7">
                  <wp:extent cx="2749306"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474" cy="2743142"/>
                          </a:xfrm>
                          <a:prstGeom prst="rect">
                            <a:avLst/>
                          </a:prstGeom>
                          <a:noFill/>
                          <a:ln>
                            <a:noFill/>
                          </a:ln>
                        </pic:spPr>
                      </pic:pic>
                    </a:graphicData>
                  </a:graphic>
                </wp:inline>
              </w:drawing>
            </w:r>
          </w:p>
        </w:tc>
      </w:tr>
      <w:tr w:rsidR="00AE4EAB" w14:paraId="56F99B7D" w14:textId="77777777" w:rsidTr="00AE4EAB">
        <w:tc>
          <w:tcPr>
            <w:tcW w:w="4338" w:type="dxa"/>
          </w:tcPr>
          <w:p w14:paraId="1E1ADF9C" w14:textId="77777777" w:rsidR="00076C10" w:rsidRDefault="00076C10" w:rsidP="008402B6">
            <w:pPr>
              <w:tabs>
                <w:tab w:val="left" w:pos="630"/>
                <w:tab w:val="left" w:pos="851"/>
              </w:tabs>
              <w:ind w:right="15" w:firstLine="567"/>
              <w:jc w:val="both"/>
              <w:rPr>
                <w:bCs/>
                <w:szCs w:val="28"/>
              </w:rPr>
            </w:pPr>
          </w:p>
          <w:p w14:paraId="2EE18775" w14:textId="77777777" w:rsidR="00076C10" w:rsidRDefault="00076C10" w:rsidP="008402B6">
            <w:pPr>
              <w:tabs>
                <w:tab w:val="left" w:pos="630"/>
                <w:tab w:val="left" w:pos="851"/>
              </w:tabs>
              <w:ind w:right="15" w:firstLine="567"/>
              <w:jc w:val="both"/>
              <w:rPr>
                <w:bCs/>
                <w:szCs w:val="28"/>
              </w:rPr>
            </w:pPr>
          </w:p>
          <w:p w14:paraId="46165FB6" w14:textId="1608C9A7" w:rsidR="00076C10" w:rsidRPr="008402B6" w:rsidRDefault="00076C10" w:rsidP="008402B6">
            <w:pPr>
              <w:pStyle w:val="ListParagraph"/>
              <w:numPr>
                <w:ilvl w:val="0"/>
                <w:numId w:val="13"/>
              </w:numPr>
              <w:tabs>
                <w:tab w:val="left" w:pos="630"/>
                <w:tab w:val="left" w:pos="851"/>
              </w:tabs>
              <w:ind w:left="0" w:right="15" w:firstLine="567"/>
              <w:jc w:val="both"/>
              <w:rPr>
                <w:bCs/>
                <w:szCs w:val="28"/>
              </w:rPr>
            </w:pPr>
            <w:r w:rsidRPr="008402B6">
              <w:rPr>
                <w:bCs/>
                <w:szCs w:val="28"/>
              </w:rPr>
              <w:t>Tên thương hiệu nhánh sử dụng tên viết tắt của đơn vị hoặc tên thương mại, tên gọi giao dịch quốc tế bằng tiếng Anh.</w:t>
            </w:r>
          </w:p>
          <w:p w14:paraId="3A57C57B" w14:textId="636297CA" w:rsidR="00076C10" w:rsidRDefault="00076C10" w:rsidP="008402B6">
            <w:pPr>
              <w:tabs>
                <w:tab w:val="left" w:pos="851"/>
                <w:tab w:val="left" w:pos="4320"/>
              </w:tabs>
              <w:ind w:right="15" w:firstLine="567"/>
              <w:jc w:val="center"/>
              <w:rPr>
                <w:b/>
                <w:szCs w:val="28"/>
              </w:rPr>
            </w:pPr>
            <w:r>
              <w:rPr>
                <w:bCs/>
                <w:szCs w:val="28"/>
              </w:rPr>
              <w:t xml:space="preserve"> </w:t>
            </w:r>
          </w:p>
          <w:p w14:paraId="6218563C" w14:textId="77777777" w:rsidR="00076C10" w:rsidRDefault="00076C10" w:rsidP="008402B6">
            <w:pPr>
              <w:tabs>
                <w:tab w:val="left" w:pos="851"/>
                <w:tab w:val="left" w:pos="4320"/>
              </w:tabs>
              <w:ind w:right="15" w:firstLine="567"/>
              <w:jc w:val="center"/>
              <w:rPr>
                <w:b/>
                <w:szCs w:val="28"/>
              </w:rPr>
            </w:pPr>
          </w:p>
        </w:tc>
        <w:tc>
          <w:tcPr>
            <w:tcW w:w="5058" w:type="dxa"/>
          </w:tcPr>
          <w:p w14:paraId="5AB1182F" w14:textId="73300D90" w:rsidR="00076C10" w:rsidRDefault="00076C10" w:rsidP="006D6B31">
            <w:pPr>
              <w:tabs>
                <w:tab w:val="left" w:pos="4320"/>
              </w:tabs>
              <w:jc w:val="center"/>
              <w:rPr>
                <w:b/>
                <w:szCs w:val="28"/>
              </w:rPr>
            </w:pPr>
            <w:r>
              <w:rPr>
                <w:noProof/>
              </w:rPr>
              <w:drawing>
                <wp:inline distT="0" distB="0" distL="0" distR="0" wp14:anchorId="524C1EE3" wp14:editId="20B09EB6">
                  <wp:extent cx="2167890" cy="1934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5796" cy="1959713"/>
                          </a:xfrm>
                          <a:prstGeom prst="rect">
                            <a:avLst/>
                          </a:prstGeom>
                          <a:noFill/>
                          <a:ln>
                            <a:noFill/>
                          </a:ln>
                        </pic:spPr>
                      </pic:pic>
                    </a:graphicData>
                  </a:graphic>
                </wp:inline>
              </w:drawing>
            </w:r>
          </w:p>
        </w:tc>
      </w:tr>
      <w:tr w:rsidR="00AE4EAB" w14:paraId="19D82852" w14:textId="77777777" w:rsidTr="00AE4EAB">
        <w:tc>
          <w:tcPr>
            <w:tcW w:w="4338" w:type="dxa"/>
          </w:tcPr>
          <w:p w14:paraId="13E8C508" w14:textId="77777777" w:rsidR="00AE4EAB" w:rsidRDefault="00AE4EAB" w:rsidP="008402B6">
            <w:pPr>
              <w:tabs>
                <w:tab w:val="left" w:pos="630"/>
                <w:tab w:val="left" w:pos="851"/>
              </w:tabs>
              <w:spacing w:before="120"/>
              <w:ind w:firstLine="567"/>
              <w:jc w:val="both"/>
              <w:rPr>
                <w:bCs/>
                <w:szCs w:val="28"/>
              </w:rPr>
            </w:pPr>
          </w:p>
          <w:p w14:paraId="697557BC" w14:textId="5DCBC4FE" w:rsidR="00076C10" w:rsidRPr="008402B6" w:rsidRDefault="00076C10" w:rsidP="008402B6">
            <w:pPr>
              <w:pStyle w:val="ListParagraph"/>
              <w:numPr>
                <w:ilvl w:val="0"/>
                <w:numId w:val="13"/>
              </w:numPr>
              <w:tabs>
                <w:tab w:val="left" w:pos="630"/>
                <w:tab w:val="left" w:pos="851"/>
              </w:tabs>
              <w:spacing w:before="120"/>
              <w:ind w:left="0" w:firstLine="567"/>
              <w:jc w:val="both"/>
              <w:rPr>
                <w:bCs/>
                <w:szCs w:val="28"/>
              </w:rPr>
            </w:pPr>
            <w:r w:rsidRPr="008402B6">
              <w:rPr>
                <w:bCs/>
                <w:szCs w:val="28"/>
              </w:rPr>
              <w:t>Các thương hiệu nhánh được phép tùy biến thiết kế các chữ cái trong tên thương hiệu nhánh trong phạm vi cho phép, nhưng không được cạnh tranh về hình ảnh và thiết kế với logo Tập đoàn. Việc sử dụng cần đảm bảo không làm thay đổi tỷ lệ và vị trí các yếu tố cấu thành logo. Việc sáng tạo cần được Tập đoàn chấp thuận.</w:t>
            </w:r>
          </w:p>
          <w:p w14:paraId="40CEF123" w14:textId="77777777" w:rsidR="00076C10" w:rsidRDefault="00076C10" w:rsidP="008402B6">
            <w:pPr>
              <w:tabs>
                <w:tab w:val="left" w:pos="851"/>
                <w:tab w:val="left" w:pos="4320"/>
              </w:tabs>
              <w:ind w:firstLine="567"/>
              <w:jc w:val="center"/>
              <w:rPr>
                <w:b/>
                <w:szCs w:val="28"/>
              </w:rPr>
            </w:pPr>
          </w:p>
        </w:tc>
        <w:tc>
          <w:tcPr>
            <w:tcW w:w="5058" w:type="dxa"/>
          </w:tcPr>
          <w:p w14:paraId="3CD6831F" w14:textId="77777777" w:rsidR="00AE4EAB" w:rsidRDefault="00AE4EAB" w:rsidP="006D6B31">
            <w:pPr>
              <w:tabs>
                <w:tab w:val="left" w:pos="4320"/>
              </w:tabs>
              <w:jc w:val="center"/>
              <w:rPr>
                <w:b/>
                <w:szCs w:val="28"/>
              </w:rPr>
            </w:pPr>
          </w:p>
          <w:p w14:paraId="5E05A6AD" w14:textId="42BF3810" w:rsidR="00076C10" w:rsidRDefault="00076C10" w:rsidP="006D6B31">
            <w:pPr>
              <w:tabs>
                <w:tab w:val="left" w:pos="4320"/>
              </w:tabs>
              <w:jc w:val="center"/>
              <w:rPr>
                <w:b/>
                <w:szCs w:val="28"/>
              </w:rPr>
            </w:pPr>
            <w:r>
              <w:rPr>
                <w:noProof/>
              </w:rPr>
              <w:drawing>
                <wp:inline distT="0" distB="0" distL="0" distR="0" wp14:anchorId="36B4E97D" wp14:editId="3FCDBEC2">
                  <wp:extent cx="2045711" cy="2121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5607" cy="2142560"/>
                          </a:xfrm>
                          <a:prstGeom prst="rect">
                            <a:avLst/>
                          </a:prstGeom>
                          <a:noFill/>
                          <a:ln>
                            <a:noFill/>
                          </a:ln>
                        </pic:spPr>
                      </pic:pic>
                    </a:graphicData>
                  </a:graphic>
                </wp:inline>
              </w:drawing>
            </w:r>
          </w:p>
        </w:tc>
      </w:tr>
    </w:tbl>
    <w:p w14:paraId="0C744240" w14:textId="6DA3D2F9" w:rsidR="00076C10" w:rsidRDefault="00076C10" w:rsidP="00076C10">
      <w:pPr>
        <w:tabs>
          <w:tab w:val="left" w:pos="630"/>
        </w:tabs>
        <w:ind w:right="5310"/>
        <w:jc w:val="both"/>
        <w:rPr>
          <w:bCs/>
          <w:szCs w:val="28"/>
        </w:rPr>
      </w:pPr>
      <w:r>
        <w:rPr>
          <w:bCs/>
          <w:szCs w:val="28"/>
        </w:rPr>
        <w:tab/>
      </w:r>
    </w:p>
    <w:p w14:paraId="7704AE93" w14:textId="77777777" w:rsidR="00351AE9" w:rsidRPr="006D6B31" w:rsidRDefault="00351AE9" w:rsidP="00351AE9">
      <w:pPr>
        <w:tabs>
          <w:tab w:val="left" w:pos="630"/>
        </w:tabs>
        <w:ind w:right="5310"/>
        <w:jc w:val="both"/>
        <w:rPr>
          <w:bCs/>
          <w:szCs w:val="28"/>
        </w:rPr>
      </w:pPr>
    </w:p>
    <w:p w14:paraId="406CBC78" w14:textId="77CFD24D" w:rsidR="00F76F43" w:rsidRPr="009769D8" w:rsidRDefault="006D6B31" w:rsidP="00AE4EAB">
      <w:pPr>
        <w:tabs>
          <w:tab w:val="left" w:pos="4320"/>
        </w:tabs>
        <w:jc w:val="center"/>
        <w:rPr>
          <w:b/>
          <w:szCs w:val="28"/>
        </w:rPr>
      </w:pPr>
      <w:r w:rsidRPr="006D6B31">
        <w:rPr>
          <w:bCs/>
          <w:szCs w:val="28"/>
        </w:rPr>
        <w:br w:type="page"/>
      </w:r>
      <w:r w:rsidR="00F76F43" w:rsidRPr="009769D8">
        <w:rPr>
          <w:b/>
          <w:szCs w:val="28"/>
        </w:rPr>
        <w:lastRenderedPageBreak/>
        <w:t>DANH SÁCH CÁC ĐƠN VỊ</w:t>
      </w:r>
    </w:p>
    <w:p w14:paraId="2687263B" w14:textId="4B698426" w:rsidR="00F76F43" w:rsidRPr="00C21D97" w:rsidRDefault="00C75B19" w:rsidP="00C371C3">
      <w:pPr>
        <w:spacing w:line="240" w:lineRule="auto"/>
        <w:jc w:val="center"/>
        <w:rPr>
          <w:i/>
          <w:iCs/>
        </w:rPr>
      </w:pPr>
      <w:r>
        <w:rPr>
          <w:i/>
          <w:iCs/>
        </w:rPr>
        <w:t>K</w:t>
      </w:r>
      <w:r w:rsidR="00F76F43" w:rsidRPr="009769D8">
        <w:rPr>
          <w:i/>
          <w:iCs/>
        </w:rPr>
        <w:t xml:space="preserve">èm theo </w:t>
      </w:r>
      <w:r w:rsidR="00F76F43" w:rsidRPr="009769D8">
        <w:rPr>
          <w:i/>
          <w:iCs/>
          <w:lang w:val="vi-VN"/>
        </w:rPr>
        <w:t>Kế hoạch</w:t>
      </w:r>
      <w:r w:rsidR="00F76F43" w:rsidRPr="009769D8">
        <w:rPr>
          <w:i/>
          <w:iCs/>
        </w:rPr>
        <w:t xml:space="preserve"> số </w:t>
      </w:r>
      <w:r w:rsidR="00F84C3E">
        <w:rPr>
          <w:i/>
          <w:iCs/>
        </w:rPr>
        <w:t>4094</w:t>
      </w:r>
      <w:r w:rsidR="00C21D97">
        <w:rPr>
          <w:i/>
          <w:iCs/>
        </w:rPr>
        <w:t xml:space="preserve"> </w:t>
      </w:r>
      <w:r w:rsidR="00F76F43" w:rsidRPr="009769D8">
        <w:rPr>
          <w:i/>
          <w:iCs/>
        </w:rPr>
        <w:t>/</w:t>
      </w:r>
      <w:r w:rsidR="00F76F43" w:rsidRPr="009769D8">
        <w:rPr>
          <w:i/>
          <w:iCs/>
          <w:lang w:val="vi-VN"/>
        </w:rPr>
        <w:t>KH</w:t>
      </w:r>
      <w:r w:rsidR="00F76F43" w:rsidRPr="009769D8">
        <w:rPr>
          <w:i/>
          <w:iCs/>
        </w:rPr>
        <w:t>-DKVN ngày</w:t>
      </w:r>
      <w:r w:rsidR="00F84C3E">
        <w:rPr>
          <w:i/>
          <w:iCs/>
        </w:rPr>
        <w:t xml:space="preserve"> 21</w:t>
      </w:r>
      <w:r w:rsidR="00F76F43" w:rsidRPr="009769D8">
        <w:rPr>
          <w:i/>
          <w:iCs/>
        </w:rPr>
        <w:t xml:space="preserve"> tháng</w:t>
      </w:r>
      <w:r w:rsidR="00521150">
        <w:rPr>
          <w:i/>
          <w:iCs/>
        </w:rPr>
        <w:t xml:space="preserve"> </w:t>
      </w:r>
      <w:r w:rsidR="0024152D">
        <w:rPr>
          <w:i/>
          <w:iCs/>
        </w:rPr>
        <w:t>7</w:t>
      </w:r>
      <w:r w:rsidR="00C21D97">
        <w:rPr>
          <w:i/>
          <w:iCs/>
        </w:rPr>
        <w:t xml:space="preserve"> </w:t>
      </w:r>
      <w:r w:rsidR="00F76F43" w:rsidRPr="009769D8">
        <w:rPr>
          <w:i/>
          <w:iCs/>
        </w:rPr>
        <w:t>năm 20</w:t>
      </w:r>
      <w:r w:rsidR="00F76F43" w:rsidRPr="009769D8">
        <w:rPr>
          <w:i/>
          <w:iCs/>
          <w:lang w:val="vi-VN"/>
        </w:rPr>
        <w:t>2</w:t>
      </w:r>
      <w:r w:rsidR="00C21D97">
        <w:rPr>
          <w:i/>
          <w:iCs/>
        </w:rPr>
        <w:t>2</w:t>
      </w:r>
    </w:p>
    <w:p w14:paraId="29D268B9" w14:textId="77777777" w:rsidR="00C371C3" w:rsidRPr="009769D8" w:rsidRDefault="00C371C3" w:rsidP="00C371C3">
      <w:pPr>
        <w:spacing w:line="240" w:lineRule="auto"/>
        <w:jc w:val="center"/>
        <w:rPr>
          <w:i/>
          <w:iCs/>
          <w:lang w:val="vi-VN"/>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8331"/>
      </w:tblGrid>
      <w:tr w:rsidR="00EB6427" w:rsidRPr="00EB6427" w14:paraId="71A1F8AD" w14:textId="77777777" w:rsidTr="00EB6427">
        <w:trPr>
          <w:jc w:val="center"/>
        </w:trPr>
        <w:tc>
          <w:tcPr>
            <w:tcW w:w="708" w:type="dxa"/>
            <w:shd w:val="clear" w:color="auto" w:fill="auto"/>
          </w:tcPr>
          <w:p w14:paraId="691E31BB" w14:textId="77777777" w:rsidR="00EB6427" w:rsidRPr="00EB6427" w:rsidRDefault="00EB6427" w:rsidP="00EB6427">
            <w:pPr>
              <w:spacing w:before="40" w:after="40"/>
              <w:jc w:val="center"/>
              <w:rPr>
                <w:rFonts w:eastAsia="Calibri" w:cs="Times New Roman"/>
                <w:b/>
                <w:sz w:val="26"/>
                <w:szCs w:val="26"/>
                <w:lang w:val="en-SG"/>
              </w:rPr>
            </w:pPr>
            <w:r w:rsidRPr="00EB6427">
              <w:rPr>
                <w:rFonts w:eastAsia="Calibri" w:cs="Times New Roman"/>
                <w:b/>
                <w:sz w:val="26"/>
                <w:szCs w:val="26"/>
                <w:lang w:val="en-SG"/>
              </w:rPr>
              <w:t>STT</w:t>
            </w:r>
          </w:p>
        </w:tc>
        <w:tc>
          <w:tcPr>
            <w:tcW w:w="8331" w:type="dxa"/>
            <w:shd w:val="clear" w:color="auto" w:fill="auto"/>
          </w:tcPr>
          <w:p w14:paraId="4666D263" w14:textId="77777777" w:rsidR="00EB6427" w:rsidRPr="00EB6427" w:rsidRDefault="00EB6427" w:rsidP="00EB6427">
            <w:pPr>
              <w:tabs>
                <w:tab w:val="center" w:pos="4057"/>
                <w:tab w:val="left" w:pos="6675"/>
              </w:tabs>
              <w:spacing w:before="40" w:after="40"/>
              <w:rPr>
                <w:rFonts w:eastAsia="Calibri" w:cs="Times New Roman"/>
                <w:b/>
                <w:sz w:val="26"/>
                <w:szCs w:val="26"/>
                <w:lang w:val="en-SG"/>
              </w:rPr>
            </w:pPr>
            <w:r w:rsidRPr="00EB6427">
              <w:rPr>
                <w:rFonts w:eastAsia="Calibri" w:cs="Times New Roman"/>
                <w:b/>
                <w:sz w:val="26"/>
                <w:szCs w:val="26"/>
                <w:lang w:val="en-SG"/>
              </w:rPr>
              <w:tab/>
              <w:t>Đơn vị</w:t>
            </w:r>
            <w:r w:rsidRPr="00EB6427">
              <w:rPr>
                <w:rFonts w:eastAsia="Calibri" w:cs="Times New Roman"/>
                <w:b/>
                <w:sz w:val="26"/>
                <w:szCs w:val="26"/>
                <w:lang w:val="en-SG"/>
              </w:rPr>
              <w:tab/>
            </w:r>
          </w:p>
        </w:tc>
      </w:tr>
      <w:tr w:rsidR="00EB6427" w:rsidRPr="00EB6427" w14:paraId="74D43986" w14:textId="77777777" w:rsidTr="00EB6427">
        <w:trPr>
          <w:jc w:val="center"/>
        </w:trPr>
        <w:tc>
          <w:tcPr>
            <w:tcW w:w="708" w:type="dxa"/>
            <w:shd w:val="clear" w:color="auto" w:fill="auto"/>
          </w:tcPr>
          <w:p w14:paraId="6DCE0772"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4009156"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Liên doanh Việt – Nga Vietsovpetro (VSP)</w:t>
            </w:r>
          </w:p>
        </w:tc>
      </w:tr>
      <w:tr w:rsidR="00EB6427" w:rsidRPr="00EB6427" w14:paraId="235D725C" w14:textId="77777777" w:rsidTr="00EB6427">
        <w:trPr>
          <w:jc w:val="center"/>
        </w:trPr>
        <w:tc>
          <w:tcPr>
            <w:tcW w:w="708" w:type="dxa"/>
            <w:shd w:val="clear" w:color="auto" w:fill="auto"/>
          </w:tcPr>
          <w:p w14:paraId="0CAFCD1B"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4F5C4F5D"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Thăm dò Khai thác Dầu khí (PVEP)</w:t>
            </w:r>
          </w:p>
        </w:tc>
      </w:tr>
      <w:tr w:rsidR="00EB6427" w:rsidRPr="00EB6427" w14:paraId="0466BEF3" w14:textId="77777777" w:rsidTr="00EB6427">
        <w:trPr>
          <w:jc w:val="center"/>
        </w:trPr>
        <w:tc>
          <w:tcPr>
            <w:tcW w:w="708" w:type="dxa"/>
            <w:shd w:val="clear" w:color="auto" w:fill="auto"/>
          </w:tcPr>
          <w:p w14:paraId="52F90983"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6EEDB7B"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Khí Việt Nam - CTCP (PVGas)</w:t>
            </w:r>
          </w:p>
        </w:tc>
      </w:tr>
      <w:tr w:rsidR="00EB6427" w:rsidRPr="00EB6427" w14:paraId="763B5EC8" w14:textId="77777777" w:rsidTr="00EB6427">
        <w:trPr>
          <w:jc w:val="center"/>
        </w:trPr>
        <w:tc>
          <w:tcPr>
            <w:tcW w:w="708" w:type="dxa"/>
            <w:shd w:val="clear" w:color="auto" w:fill="auto"/>
          </w:tcPr>
          <w:p w14:paraId="74B82BC4"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587406F2"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Điện lực Dầu khí Việt Nam - CTCP (PVPower)</w:t>
            </w:r>
          </w:p>
        </w:tc>
      </w:tr>
      <w:tr w:rsidR="00EB6427" w:rsidRPr="00EB6427" w14:paraId="3A4F11DF" w14:textId="77777777" w:rsidTr="00EB6427">
        <w:trPr>
          <w:jc w:val="center"/>
        </w:trPr>
        <w:tc>
          <w:tcPr>
            <w:tcW w:w="708" w:type="dxa"/>
            <w:shd w:val="clear" w:color="auto" w:fill="auto"/>
          </w:tcPr>
          <w:p w14:paraId="5EB01BEF"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52C94A4"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Phân bón và Hóa chất Dầu khí - CTCP (PVFCCo)</w:t>
            </w:r>
          </w:p>
        </w:tc>
      </w:tr>
      <w:tr w:rsidR="00EB6427" w:rsidRPr="00EB6427" w14:paraId="2B05E554" w14:textId="77777777" w:rsidTr="00EB6427">
        <w:trPr>
          <w:jc w:val="center"/>
        </w:trPr>
        <w:tc>
          <w:tcPr>
            <w:tcW w:w="708" w:type="dxa"/>
            <w:shd w:val="clear" w:color="auto" w:fill="auto"/>
          </w:tcPr>
          <w:p w14:paraId="066D7DFE"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18734EB"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Công ty CP Phân bón Dầu khí Cà Mau (PVCFC)</w:t>
            </w:r>
          </w:p>
        </w:tc>
      </w:tr>
      <w:tr w:rsidR="00EB6427" w:rsidRPr="00EB6427" w14:paraId="3D2CCAAB" w14:textId="77777777" w:rsidTr="00EB6427">
        <w:trPr>
          <w:jc w:val="center"/>
        </w:trPr>
        <w:tc>
          <w:tcPr>
            <w:tcW w:w="708" w:type="dxa"/>
            <w:shd w:val="clear" w:color="auto" w:fill="auto"/>
          </w:tcPr>
          <w:p w14:paraId="1C3B85B5"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2854174"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Công ty CP Lọc Hóa dầu Bình Sơn (BSR)</w:t>
            </w:r>
          </w:p>
        </w:tc>
      </w:tr>
      <w:tr w:rsidR="00EB6427" w:rsidRPr="00EB6427" w14:paraId="3682B9ED" w14:textId="77777777" w:rsidTr="00EB6427">
        <w:trPr>
          <w:jc w:val="center"/>
        </w:trPr>
        <w:tc>
          <w:tcPr>
            <w:tcW w:w="708" w:type="dxa"/>
            <w:shd w:val="clear" w:color="auto" w:fill="auto"/>
          </w:tcPr>
          <w:p w14:paraId="7A67DF8E"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7DF837D4"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CP Dịch vụ Kỹ thuật Dầu khí (PTSC)</w:t>
            </w:r>
          </w:p>
        </w:tc>
      </w:tr>
      <w:tr w:rsidR="00EB6427" w:rsidRPr="00EB6427" w14:paraId="744AD58D" w14:textId="77777777" w:rsidTr="00EB6427">
        <w:trPr>
          <w:jc w:val="center"/>
        </w:trPr>
        <w:tc>
          <w:tcPr>
            <w:tcW w:w="708" w:type="dxa"/>
            <w:shd w:val="clear" w:color="auto" w:fill="auto"/>
          </w:tcPr>
          <w:p w14:paraId="502380F4"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7D16F1E5"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Dầu Việt Nam - CTCP (PVOil )</w:t>
            </w:r>
          </w:p>
        </w:tc>
      </w:tr>
      <w:tr w:rsidR="00EB6427" w:rsidRPr="00EB6427" w14:paraId="0BBDCD7C" w14:textId="77777777" w:rsidTr="00EB6427">
        <w:trPr>
          <w:jc w:val="center"/>
        </w:trPr>
        <w:tc>
          <w:tcPr>
            <w:tcW w:w="708" w:type="dxa"/>
            <w:shd w:val="clear" w:color="auto" w:fill="auto"/>
          </w:tcPr>
          <w:p w14:paraId="75EF69B2"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7CB6CC05"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CP Khoan &amp; Dịch vụ Khoan Dầu khí (PVDrilling)</w:t>
            </w:r>
          </w:p>
        </w:tc>
      </w:tr>
      <w:tr w:rsidR="00EB6427" w:rsidRPr="00EB6427" w14:paraId="67571240" w14:textId="77777777" w:rsidTr="00EB6427">
        <w:trPr>
          <w:jc w:val="center"/>
        </w:trPr>
        <w:tc>
          <w:tcPr>
            <w:tcW w:w="708" w:type="dxa"/>
            <w:shd w:val="clear" w:color="auto" w:fill="auto"/>
          </w:tcPr>
          <w:p w14:paraId="0B80D6A8"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68B79EE1"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CP Vận tải Dầu khí (PVTrans)</w:t>
            </w:r>
          </w:p>
        </w:tc>
      </w:tr>
      <w:tr w:rsidR="00EB6427" w:rsidRPr="00EB6427" w14:paraId="616739AD" w14:textId="77777777" w:rsidTr="00EB6427">
        <w:trPr>
          <w:jc w:val="center"/>
        </w:trPr>
        <w:tc>
          <w:tcPr>
            <w:tcW w:w="708" w:type="dxa"/>
            <w:shd w:val="clear" w:color="auto" w:fill="auto"/>
          </w:tcPr>
          <w:p w14:paraId="12640C67"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33C7528" w14:textId="77777777" w:rsidR="00EB6427" w:rsidRPr="00EB6427" w:rsidRDefault="00EB6427" w:rsidP="00EB6427">
            <w:pPr>
              <w:tabs>
                <w:tab w:val="left" w:pos="540"/>
              </w:tabs>
              <w:spacing w:before="40" w:after="40" w:line="240" w:lineRule="auto"/>
              <w:rPr>
                <w:rFonts w:eastAsia="Calibri" w:cs="Times New Roman"/>
                <w:sz w:val="26"/>
                <w:szCs w:val="26"/>
                <w:lang w:val="x-none" w:eastAsia="x-none"/>
              </w:rPr>
            </w:pPr>
            <w:r w:rsidRPr="00EB6427">
              <w:rPr>
                <w:rFonts w:eastAsia="Calibri" w:cs="Times New Roman"/>
                <w:sz w:val="26"/>
                <w:szCs w:val="26"/>
                <w:lang w:eastAsia="x-none"/>
              </w:rPr>
              <w:t>Tổng Công ty CP Dịch vụ tổng hợp dầu khí (Petrosetco)</w:t>
            </w:r>
          </w:p>
        </w:tc>
      </w:tr>
      <w:tr w:rsidR="00EB6427" w:rsidRPr="00EB6427" w14:paraId="2538ACB0" w14:textId="77777777" w:rsidTr="00EB6427">
        <w:trPr>
          <w:jc w:val="center"/>
        </w:trPr>
        <w:tc>
          <w:tcPr>
            <w:tcW w:w="708" w:type="dxa"/>
            <w:shd w:val="clear" w:color="auto" w:fill="auto"/>
          </w:tcPr>
          <w:p w14:paraId="501C79E3"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6F7CE3B6" w14:textId="77777777" w:rsidR="00EB6427" w:rsidRPr="00EB6427" w:rsidRDefault="00EB6427" w:rsidP="00EB6427">
            <w:pPr>
              <w:tabs>
                <w:tab w:val="left" w:pos="540"/>
              </w:tabs>
              <w:spacing w:before="40" w:after="40" w:line="240" w:lineRule="auto"/>
              <w:rPr>
                <w:rFonts w:eastAsia="Calibri" w:cs="Times New Roman"/>
                <w:sz w:val="26"/>
                <w:szCs w:val="26"/>
                <w:lang w:eastAsia="x-none"/>
              </w:rPr>
            </w:pPr>
            <w:r w:rsidRPr="00EB6427">
              <w:rPr>
                <w:rFonts w:eastAsia="Calibri" w:cs="Times New Roman"/>
                <w:sz w:val="26"/>
                <w:szCs w:val="26"/>
                <w:lang w:eastAsia="x-none"/>
              </w:rPr>
              <w:t>Công ty CP PVI (PVI Holdings)</w:t>
            </w:r>
          </w:p>
        </w:tc>
      </w:tr>
      <w:tr w:rsidR="00EB6427" w:rsidRPr="00EB6427" w14:paraId="58DFDB14" w14:textId="77777777" w:rsidTr="00EB6427">
        <w:trPr>
          <w:jc w:val="center"/>
        </w:trPr>
        <w:tc>
          <w:tcPr>
            <w:tcW w:w="708" w:type="dxa"/>
            <w:shd w:val="clear" w:color="auto" w:fill="auto"/>
          </w:tcPr>
          <w:p w14:paraId="0A45A140"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C47C867" w14:textId="654525C1" w:rsidR="00EB6427" w:rsidRPr="00EB6427" w:rsidRDefault="00EB6427" w:rsidP="00EB6427">
            <w:pPr>
              <w:tabs>
                <w:tab w:val="left" w:pos="540"/>
              </w:tabs>
              <w:spacing w:before="40" w:after="40" w:line="240" w:lineRule="auto"/>
              <w:rPr>
                <w:rFonts w:eastAsia="Calibri" w:cs="Times New Roman"/>
                <w:sz w:val="26"/>
                <w:szCs w:val="26"/>
                <w:lang w:val="x-none" w:eastAsia="x-none"/>
              </w:rPr>
            </w:pPr>
            <w:r w:rsidRPr="00EB6427">
              <w:rPr>
                <w:rFonts w:eastAsia="Calibri" w:cs="Times New Roman"/>
                <w:sz w:val="26"/>
                <w:szCs w:val="26"/>
                <w:lang w:val="x-none" w:eastAsia="x-none"/>
              </w:rPr>
              <w:t>Tổng Công ty CP Xây lắp Dầu khí (</w:t>
            </w:r>
            <w:r>
              <w:rPr>
                <w:rFonts w:eastAsia="Calibri" w:cs="Times New Roman"/>
                <w:sz w:val="26"/>
                <w:szCs w:val="26"/>
                <w:lang w:eastAsia="x-none"/>
              </w:rPr>
              <w:t>PetroCons</w:t>
            </w:r>
            <w:r w:rsidRPr="00EB6427">
              <w:rPr>
                <w:rFonts w:eastAsia="Calibri" w:cs="Times New Roman"/>
                <w:sz w:val="26"/>
                <w:szCs w:val="26"/>
                <w:lang w:val="x-none" w:eastAsia="x-none"/>
              </w:rPr>
              <w:t>)</w:t>
            </w:r>
          </w:p>
        </w:tc>
      </w:tr>
      <w:tr w:rsidR="00EB6427" w:rsidRPr="00EB6427" w14:paraId="2831C5DF" w14:textId="77777777" w:rsidTr="00EB6427">
        <w:trPr>
          <w:jc w:val="center"/>
        </w:trPr>
        <w:tc>
          <w:tcPr>
            <w:tcW w:w="708" w:type="dxa"/>
            <w:shd w:val="clear" w:color="auto" w:fill="auto"/>
          </w:tcPr>
          <w:p w14:paraId="1EE468EE"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B9A440F"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CP Hóa chất và Dịch vụ Dầu khí (PVChem)</w:t>
            </w:r>
          </w:p>
        </w:tc>
      </w:tr>
      <w:tr w:rsidR="00EB6427" w:rsidRPr="00EB6427" w14:paraId="6D0309F8" w14:textId="77777777" w:rsidTr="00EB6427">
        <w:trPr>
          <w:jc w:val="center"/>
        </w:trPr>
        <w:tc>
          <w:tcPr>
            <w:tcW w:w="708" w:type="dxa"/>
            <w:shd w:val="clear" w:color="auto" w:fill="auto"/>
          </w:tcPr>
          <w:p w14:paraId="1880CE5C"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0796ACD" w14:textId="77777777" w:rsidR="00EB6427" w:rsidRPr="00EB6427" w:rsidRDefault="00EB6427" w:rsidP="00EB6427">
            <w:pPr>
              <w:tabs>
                <w:tab w:val="left" w:pos="540"/>
              </w:tabs>
              <w:spacing w:before="40" w:after="40" w:line="240" w:lineRule="auto"/>
              <w:rPr>
                <w:rFonts w:eastAsia="Calibri" w:cs="Times New Roman"/>
                <w:sz w:val="26"/>
                <w:szCs w:val="26"/>
                <w:lang w:eastAsia="x-none"/>
              </w:rPr>
            </w:pPr>
            <w:r w:rsidRPr="00EB6427">
              <w:rPr>
                <w:rFonts w:eastAsia="Calibri" w:cs="Times New Roman"/>
                <w:sz w:val="26"/>
                <w:szCs w:val="26"/>
                <w:lang w:val="x-none" w:eastAsia="x-none"/>
              </w:rPr>
              <w:t xml:space="preserve">Công ty CP Hóa dầu và Xơ sợi Việt </w:t>
            </w:r>
            <w:r w:rsidRPr="00EB6427">
              <w:rPr>
                <w:rFonts w:eastAsia="Calibri" w:cs="Times New Roman"/>
                <w:sz w:val="26"/>
                <w:szCs w:val="26"/>
                <w:lang w:val="vi-VN" w:eastAsia="x-none"/>
              </w:rPr>
              <w:t>Nam</w:t>
            </w:r>
            <w:r w:rsidRPr="00EB6427">
              <w:rPr>
                <w:rFonts w:eastAsia="Calibri" w:cs="Times New Roman"/>
                <w:sz w:val="26"/>
                <w:szCs w:val="26"/>
                <w:lang w:val="x-none" w:eastAsia="x-none"/>
              </w:rPr>
              <w:t xml:space="preserve"> (VNPoly)</w:t>
            </w:r>
          </w:p>
        </w:tc>
      </w:tr>
      <w:tr w:rsidR="00EB6427" w:rsidRPr="00EB6427" w14:paraId="15E7E52F" w14:textId="77777777" w:rsidTr="00EB6427">
        <w:trPr>
          <w:jc w:val="center"/>
        </w:trPr>
        <w:tc>
          <w:tcPr>
            <w:tcW w:w="708" w:type="dxa"/>
            <w:shd w:val="clear" w:color="auto" w:fill="auto"/>
          </w:tcPr>
          <w:p w14:paraId="28A26495"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78F97AC6"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Công ty TNHH MTV Công nghiệp tàu thủy Dung Quất (DQS)</w:t>
            </w:r>
          </w:p>
        </w:tc>
      </w:tr>
      <w:tr w:rsidR="00EB6427" w:rsidRPr="00EB6427" w14:paraId="228E42AD" w14:textId="77777777" w:rsidTr="00EB6427">
        <w:trPr>
          <w:jc w:val="center"/>
        </w:trPr>
        <w:tc>
          <w:tcPr>
            <w:tcW w:w="708" w:type="dxa"/>
            <w:shd w:val="clear" w:color="auto" w:fill="auto"/>
          </w:tcPr>
          <w:p w14:paraId="7C4FFB3C"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36631B9"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Ngân hàng TMCP Đại chúng Việt Nam (PVcom Bank)</w:t>
            </w:r>
          </w:p>
        </w:tc>
      </w:tr>
      <w:tr w:rsidR="00EB6427" w:rsidRPr="00EB6427" w14:paraId="6B07AC59" w14:textId="77777777" w:rsidTr="00EB6427">
        <w:trPr>
          <w:jc w:val="center"/>
        </w:trPr>
        <w:tc>
          <w:tcPr>
            <w:tcW w:w="708" w:type="dxa"/>
            <w:shd w:val="clear" w:color="auto" w:fill="auto"/>
          </w:tcPr>
          <w:p w14:paraId="46A0B0BA"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DA8AD28"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Công ty CP Dầu khí Đầu tư khai thác Cảng Phước An (PAP)</w:t>
            </w:r>
          </w:p>
        </w:tc>
      </w:tr>
      <w:tr w:rsidR="00EB6427" w:rsidRPr="00EB6427" w14:paraId="383CCCBE" w14:textId="77777777" w:rsidTr="00EB6427">
        <w:trPr>
          <w:jc w:val="center"/>
        </w:trPr>
        <w:tc>
          <w:tcPr>
            <w:tcW w:w="708" w:type="dxa"/>
            <w:shd w:val="clear" w:color="auto" w:fill="auto"/>
          </w:tcPr>
          <w:p w14:paraId="206BC3DA"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61453CDD"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Viện Dầu khí Việt Nam (VPI)</w:t>
            </w:r>
          </w:p>
        </w:tc>
      </w:tr>
      <w:tr w:rsidR="00EB6427" w:rsidRPr="00EB6427" w14:paraId="0A3E178C" w14:textId="77777777" w:rsidTr="00EB6427">
        <w:trPr>
          <w:jc w:val="center"/>
        </w:trPr>
        <w:tc>
          <w:tcPr>
            <w:tcW w:w="708" w:type="dxa"/>
            <w:shd w:val="clear" w:color="auto" w:fill="auto"/>
          </w:tcPr>
          <w:p w14:paraId="0F87626D"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57D7BB6D"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Trường Đại học Dầu khí Việt Nam (PVU)</w:t>
            </w:r>
          </w:p>
        </w:tc>
      </w:tr>
      <w:tr w:rsidR="00EB6427" w:rsidRPr="00EB6427" w14:paraId="380E8122" w14:textId="77777777" w:rsidTr="00EB6427">
        <w:trPr>
          <w:jc w:val="center"/>
        </w:trPr>
        <w:tc>
          <w:tcPr>
            <w:tcW w:w="708" w:type="dxa"/>
            <w:shd w:val="clear" w:color="auto" w:fill="auto"/>
          </w:tcPr>
          <w:p w14:paraId="0B1A0C43"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015514E0"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Trường Cao đẳng Dầu khí (PVMTC)</w:t>
            </w:r>
          </w:p>
        </w:tc>
      </w:tr>
      <w:tr w:rsidR="00EB6427" w:rsidRPr="00EB6427" w14:paraId="7B11BF2F" w14:textId="77777777" w:rsidTr="00EB6427">
        <w:trPr>
          <w:jc w:val="center"/>
        </w:trPr>
        <w:tc>
          <w:tcPr>
            <w:tcW w:w="708" w:type="dxa"/>
            <w:shd w:val="clear" w:color="auto" w:fill="auto"/>
          </w:tcPr>
          <w:p w14:paraId="1F7CD231"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29862C4"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Tư vấn thiết kế Dầu khí – CTCP (PV Engineering)</w:t>
            </w:r>
          </w:p>
        </w:tc>
      </w:tr>
      <w:tr w:rsidR="00EB6427" w:rsidRPr="00EB6427" w14:paraId="367BCD07" w14:textId="77777777" w:rsidTr="00EB6427">
        <w:trPr>
          <w:jc w:val="center"/>
        </w:trPr>
        <w:tc>
          <w:tcPr>
            <w:tcW w:w="708" w:type="dxa"/>
            <w:shd w:val="clear" w:color="auto" w:fill="auto"/>
          </w:tcPr>
          <w:p w14:paraId="72E060F0"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4F3C290"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Tổng Công ty Bảo dưỡng Sửa chữa Công trình dầu khí – CTCP (PVMR)</w:t>
            </w:r>
          </w:p>
        </w:tc>
      </w:tr>
      <w:tr w:rsidR="00EB6427" w:rsidRPr="00EB6427" w14:paraId="3632D2F6" w14:textId="77777777" w:rsidTr="00EB6427">
        <w:trPr>
          <w:jc w:val="center"/>
        </w:trPr>
        <w:tc>
          <w:tcPr>
            <w:tcW w:w="708" w:type="dxa"/>
            <w:shd w:val="clear" w:color="auto" w:fill="auto"/>
          </w:tcPr>
          <w:p w14:paraId="467560A8"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2009E214"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Chi nhánh Tập đoàn - Công ty Điều hành Dầu khí Biển Đông</w:t>
            </w:r>
          </w:p>
        </w:tc>
      </w:tr>
      <w:tr w:rsidR="00EB6427" w:rsidRPr="00EB6427" w14:paraId="4F77AC24" w14:textId="77777777" w:rsidTr="00EB6427">
        <w:trPr>
          <w:jc w:val="center"/>
        </w:trPr>
        <w:tc>
          <w:tcPr>
            <w:tcW w:w="708" w:type="dxa"/>
            <w:shd w:val="clear" w:color="auto" w:fill="auto"/>
          </w:tcPr>
          <w:p w14:paraId="56D3FBF6"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D75E8FB"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Chi nhánh Tập đoàn - Công ty Điều hành Dầu khí Phú Quốc</w:t>
            </w:r>
          </w:p>
        </w:tc>
      </w:tr>
      <w:tr w:rsidR="00EB6427" w:rsidRPr="00EB6427" w14:paraId="6B93B39E" w14:textId="77777777" w:rsidTr="00EB6427">
        <w:trPr>
          <w:jc w:val="center"/>
        </w:trPr>
        <w:tc>
          <w:tcPr>
            <w:tcW w:w="708" w:type="dxa"/>
            <w:shd w:val="clear" w:color="auto" w:fill="auto"/>
          </w:tcPr>
          <w:p w14:paraId="3D13BB71"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90ABA23"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Chi nhánh Tập đoàn - Công ty Điều hành Đường ống Tây Nam</w:t>
            </w:r>
          </w:p>
        </w:tc>
      </w:tr>
      <w:tr w:rsidR="00EB6427" w:rsidRPr="00EB6427" w14:paraId="176D48C8" w14:textId="77777777" w:rsidTr="00EB6427">
        <w:trPr>
          <w:jc w:val="center"/>
        </w:trPr>
        <w:tc>
          <w:tcPr>
            <w:tcW w:w="708" w:type="dxa"/>
            <w:shd w:val="clear" w:color="auto" w:fill="auto"/>
          </w:tcPr>
          <w:p w14:paraId="1C5EAB9D"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76EA5935"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Chi nhánh Phân phối sản phẩm lọc dầu Nghi Sơn</w:t>
            </w:r>
          </w:p>
        </w:tc>
      </w:tr>
      <w:tr w:rsidR="00EB6427" w:rsidRPr="00EB6427" w14:paraId="7B948DF3" w14:textId="77777777" w:rsidTr="00EB6427">
        <w:trPr>
          <w:jc w:val="center"/>
        </w:trPr>
        <w:tc>
          <w:tcPr>
            <w:tcW w:w="708" w:type="dxa"/>
            <w:shd w:val="clear" w:color="auto" w:fill="auto"/>
          </w:tcPr>
          <w:p w14:paraId="568DE451"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C7CD217"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Ban QLDA Điện lực Dầu khí Thái Bình 2</w:t>
            </w:r>
          </w:p>
        </w:tc>
      </w:tr>
      <w:tr w:rsidR="00EB6427" w:rsidRPr="00EB6427" w14:paraId="0DD6C447" w14:textId="77777777" w:rsidTr="00EB6427">
        <w:trPr>
          <w:jc w:val="center"/>
        </w:trPr>
        <w:tc>
          <w:tcPr>
            <w:tcW w:w="708" w:type="dxa"/>
            <w:shd w:val="clear" w:color="auto" w:fill="auto"/>
          </w:tcPr>
          <w:p w14:paraId="0D169C11"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376DE429"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Ban QLDA Điện lực Dầu khí Long Phú 1</w:t>
            </w:r>
          </w:p>
        </w:tc>
      </w:tr>
      <w:tr w:rsidR="00EB6427" w:rsidRPr="00EB6427" w14:paraId="746DC223" w14:textId="77777777" w:rsidTr="00EB6427">
        <w:trPr>
          <w:jc w:val="center"/>
        </w:trPr>
        <w:tc>
          <w:tcPr>
            <w:tcW w:w="708" w:type="dxa"/>
            <w:shd w:val="clear" w:color="auto" w:fill="auto"/>
          </w:tcPr>
          <w:p w14:paraId="033480EF" w14:textId="77777777" w:rsidR="00EB6427" w:rsidRPr="00EB6427" w:rsidRDefault="00EB6427" w:rsidP="00EB6427">
            <w:pPr>
              <w:numPr>
                <w:ilvl w:val="0"/>
                <w:numId w:val="8"/>
              </w:numPr>
              <w:spacing w:before="40" w:after="40" w:line="240" w:lineRule="auto"/>
              <w:contextualSpacing/>
              <w:jc w:val="center"/>
              <w:rPr>
                <w:rFonts w:eastAsia="Calibri" w:cs="Times New Roman"/>
                <w:sz w:val="26"/>
                <w:szCs w:val="26"/>
                <w:lang w:val="en-SG"/>
              </w:rPr>
            </w:pPr>
          </w:p>
        </w:tc>
        <w:tc>
          <w:tcPr>
            <w:tcW w:w="8331" w:type="dxa"/>
            <w:shd w:val="clear" w:color="auto" w:fill="auto"/>
          </w:tcPr>
          <w:p w14:paraId="1042F997" w14:textId="77777777" w:rsidR="00EB6427" w:rsidRPr="00EB6427" w:rsidRDefault="00EB6427" w:rsidP="00EB6427">
            <w:pPr>
              <w:spacing w:before="40" w:after="40"/>
              <w:rPr>
                <w:rFonts w:eastAsia="Calibri" w:cs="Times New Roman"/>
                <w:sz w:val="26"/>
                <w:szCs w:val="26"/>
                <w:lang w:val="en-SG"/>
              </w:rPr>
            </w:pPr>
            <w:r w:rsidRPr="00EB6427">
              <w:rPr>
                <w:rFonts w:eastAsia="Calibri" w:cs="Times New Roman"/>
                <w:sz w:val="26"/>
                <w:szCs w:val="26"/>
                <w:lang w:val="en-SG"/>
              </w:rPr>
              <w:t>Ban QLDA Điện lực Dầu khí Sông Hậu 1</w:t>
            </w:r>
          </w:p>
        </w:tc>
      </w:tr>
    </w:tbl>
    <w:p w14:paraId="59E02B2A" w14:textId="77777777" w:rsidR="007B7704" w:rsidRPr="009769D8" w:rsidRDefault="007B7704" w:rsidP="002434B0">
      <w:pPr>
        <w:spacing w:before="120" w:after="120" w:line="276" w:lineRule="auto"/>
        <w:rPr>
          <w:sz w:val="26"/>
          <w:szCs w:val="26"/>
        </w:rPr>
      </w:pPr>
    </w:p>
    <w:sectPr w:rsidR="007B7704" w:rsidRPr="009769D8" w:rsidSect="006D6B31">
      <w:pgSz w:w="11907" w:h="16839" w:code="9"/>
      <w:pgMar w:top="993" w:right="1287" w:bottom="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B302" w14:textId="77777777" w:rsidR="002E7C9D" w:rsidRDefault="002E7C9D" w:rsidP="009478A3">
      <w:pPr>
        <w:spacing w:line="240" w:lineRule="auto"/>
      </w:pPr>
      <w:r>
        <w:separator/>
      </w:r>
    </w:p>
  </w:endnote>
  <w:endnote w:type="continuationSeparator" w:id="0">
    <w:p w14:paraId="02CBC52A" w14:textId="77777777" w:rsidR="002E7C9D" w:rsidRDefault="002E7C9D" w:rsidP="00947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9202"/>
      <w:docPartObj>
        <w:docPartGallery w:val="Page Numbers (Bottom of Page)"/>
        <w:docPartUnique/>
      </w:docPartObj>
    </w:sdtPr>
    <w:sdtEndPr>
      <w:rPr>
        <w:noProof/>
      </w:rPr>
    </w:sdtEndPr>
    <w:sdtContent>
      <w:p w14:paraId="330AF3D4" w14:textId="77777777" w:rsidR="00432020" w:rsidRDefault="00432020" w:rsidP="00C371C3">
        <w:pPr>
          <w:pStyle w:val="Footer"/>
          <w:jc w:val="center"/>
        </w:pPr>
        <w:r>
          <w:fldChar w:fldCharType="begin"/>
        </w:r>
        <w:r>
          <w:instrText xml:space="preserve"> PAGE   \* MERGEFORMAT </w:instrText>
        </w:r>
        <w:r>
          <w:fldChar w:fldCharType="separate"/>
        </w:r>
        <w:r w:rsidR="002E313C">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4CF2" w14:textId="77777777" w:rsidR="002E7C9D" w:rsidRDefault="002E7C9D" w:rsidP="009478A3">
      <w:pPr>
        <w:spacing w:line="240" w:lineRule="auto"/>
      </w:pPr>
      <w:r>
        <w:separator/>
      </w:r>
    </w:p>
  </w:footnote>
  <w:footnote w:type="continuationSeparator" w:id="0">
    <w:p w14:paraId="4204150A" w14:textId="77777777" w:rsidR="002E7C9D" w:rsidRDefault="002E7C9D" w:rsidP="009478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359"/>
    <w:multiLevelType w:val="hybridMultilevel"/>
    <w:tmpl w:val="A622191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9A0740B"/>
    <w:multiLevelType w:val="hybridMultilevel"/>
    <w:tmpl w:val="7D5CC78E"/>
    <w:lvl w:ilvl="0" w:tplc="9118B52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E14638"/>
    <w:multiLevelType w:val="hybridMultilevel"/>
    <w:tmpl w:val="801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959"/>
    <w:multiLevelType w:val="hybridMultilevel"/>
    <w:tmpl w:val="544416FC"/>
    <w:lvl w:ilvl="0" w:tplc="155858DE">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B51257"/>
    <w:multiLevelType w:val="hybridMultilevel"/>
    <w:tmpl w:val="0AB8B81A"/>
    <w:lvl w:ilvl="0" w:tplc="59E4F97E">
      <w:start w:val="1"/>
      <w:numFmt w:val="decimal"/>
      <w:lvlText w:val="%1."/>
      <w:lvlJc w:val="left"/>
      <w:pPr>
        <w:ind w:left="1069" w:hanging="360"/>
      </w:pPr>
      <w:rPr>
        <w:rFonts w:ascii="Times New Roman" w:eastAsiaTheme="minorHAnsi" w:hAnsi="Times New Roman" w:cstheme="minorBidi"/>
        <w:sz w:val="26"/>
        <w:szCs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C32131E"/>
    <w:multiLevelType w:val="hybridMultilevel"/>
    <w:tmpl w:val="29201B3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40605643"/>
    <w:multiLevelType w:val="hybridMultilevel"/>
    <w:tmpl w:val="97643BE0"/>
    <w:lvl w:ilvl="0" w:tplc="BB80C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9622B"/>
    <w:multiLevelType w:val="hybridMultilevel"/>
    <w:tmpl w:val="38D80EFA"/>
    <w:lvl w:ilvl="0" w:tplc="DA2C5AB8">
      <w:start w:val="1"/>
      <w:numFmt w:val="decimal"/>
      <w:pStyle w:val="iu1"/>
      <w:lvlText w:val="Điều %1."/>
      <w:lvlJc w:val="left"/>
      <w:pPr>
        <w:ind w:left="117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788638CE">
      <w:start w:val="1"/>
      <w:numFmt w:val="lowerLetter"/>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6359D"/>
    <w:multiLevelType w:val="hybridMultilevel"/>
    <w:tmpl w:val="5F1082A4"/>
    <w:lvl w:ilvl="0" w:tplc="1A58EC32">
      <w:numFmt w:val="bullet"/>
      <w:lvlText w:val="-"/>
      <w:lvlJc w:val="left"/>
      <w:pPr>
        <w:tabs>
          <w:tab w:val="num" w:pos="1260"/>
        </w:tabs>
        <w:ind w:left="1260" w:hanging="360"/>
      </w:pPr>
      <w:rPr>
        <w:rFonts w:ascii="Times New Roman" w:eastAsia="Times New Roman" w:hAnsi="Times New Roman" w:cs="Times New Roman" w:hint="default"/>
      </w:rPr>
    </w:lvl>
    <w:lvl w:ilvl="1" w:tplc="3C00466E">
      <w:start w:val="1"/>
      <w:numFmt w:val="lowerLetter"/>
      <w:lvlText w:val="%2."/>
      <w:lvlJc w:val="left"/>
      <w:pPr>
        <w:tabs>
          <w:tab w:val="num" w:pos="5039"/>
        </w:tabs>
        <w:ind w:left="5039" w:hanging="360"/>
      </w:pPr>
      <w:rPr>
        <w:rFonts w:ascii="Times New Roman" w:eastAsiaTheme="minorHAnsi" w:hAnsi="Times New Roman" w:cstheme="minorBidi"/>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660E689D"/>
    <w:multiLevelType w:val="hybridMultilevel"/>
    <w:tmpl w:val="45149084"/>
    <w:lvl w:ilvl="0" w:tplc="ACF23B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4357F7"/>
    <w:multiLevelType w:val="hybridMultilevel"/>
    <w:tmpl w:val="0A907B92"/>
    <w:lvl w:ilvl="0" w:tplc="17C673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9E5534"/>
    <w:multiLevelType w:val="hybridMultilevel"/>
    <w:tmpl w:val="65C8325E"/>
    <w:lvl w:ilvl="0" w:tplc="D690D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B76B4"/>
    <w:multiLevelType w:val="hybridMultilevel"/>
    <w:tmpl w:val="DBA87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950098">
    <w:abstractNumId w:val="0"/>
  </w:num>
  <w:num w:numId="2" w16cid:durableId="766538021">
    <w:abstractNumId w:val="11"/>
  </w:num>
  <w:num w:numId="3" w16cid:durableId="792483572">
    <w:abstractNumId w:val="8"/>
  </w:num>
  <w:num w:numId="4" w16cid:durableId="575359191">
    <w:abstractNumId w:val="1"/>
  </w:num>
  <w:num w:numId="5" w16cid:durableId="1752963413">
    <w:abstractNumId w:val="3"/>
  </w:num>
  <w:num w:numId="6" w16cid:durableId="1973748492">
    <w:abstractNumId w:val="4"/>
  </w:num>
  <w:num w:numId="7" w16cid:durableId="595673825">
    <w:abstractNumId w:val="7"/>
  </w:num>
  <w:num w:numId="8" w16cid:durableId="845486756">
    <w:abstractNumId w:val="5"/>
  </w:num>
  <w:num w:numId="9" w16cid:durableId="1410151254">
    <w:abstractNumId w:val="9"/>
  </w:num>
  <w:num w:numId="10" w16cid:durableId="1103452813">
    <w:abstractNumId w:val="10"/>
  </w:num>
  <w:num w:numId="11" w16cid:durableId="1072698210">
    <w:abstractNumId w:val="2"/>
  </w:num>
  <w:num w:numId="12" w16cid:durableId="1759253677">
    <w:abstractNumId w:val="12"/>
  </w:num>
  <w:num w:numId="13" w16cid:durableId="1339231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738A"/>
    <w:rsid w:val="00002078"/>
    <w:rsid w:val="00005F2C"/>
    <w:rsid w:val="00006853"/>
    <w:rsid w:val="00010473"/>
    <w:rsid w:val="000130AF"/>
    <w:rsid w:val="000136F7"/>
    <w:rsid w:val="0002118B"/>
    <w:rsid w:val="000358BD"/>
    <w:rsid w:val="00041B54"/>
    <w:rsid w:val="00044421"/>
    <w:rsid w:val="00053F72"/>
    <w:rsid w:val="00064FFA"/>
    <w:rsid w:val="00074FFA"/>
    <w:rsid w:val="00076C10"/>
    <w:rsid w:val="00095401"/>
    <w:rsid w:val="000A0A4D"/>
    <w:rsid w:val="000A46E3"/>
    <w:rsid w:val="000B41D7"/>
    <w:rsid w:val="000D383C"/>
    <w:rsid w:val="000D5CDF"/>
    <w:rsid w:val="000D6361"/>
    <w:rsid w:val="00100B67"/>
    <w:rsid w:val="0010130E"/>
    <w:rsid w:val="00106DE1"/>
    <w:rsid w:val="00114784"/>
    <w:rsid w:val="0011695E"/>
    <w:rsid w:val="00132AD0"/>
    <w:rsid w:val="001409A6"/>
    <w:rsid w:val="00142FB4"/>
    <w:rsid w:val="0014319D"/>
    <w:rsid w:val="00152BF8"/>
    <w:rsid w:val="001A3E78"/>
    <w:rsid w:val="001A5806"/>
    <w:rsid w:val="001B6F49"/>
    <w:rsid w:val="001B764E"/>
    <w:rsid w:val="001D09C7"/>
    <w:rsid w:val="001D6E71"/>
    <w:rsid w:val="001E0071"/>
    <w:rsid w:val="001F1F90"/>
    <w:rsid w:val="001F3F9B"/>
    <w:rsid w:val="002222FC"/>
    <w:rsid w:val="0022403A"/>
    <w:rsid w:val="00232771"/>
    <w:rsid w:val="0024152D"/>
    <w:rsid w:val="002434B0"/>
    <w:rsid w:val="00246B73"/>
    <w:rsid w:val="00294604"/>
    <w:rsid w:val="002B4587"/>
    <w:rsid w:val="002B7B05"/>
    <w:rsid w:val="002C3279"/>
    <w:rsid w:val="002E313C"/>
    <w:rsid w:val="002E7C9D"/>
    <w:rsid w:val="00315DFF"/>
    <w:rsid w:val="00325972"/>
    <w:rsid w:val="00327AF3"/>
    <w:rsid w:val="00335728"/>
    <w:rsid w:val="0033706D"/>
    <w:rsid w:val="003405F6"/>
    <w:rsid w:val="00342C12"/>
    <w:rsid w:val="00351AE9"/>
    <w:rsid w:val="00365005"/>
    <w:rsid w:val="00366A77"/>
    <w:rsid w:val="00385CBE"/>
    <w:rsid w:val="00390C28"/>
    <w:rsid w:val="00396D24"/>
    <w:rsid w:val="003A360E"/>
    <w:rsid w:val="003A63C4"/>
    <w:rsid w:val="003B1111"/>
    <w:rsid w:val="003B4D41"/>
    <w:rsid w:val="003C4418"/>
    <w:rsid w:val="003E62F6"/>
    <w:rsid w:val="003F04FA"/>
    <w:rsid w:val="003F6414"/>
    <w:rsid w:val="004063D9"/>
    <w:rsid w:val="00432020"/>
    <w:rsid w:val="00446CEC"/>
    <w:rsid w:val="004622B4"/>
    <w:rsid w:val="00473119"/>
    <w:rsid w:val="00475AE2"/>
    <w:rsid w:val="0048035E"/>
    <w:rsid w:val="00486329"/>
    <w:rsid w:val="004A6921"/>
    <w:rsid w:val="004C082A"/>
    <w:rsid w:val="004C2F4C"/>
    <w:rsid w:val="004E1656"/>
    <w:rsid w:val="00500A72"/>
    <w:rsid w:val="00506BA7"/>
    <w:rsid w:val="00506DB4"/>
    <w:rsid w:val="00513753"/>
    <w:rsid w:val="00521150"/>
    <w:rsid w:val="00523B95"/>
    <w:rsid w:val="00551686"/>
    <w:rsid w:val="00556611"/>
    <w:rsid w:val="0056296A"/>
    <w:rsid w:val="00567904"/>
    <w:rsid w:val="00573C15"/>
    <w:rsid w:val="00582D7B"/>
    <w:rsid w:val="00585454"/>
    <w:rsid w:val="00596276"/>
    <w:rsid w:val="005A241D"/>
    <w:rsid w:val="005D73A0"/>
    <w:rsid w:val="00637C2D"/>
    <w:rsid w:val="00651E45"/>
    <w:rsid w:val="00653F71"/>
    <w:rsid w:val="00670166"/>
    <w:rsid w:val="006720B0"/>
    <w:rsid w:val="00674CEC"/>
    <w:rsid w:val="0067738A"/>
    <w:rsid w:val="00686DA2"/>
    <w:rsid w:val="006878C3"/>
    <w:rsid w:val="00692320"/>
    <w:rsid w:val="00694917"/>
    <w:rsid w:val="006B06CA"/>
    <w:rsid w:val="006B5DD5"/>
    <w:rsid w:val="006D0D7B"/>
    <w:rsid w:val="006D15E3"/>
    <w:rsid w:val="006D6B31"/>
    <w:rsid w:val="006F2099"/>
    <w:rsid w:val="006F3C76"/>
    <w:rsid w:val="00706D65"/>
    <w:rsid w:val="0071196D"/>
    <w:rsid w:val="007225CA"/>
    <w:rsid w:val="00777D4E"/>
    <w:rsid w:val="00782AFE"/>
    <w:rsid w:val="0078558D"/>
    <w:rsid w:val="00791D1F"/>
    <w:rsid w:val="007A30C8"/>
    <w:rsid w:val="007B7704"/>
    <w:rsid w:val="007C21CD"/>
    <w:rsid w:val="007F0BF8"/>
    <w:rsid w:val="007F18A4"/>
    <w:rsid w:val="007F6DD5"/>
    <w:rsid w:val="00815BE7"/>
    <w:rsid w:val="00834FFC"/>
    <w:rsid w:val="008402B6"/>
    <w:rsid w:val="008405F0"/>
    <w:rsid w:val="008448A7"/>
    <w:rsid w:val="00856196"/>
    <w:rsid w:val="00863E01"/>
    <w:rsid w:val="0088660E"/>
    <w:rsid w:val="0089136D"/>
    <w:rsid w:val="008B045D"/>
    <w:rsid w:val="008B46B5"/>
    <w:rsid w:val="008B5C3C"/>
    <w:rsid w:val="008C31AC"/>
    <w:rsid w:val="008D5B8B"/>
    <w:rsid w:val="008E4D40"/>
    <w:rsid w:val="008E7CC4"/>
    <w:rsid w:val="00901A6E"/>
    <w:rsid w:val="0091006C"/>
    <w:rsid w:val="00927E18"/>
    <w:rsid w:val="00930381"/>
    <w:rsid w:val="00934ED2"/>
    <w:rsid w:val="00944141"/>
    <w:rsid w:val="009478A3"/>
    <w:rsid w:val="00951E64"/>
    <w:rsid w:val="0096348E"/>
    <w:rsid w:val="009767FD"/>
    <w:rsid w:val="009769D8"/>
    <w:rsid w:val="00977FCD"/>
    <w:rsid w:val="00986385"/>
    <w:rsid w:val="009A1C38"/>
    <w:rsid w:val="009B2F20"/>
    <w:rsid w:val="009B58E0"/>
    <w:rsid w:val="009D6ECC"/>
    <w:rsid w:val="009F16A7"/>
    <w:rsid w:val="00A01F40"/>
    <w:rsid w:val="00A176AA"/>
    <w:rsid w:val="00A30A39"/>
    <w:rsid w:val="00A42C69"/>
    <w:rsid w:val="00A55C9F"/>
    <w:rsid w:val="00A90271"/>
    <w:rsid w:val="00AA60AC"/>
    <w:rsid w:val="00AA6AE1"/>
    <w:rsid w:val="00AE1BBF"/>
    <w:rsid w:val="00AE36A6"/>
    <w:rsid w:val="00AE4EAB"/>
    <w:rsid w:val="00AF7222"/>
    <w:rsid w:val="00B03FB5"/>
    <w:rsid w:val="00B1221B"/>
    <w:rsid w:val="00B12BDA"/>
    <w:rsid w:val="00B20250"/>
    <w:rsid w:val="00B22280"/>
    <w:rsid w:val="00B45047"/>
    <w:rsid w:val="00B50151"/>
    <w:rsid w:val="00B71E97"/>
    <w:rsid w:val="00B7429A"/>
    <w:rsid w:val="00B859B1"/>
    <w:rsid w:val="00BA096C"/>
    <w:rsid w:val="00BB387D"/>
    <w:rsid w:val="00BB3ECD"/>
    <w:rsid w:val="00BF0790"/>
    <w:rsid w:val="00BF0C27"/>
    <w:rsid w:val="00BF181E"/>
    <w:rsid w:val="00BF55E8"/>
    <w:rsid w:val="00C05C28"/>
    <w:rsid w:val="00C21D97"/>
    <w:rsid w:val="00C2619C"/>
    <w:rsid w:val="00C371C3"/>
    <w:rsid w:val="00C4469F"/>
    <w:rsid w:val="00C44C64"/>
    <w:rsid w:val="00C47468"/>
    <w:rsid w:val="00C718F9"/>
    <w:rsid w:val="00C75B19"/>
    <w:rsid w:val="00C80D71"/>
    <w:rsid w:val="00CA6769"/>
    <w:rsid w:val="00CC5949"/>
    <w:rsid w:val="00CE1ABA"/>
    <w:rsid w:val="00CE4B0A"/>
    <w:rsid w:val="00CE65F9"/>
    <w:rsid w:val="00D037F0"/>
    <w:rsid w:val="00D04799"/>
    <w:rsid w:val="00D15161"/>
    <w:rsid w:val="00D217AF"/>
    <w:rsid w:val="00D22FDC"/>
    <w:rsid w:val="00D40301"/>
    <w:rsid w:val="00D408AE"/>
    <w:rsid w:val="00D44F8C"/>
    <w:rsid w:val="00D555CD"/>
    <w:rsid w:val="00D66DD6"/>
    <w:rsid w:val="00D92D94"/>
    <w:rsid w:val="00DA41D4"/>
    <w:rsid w:val="00DA4AC6"/>
    <w:rsid w:val="00DB3613"/>
    <w:rsid w:val="00DC0F31"/>
    <w:rsid w:val="00DE5908"/>
    <w:rsid w:val="00DE66C1"/>
    <w:rsid w:val="00DE70FB"/>
    <w:rsid w:val="00DE798B"/>
    <w:rsid w:val="00DE7CA1"/>
    <w:rsid w:val="00DF4E71"/>
    <w:rsid w:val="00E01326"/>
    <w:rsid w:val="00E2242D"/>
    <w:rsid w:val="00E24887"/>
    <w:rsid w:val="00E32732"/>
    <w:rsid w:val="00E3524B"/>
    <w:rsid w:val="00E433AB"/>
    <w:rsid w:val="00E71BCA"/>
    <w:rsid w:val="00E8124F"/>
    <w:rsid w:val="00EB6427"/>
    <w:rsid w:val="00ED3E29"/>
    <w:rsid w:val="00EE13EB"/>
    <w:rsid w:val="00EE354A"/>
    <w:rsid w:val="00EF2395"/>
    <w:rsid w:val="00F17513"/>
    <w:rsid w:val="00F33550"/>
    <w:rsid w:val="00F413FA"/>
    <w:rsid w:val="00F50EBA"/>
    <w:rsid w:val="00F52C03"/>
    <w:rsid w:val="00F652EE"/>
    <w:rsid w:val="00F767F6"/>
    <w:rsid w:val="00F76F43"/>
    <w:rsid w:val="00F77654"/>
    <w:rsid w:val="00F8120D"/>
    <w:rsid w:val="00F81524"/>
    <w:rsid w:val="00F84C3E"/>
    <w:rsid w:val="00FA4B96"/>
    <w:rsid w:val="00FA683C"/>
    <w:rsid w:val="00FC1560"/>
    <w:rsid w:val="00FC37F8"/>
    <w:rsid w:val="00FC6A5E"/>
    <w:rsid w:val="00FC7C1E"/>
    <w:rsid w:val="00FE7ADC"/>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6BFD4"/>
  <w15:docId w15:val="{E2A2D030-230F-41F5-ADD7-F6A8FC94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8558D"/>
    <w:pPr>
      <w:keepNext/>
      <w:numPr>
        <w:numId w:val="5"/>
      </w:numPr>
      <w:tabs>
        <w:tab w:val="left" w:pos="993"/>
      </w:tabs>
      <w:spacing w:before="80" w:after="80" w:line="360" w:lineRule="exact"/>
      <w:ind w:left="709" w:firstLine="0"/>
      <w:jc w:val="both"/>
      <w:outlineLvl w:val="0"/>
    </w:pPr>
    <w:rPr>
      <w:rFonts w:eastAsia="Times New Roman" w:cs="Times New Roman"/>
      <w:b/>
      <w:bCs/>
      <w:kern w:val="32"/>
      <w:szCs w:val="28"/>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6CA"/>
    <w:pPr>
      <w:ind w:left="720"/>
      <w:contextualSpacing/>
    </w:pPr>
  </w:style>
  <w:style w:type="paragraph" w:styleId="NormalWeb">
    <w:name w:val="Normal (Web)"/>
    <w:basedOn w:val="Normal"/>
    <w:uiPriority w:val="99"/>
    <w:unhideWhenUsed/>
    <w:rsid w:val="00596276"/>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9478A3"/>
    <w:pPr>
      <w:tabs>
        <w:tab w:val="center" w:pos="4680"/>
        <w:tab w:val="right" w:pos="9360"/>
      </w:tabs>
      <w:spacing w:line="240" w:lineRule="auto"/>
    </w:pPr>
  </w:style>
  <w:style w:type="character" w:customStyle="1" w:styleId="HeaderChar">
    <w:name w:val="Header Char"/>
    <w:basedOn w:val="DefaultParagraphFont"/>
    <w:link w:val="Header"/>
    <w:uiPriority w:val="99"/>
    <w:rsid w:val="009478A3"/>
  </w:style>
  <w:style w:type="paragraph" w:styleId="Footer">
    <w:name w:val="footer"/>
    <w:basedOn w:val="Normal"/>
    <w:link w:val="FooterChar"/>
    <w:uiPriority w:val="99"/>
    <w:unhideWhenUsed/>
    <w:rsid w:val="009478A3"/>
    <w:pPr>
      <w:tabs>
        <w:tab w:val="center" w:pos="4680"/>
        <w:tab w:val="right" w:pos="9360"/>
      </w:tabs>
      <w:spacing w:line="240" w:lineRule="auto"/>
    </w:pPr>
  </w:style>
  <w:style w:type="character" w:customStyle="1" w:styleId="FooterChar">
    <w:name w:val="Footer Char"/>
    <w:basedOn w:val="DefaultParagraphFont"/>
    <w:link w:val="Footer"/>
    <w:uiPriority w:val="99"/>
    <w:rsid w:val="009478A3"/>
  </w:style>
  <w:style w:type="character" w:styleId="CommentReference">
    <w:name w:val="annotation reference"/>
    <w:basedOn w:val="DefaultParagraphFont"/>
    <w:uiPriority w:val="99"/>
    <w:semiHidden/>
    <w:unhideWhenUsed/>
    <w:rsid w:val="0078558D"/>
    <w:rPr>
      <w:sz w:val="16"/>
      <w:szCs w:val="16"/>
    </w:rPr>
  </w:style>
  <w:style w:type="paragraph" w:styleId="CommentText">
    <w:name w:val="annotation text"/>
    <w:basedOn w:val="Normal"/>
    <w:link w:val="CommentTextChar"/>
    <w:uiPriority w:val="99"/>
    <w:semiHidden/>
    <w:unhideWhenUsed/>
    <w:rsid w:val="0078558D"/>
    <w:pPr>
      <w:spacing w:line="240" w:lineRule="auto"/>
    </w:pPr>
    <w:rPr>
      <w:sz w:val="20"/>
      <w:szCs w:val="20"/>
    </w:rPr>
  </w:style>
  <w:style w:type="character" w:customStyle="1" w:styleId="CommentTextChar">
    <w:name w:val="Comment Text Char"/>
    <w:basedOn w:val="DefaultParagraphFont"/>
    <w:link w:val="CommentText"/>
    <w:uiPriority w:val="99"/>
    <w:semiHidden/>
    <w:rsid w:val="0078558D"/>
    <w:rPr>
      <w:sz w:val="20"/>
      <w:szCs w:val="20"/>
    </w:rPr>
  </w:style>
  <w:style w:type="paragraph" w:styleId="CommentSubject">
    <w:name w:val="annotation subject"/>
    <w:basedOn w:val="CommentText"/>
    <w:next w:val="CommentText"/>
    <w:link w:val="CommentSubjectChar"/>
    <w:uiPriority w:val="99"/>
    <w:semiHidden/>
    <w:unhideWhenUsed/>
    <w:rsid w:val="0078558D"/>
    <w:rPr>
      <w:b/>
      <w:bCs/>
    </w:rPr>
  </w:style>
  <w:style w:type="character" w:customStyle="1" w:styleId="CommentSubjectChar">
    <w:name w:val="Comment Subject Char"/>
    <w:basedOn w:val="CommentTextChar"/>
    <w:link w:val="CommentSubject"/>
    <w:uiPriority w:val="99"/>
    <w:semiHidden/>
    <w:rsid w:val="0078558D"/>
    <w:rPr>
      <w:b/>
      <w:bCs/>
      <w:sz w:val="20"/>
      <w:szCs w:val="20"/>
    </w:rPr>
  </w:style>
  <w:style w:type="paragraph" w:styleId="BalloonText">
    <w:name w:val="Balloon Text"/>
    <w:basedOn w:val="Normal"/>
    <w:link w:val="BalloonTextChar"/>
    <w:uiPriority w:val="99"/>
    <w:semiHidden/>
    <w:unhideWhenUsed/>
    <w:rsid w:val="007855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8D"/>
    <w:rPr>
      <w:rFonts w:ascii="Segoe UI" w:hAnsi="Segoe UI" w:cs="Segoe UI"/>
      <w:sz w:val="18"/>
      <w:szCs w:val="18"/>
    </w:rPr>
  </w:style>
  <w:style w:type="character" w:customStyle="1" w:styleId="Heading1Char">
    <w:name w:val="Heading 1 Char"/>
    <w:basedOn w:val="DefaultParagraphFont"/>
    <w:link w:val="Heading1"/>
    <w:rsid w:val="0078558D"/>
    <w:rPr>
      <w:rFonts w:eastAsia="Times New Roman" w:cs="Times New Roman"/>
      <w:b/>
      <w:bCs/>
      <w:kern w:val="32"/>
      <w:szCs w:val="28"/>
      <w:lang w:val="en-AU" w:eastAsia="x-none"/>
    </w:rPr>
  </w:style>
  <w:style w:type="paragraph" w:customStyle="1" w:styleId="iu1">
    <w:name w:val="Điều 1"/>
    <w:basedOn w:val="ListParagraph"/>
    <w:link w:val="iu1Char"/>
    <w:qFormat/>
    <w:rsid w:val="00F76F43"/>
    <w:pPr>
      <w:numPr>
        <w:numId w:val="7"/>
      </w:numPr>
      <w:tabs>
        <w:tab w:val="left" w:pos="993"/>
      </w:tabs>
      <w:spacing w:before="240" w:after="120" w:line="240" w:lineRule="auto"/>
      <w:contextualSpacing w:val="0"/>
      <w:jc w:val="both"/>
    </w:pPr>
    <w:rPr>
      <w:rFonts w:eastAsia="Calibri" w:cs="Times New Roman"/>
      <w:b/>
      <w:sz w:val="26"/>
      <w:szCs w:val="26"/>
      <w:lang w:val="x-none" w:eastAsia="x-none"/>
    </w:rPr>
  </w:style>
  <w:style w:type="character" w:customStyle="1" w:styleId="iu1Char">
    <w:name w:val="Điều 1 Char"/>
    <w:link w:val="iu1"/>
    <w:rsid w:val="00F76F43"/>
    <w:rPr>
      <w:rFonts w:eastAsia="Calibri" w:cs="Times New Roman"/>
      <w:b/>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1585">
      <w:bodyDiv w:val="1"/>
      <w:marLeft w:val="0"/>
      <w:marRight w:val="0"/>
      <w:marTop w:val="0"/>
      <w:marBottom w:val="0"/>
      <w:divBdr>
        <w:top w:val="none" w:sz="0" w:space="0" w:color="auto"/>
        <w:left w:val="none" w:sz="0" w:space="0" w:color="auto"/>
        <w:bottom w:val="none" w:sz="0" w:space="0" w:color="auto"/>
        <w:right w:val="none" w:sz="0" w:space="0" w:color="auto"/>
      </w:divBdr>
    </w:div>
    <w:div w:id="474226069">
      <w:bodyDiv w:val="1"/>
      <w:marLeft w:val="0"/>
      <w:marRight w:val="0"/>
      <w:marTop w:val="0"/>
      <w:marBottom w:val="0"/>
      <w:divBdr>
        <w:top w:val="none" w:sz="0" w:space="0" w:color="auto"/>
        <w:left w:val="none" w:sz="0" w:space="0" w:color="auto"/>
        <w:bottom w:val="none" w:sz="0" w:space="0" w:color="auto"/>
        <w:right w:val="none" w:sz="0" w:space="0" w:color="auto"/>
      </w:divBdr>
    </w:div>
    <w:div w:id="576787391">
      <w:bodyDiv w:val="1"/>
      <w:marLeft w:val="0"/>
      <w:marRight w:val="0"/>
      <w:marTop w:val="0"/>
      <w:marBottom w:val="0"/>
      <w:divBdr>
        <w:top w:val="none" w:sz="0" w:space="0" w:color="auto"/>
        <w:left w:val="none" w:sz="0" w:space="0" w:color="auto"/>
        <w:bottom w:val="none" w:sz="0" w:space="0" w:color="auto"/>
        <w:right w:val="none" w:sz="0" w:space="0" w:color="auto"/>
      </w:divBdr>
    </w:div>
    <w:div w:id="697505418">
      <w:bodyDiv w:val="1"/>
      <w:marLeft w:val="0"/>
      <w:marRight w:val="0"/>
      <w:marTop w:val="0"/>
      <w:marBottom w:val="0"/>
      <w:divBdr>
        <w:top w:val="none" w:sz="0" w:space="0" w:color="auto"/>
        <w:left w:val="none" w:sz="0" w:space="0" w:color="auto"/>
        <w:bottom w:val="none" w:sz="0" w:space="0" w:color="auto"/>
        <w:right w:val="none" w:sz="0" w:space="0" w:color="auto"/>
      </w:divBdr>
    </w:div>
    <w:div w:id="916592334">
      <w:bodyDiv w:val="1"/>
      <w:marLeft w:val="0"/>
      <w:marRight w:val="0"/>
      <w:marTop w:val="0"/>
      <w:marBottom w:val="0"/>
      <w:divBdr>
        <w:top w:val="none" w:sz="0" w:space="0" w:color="auto"/>
        <w:left w:val="none" w:sz="0" w:space="0" w:color="auto"/>
        <w:bottom w:val="none" w:sz="0" w:space="0" w:color="auto"/>
        <w:right w:val="none" w:sz="0" w:space="0" w:color="auto"/>
      </w:divBdr>
    </w:div>
    <w:div w:id="147760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F619B-175D-480E-BCB5-A59977B1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 Huong</dc:creator>
  <cp:keywords/>
  <dc:description/>
  <cp:lastModifiedBy>Phi Ngoc Dong</cp:lastModifiedBy>
  <cp:revision>50</cp:revision>
  <cp:lastPrinted>2022-07-19T09:32:00Z</cp:lastPrinted>
  <dcterms:created xsi:type="dcterms:W3CDTF">2022-03-21T09:05:00Z</dcterms:created>
  <dcterms:modified xsi:type="dcterms:W3CDTF">2023-11-22T02:22:00Z</dcterms:modified>
</cp:coreProperties>
</file>