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3736" w14:textId="24D61F3D" w:rsidR="00AF78C9" w:rsidRPr="00E34F72" w:rsidRDefault="00AF78C9" w:rsidP="00F8148A">
      <w:pPr>
        <w:jc w:val="both"/>
        <w:rPr>
          <w:b/>
          <w:bCs/>
        </w:rPr>
      </w:pPr>
      <w:r w:rsidRPr="69AEAF6B">
        <w:rPr>
          <w:b/>
          <w:bCs/>
          <w:lang w:val="vi-VN"/>
        </w:rPr>
        <w:t xml:space="preserve">KẾT LUẬN </w:t>
      </w:r>
      <w:r w:rsidR="544A1300" w:rsidRPr="69AEAF6B">
        <w:rPr>
          <w:b/>
          <w:bCs/>
          <w:lang w:val="vi-VN"/>
        </w:rPr>
        <w:t xml:space="preserve">số 234 - KL/ĐU </w:t>
      </w:r>
      <w:r w:rsidR="00114083">
        <w:rPr>
          <w:b/>
          <w:bCs/>
          <w:lang w:val="vi-VN"/>
        </w:rPr>
        <w:t xml:space="preserve">của Đảng ủy Tập đoàn Dầu khí Quốc gia Việt Nam </w:t>
      </w:r>
      <w:r w:rsidR="47F20398" w:rsidRPr="69AEAF6B">
        <w:rPr>
          <w:b/>
          <w:bCs/>
          <w:lang w:val="vi-VN"/>
        </w:rPr>
        <w:t xml:space="preserve">ngày 18/8/2022 </w:t>
      </w:r>
      <w:r w:rsidR="00E34F72" w:rsidRPr="69AEAF6B">
        <w:rPr>
          <w:b/>
          <w:bCs/>
        </w:rPr>
        <w:t>v</w:t>
      </w:r>
      <w:r w:rsidRPr="69AEAF6B">
        <w:rPr>
          <w:b/>
          <w:bCs/>
        </w:rPr>
        <w:t xml:space="preserve">ề </w:t>
      </w:r>
      <w:r w:rsidR="0097751D" w:rsidRPr="69AEAF6B">
        <w:rPr>
          <w:b/>
          <w:bCs/>
        </w:rPr>
        <w:t xml:space="preserve">tiếp tục </w:t>
      </w:r>
      <w:r w:rsidRPr="69AEAF6B">
        <w:rPr>
          <w:b/>
          <w:bCs/>
        </w:rPr>
        <w:t xml:space="preserve">đẩy mạnh </w:t>
      </w:r>
      <w:r w:rsidR="00BB17CE" w:rsidRPr="69AEAF6B">
        <w:rPr>
          <w:b/>
          <w:bCs/>
        </w:rPr>
        <w:t>thực hiện</w:t>
      </w:r>
      <w:r w:rsidRPr="69AEAF6B">
        <w:rPr>
          <w:b/>
          <w:bCs/>
        </w:rPr>
        <w:t xml:space="preserve"> Nghị quyết </w:t>
      </w:r>
      <w:r w:rsidR="002A5DD7" w:rsidRPr="69AEAF6B">
        <w:rPr>
          <w:b/>
          <w:bCs/>
        </w:rPr>
        <w:t>2</w:t>
      </w:r>
      <w:r w:rsidRPr="69AEAF6B">
        <w:rPr>
          <w:b/>
          <w:bCs/>
        </w:rPr>
        <w:t xml:space="preserve">81-NQ/ĐU </w:t>
      </w:r>
      <w:r w:rsidR="0097751D" w:rsidRPr="69AEAF6B">
        <w:rPr>
          <w:b/>
          <w:bCs/>
        </w:rPr>
        <w:t>ngày 15/5/2019</w:t>
      </w:r>
      <w:r w:rsidR="561FF729" w:rsidRPr="69AEAF6B">
        <w:rPr>
          <w:b/>
          <w:bCs/>
        </w:rPr>
        <w:t xml:space="preserve"> </w:t>
      </w:r>
      <w:r w:rsidR="0097751D" w:rsidRPr="69AEAF6B">
        <w:rPr>
          <w:b/>
          <w:bCs/>
        </w:rPr>
        <w:t xml:space="preserve">của Đảng ủy Tập đoàn </w:t>
      </w:r>
      <w:r w:rsidRPr="69AEAF6B">
        <w:rPr>
          <w:b/>
          <w:bCs/>
        </w:rPr>
        <w:t xml:space="preserve">về công tác </w:t>
      </w:r>
      <w:r w:rsidR="00AD77EE" w:rsidRPr="69AEAF6B">
        <w:rPr>
          <w:b/>
          <w:bCs/>
        </w:rPr>
        <w:t>t</w:t>
      </w:r>
      <w:r w:rsidRPr="69AEAF6B">
        <w:rPr>
          <w:b/>
          <w:bCs/>
        </w:rPr>
        <w:t xml:space="preserve">ruyền thông và </w:t>
      </w:r>
      <w:r w:rsidR="00AD77EE" w:rsidRPr="69AEAF6B">
        <w:rPr>
          <w:b/>
          <w:bCs/>
        </w:rPr>
        <w:t>v</w:t>
      </w:r>
      <w:r w:rsidRPr="69AEAF6B">
        <w:rPr>
          <w:b/>
          <w:bCs/>
        </w:rPr>
        <w:t xml:space="preserve">ăn hoá doanh nghiệp </w:t>
      </w:r>
    </w:p>
    <w:p w14:paraId="07FCF148" w14:textId="1B940FAD" w:rsidR="006A32A0" w:rsidRPr="00E34F72" w:rsidRDefault="006A32A0"/>
    <w:p w14:paraId="4D0655FA" w14:textId="7A10AC5F" w:rsidR="00811A48" w:rsidRPr="00E34F72" w:rsidRDefault="00811A48" w:rsidP="000124B7">
      <w:pPr>
        <w:tabs>
          <w:tab w:val="left" w:pos="90"/>
          <w:tab w:val="left" w:pos="1080"/>
          <w:tab w:val="left" w:pos="1530"/>
        </w:tabs>
        <w:autoSpaceDE w:val="0"/>
        <w:autoSpaceDN w:val="0"/>
        <w:adjustRightInd w:val="0"/>
        <w:spacing w:before="120" w:after="120"/>
        <w:ind w:firstLine="720"/>
        <w:jc w:val="both"/>
      </w:pPr>
      <w:bookmarkStart w:id="0" w:name="_Hlk109328910"/>
      <w:r w:rsidRPr="00E34F72">
        <w:t xml:space="preserve">Ba năm qua, dưới sự lãnh đạo, chỉ đạo của </w:t>
      </w:r>
      <w:r w:rsidR="00E15536" w:rsidRPr="00E34F72">
        <w:t>Ban Chấp hành Đảng bộ</w:t>
      </w:r>
      <w:r w:rsidR="005F5700" w:rsidRPr="00E34F72">
        <w:t>, Ban thường vụ Đảng ủy</w:t>
      </w:r>
      <w:r w:rsidR="00E15536" w:rsidRPr="00E34F72">
        <w:t xml:space="preserve"> Tập đoàn Dầu khí Quốc gia Việt Nam</w:t>
      </w:r>
      <w:r w:rsidRPr="00E34F72">
        <w:t xml:space="preserve"> </w:t>
      </w:r>
      <w:r w:rsidR="00E15536" w:rsidRPr="00E34F72">
        <w:t>(</w:t>
      </w:r>
      <w:r w:rsidRPr="00E34F72">
        <w:t>Tập đoàn</w:t>
      </w:r>
      <w:r w:rsidR="00E15536" w:rsidRPr="00E34F72">
        <w:t>)</w:t>
      </w:r>
      <w:r w:rsidRPr="00E34F72">
        <w:t xml:space="preserve">, Nghị quyết 281-NQ/ĐU </w:t>
      </w:r>
      <w:r w:rsidR="005F5700" w:rsidRPr="00E34F72">
        <w:rPr>
          <w:spacing w:val="-2"/>
        </w:rPr>
        <w:t>ngày 15/5/2019 của Đảng ủy Tập đoàn</w:t>
      </w:r>
      <w:r w:rsidR="005F5700" w:rsidRPr="00E34F72">
        <w:t xml:space="preserve"> </w:t>
      </w:r>
      <w:r w:rsidRPr="00E34F72">
        <w:t xml:space="preserve">về công tác </w:t>
      </w:r>
      <w:r w:rsidR="001833F2">
        <w:t>t</w:t>
      </w:r>
      <w:r w:rsidRPr="00E34F72">
        <w:t xml:space="preserve">ruyền thông và </w:t>
      </w:r>
      <w:r w:rsidR="001833F2">
        <w:t>v</w:t>
      </w:r>
      <w:r w:rsidRPr="00E34F72">
        <w:t>ăn hoá doanh nghiệp (gọi tắt là Nghị quyết 281) đã được cả hệ thống chính trị Tập đoàn triển khai, thực hiện với quyết tâm cao; tất cả các nhiệm vụ đều đã được triển khai với việc áp dụng hiệu quả bốn nhóm giải pháp Nghị quyết đ</w:t>
      </w:r>
      <w:r w:rsidR="00AD77EE" w:rsidRPr="00E34F72">
        <w:t>ề</w:t>
      </w:r>
      <w:r w:rsidRPr="00E34F72">
        <w:t xml:space="preserve"> ra. Công tác truyền thông có trọng tâm, trọng điểm, được triển khai đồng bộ, sâu rộng, xuyên suốt; các </w:t>
      </w:r>
      <w:r w:rsidR="00AD77EE" w:rsidRPr="00E34F72">
        <w:t>phương</w:t>
      </w:r>
      <w:r w:rsidRPr="00E34F72">
        <w:t xml:space="preserve"> thức truyền thông rất phong phú, đa dạng. Nét mới trong việc thực hiện Nghị quyết đó là: tính đồng bộ trong toàn hệ thống; đẩy mạnh truyền thông nội bộ; </w:t>
      </w:r>
      <w:r w:rsidR="005F5700" w:rsidRPr="00E34F72">
        <w:t>l</w:t>
      </w:r>
      <w:r w:rsidRPr="00E34F72">
        <w:t>iên kết chặt chẽ với các cơ quan quản lý báo chí và cơ quan báo chí. Công tác xây dựng văn hóa doanh nghiệp được triển khai sâu rộng trong toàn Tập đoàn</w:t>
      </w:r>
      <w:r w:rsidR="001833F2">
        <w:t xml:space="preserve">, </w:t>
      </w:r>
      <w:r w:rsidRPr="00E34F72">
        <w:t>có sự liên kết giữa các nhiệm vụ</w:t>
      </w:r>
      <w:r w:rsidR="00AD77EE" w:rsidRPr="00E34F72">
        <w:t>,</w:t>
      </w:r>
      <w:r w:rsidRPr="00E34F72">
        <w:t xml:space="preserve"> phù hợp với điều kiện thực t</w:t>
      </w:r>
      <w:r w:rsidR="00AD77EE" w:rsidRPr="00E34F72">
        <w:t>iễn</w:t>
      </w:r>
      <w:r w:rsidR="005F5700" w:rsidRPr="00E34F72">
        <w:t xml:space="preserve"> (diễn biến bất định)</w:t>
      </w:r>
      <w:r w:rsidRPr="00E34F72">
        <w:t xml:space="preserve">, qua đó tác động đến nhận thức, tạo chuyển biến hành vi của người lao động. </w:t>
      </w:r>
    </w:p>
    <w:p w14:paraId="28A0734D" w14:textId="225B99E5" w:rsidR="009D26CD" w:rsidRPr="00E34F72" w:rsidRDefault="00C16B42" w:rsidP="000124B7">
      <w:pPr>
        <w:tabs>
          <w:tab w:val="left" w:pos="90"/>
          <w:tab w:val="left" w:pos="1080"/>
          <w:tab w:val="left" w:pos="1530"/>
        </w:tabs>
        <w:autoSpaceDE w:val="0"/>
        <w:autoSpaceDN w:val="0"/>
        <w:adjustRightInd w:val="0"/>
        <w:spacing w:before="120" w:after="120"/>
        <w:ind w:firstLine="720"/>
        <w:jc w:val="both"/>
      </w:pPr>
      <w:r w:rsidRPr="00E34F72">
        <w:rPr>
          <w:lang w:val="pt-BR"/>
        </w:rPr>
        <w:t xml:space="preserve">Kết quả rõ nét nhất là các hoạt động truyền thông và tái tạo văn hóa Petrovietnam được lồng ghép thực hiện gắn với các mục tiêu kế hoạch </w:t>
      </w:r>
      <w:r w:rsidR="003377DE" w:rsidRPr="00E34F72">
        <w:rPr>
          <w:lang w:val="pt-BR"/>
        </w:rPr>
        <w:t>sản xuất kinh doanh (</w:t>
      </w:r>
      <w:r w:rsidRPr="00E34F72">
        <w:rPr>
          <w:lang w:val="pt-BR"/>
        </w:rPr>
        <w:t>SXKD</w:t>
      </w:r>
      <w:r w:rsidR="003377DE" w:rsidRPr="00E34F72">
        <w:rPr>
          <w:lang w:val="pt-BR"/>
        </w:rPr>
        <w:t>)</w:t>
      </w:r>
      <w:r w:rsidRPr="00E34F72">
        <w:rPr>
          <w:lang w:val="pt-BR"/>
        </w:rPr>
        <w:t xml:space="preserve"> và Chiến lược phát triển của Tập đoàn, thể hiện rõ tinh thần “Khát vọng - Trí tuệ - Chuyên nghiệp - Nghĩa tình” trong từng hoạt độn</w:t>
      </w:r>
      <w:r w:rsidR="003A5702" w:rsidRPr="00E34F72">
        <w:rPr>
          <w:lang w:val="pt-BR"/>
        </w:rPr>
        <w:t>g</w:t>
      </w:r>
      <w:r w:rsidR="005F5700" w:rsidRPr="00E34F72">
        <w:rPr>
          <w:lang w:val="pt-BR"/>
        </w:rPr>
        <w:t xml:space="preserve">. </w:t>
      </w:r>
      <w:r w:rsidR="005F5700" w:rsidRPr="00E34F72">
        <w:t xml:space="preserve">Việc triển khai thực hiện phương châm hành động “Đoàn kết - Kỷ cương - Sáng tạo - Hiệu quả” tạo bước đột phá trong thực hiện Đề án </w:t>
      </w:r>
      <w:r w:rsidR="00AD77EE" w:rsidRPr="00E34F72">
        <w:t>t</w:t>
      </w:r>
      <w:r w:rsidR="005F5700" w:rsidRPr="00E34F72">
        <w:t xml:space="preserve">ái tạo văn hóa Petrovietnam. </w:t>
      </w:r>
      <w:r w:rsidR="000813BF">
        <w:t>Thông qua v</w:t>
      </w:r>
      <w:r w:rsidR="005F5700" w:rsidRPr="00E34F72">
        <w:rPr>
          <w:lang w:val="pt-BR"/>
        </w:rPr>
        <w:t>iệc</w:t>
      </w:r>
      <w:r w:rsidRPr="00E34F72">
        <w:rPr>
          <w:lang w:val="pt-BR"/>
        </w:rPr>
        <w:t xml:space="preserve"> xây dựng lại hình ảnh </w:t>
      </w:r>
      <w:r w:rsidR="003377DE" w:rsidRPr="00E34F72">
        <w:rPr>
          <w:lang w:val="pt-BR"/>
        </w:rPr>
        <w:t>người lao động (</w:t>
      </w:r>
      <w:r w:rsidRPr="00E34F72">
        <w:rPr>
          <w:lang w:val="pt-BR"/>
        </w:rPr>
        <w:t>NLĐ</w:t>
      </w:r>
      <w:r w:rsidR="003377DE" w:rsidRPr="00E34F72">
        <w:rPr>
          <w:lang w:val="pt-BR"/>
        </w:rPr>
        <w:t>)</w:t>
      </w:r>
      <w:r w:rsidRPr="00E34F72">
        <w:rPr>
          <w:lang w:val="pt-BR"/>
        </w:rPr>
        <w:t xml:space="preserve"> Dầu khí - Ngành Dầu khí</w:t>
      </w:r>
      <w:r w:rsidR="00AD77EE" w:rsidRPr="00E34F72">
        <w:rPr>
          <w:lang w:val="pt-BR"/>
        </w:rPr>
        <w:t xml:space="preserve">, </w:t>
      </w:r>
      <w:r w:rsidRPr="00E34F72">
        <w:rPr>
          <w:lang w:val="pt-BR"/>
        </w:rPr>
        <w:t xml:space="preserve">triệt để </w:t>
      </w:r>
      <w:r w:rsidR="005F5700" w:rsidRPr="00E34F72">
        <w:rPr>
          <w:lang w:val="pt-BR"/>
        </w:rPr>
        <w:t xml:space="preserve">xử lý khủng hoảng truyền thông, </w:t>
      </w:r>
      <w:r w:rsidRPr="00E34F72">
        <w:rPr>
          <w:lang w:val="pt-BR"/>
        </w:rPr>
        <w:t>tận dụng cơ hội truyền thông tới các cấp, các ngành, từ trung ương tới địa phương</w:t>
      </w:r>
      <w:r w:rsidR="000813BF">
        <w:rPr>
          <w:lang w:val="pt-BR"/>
        </w:rPr>
        <w:t>, đ</w:t>
      </w:r>
      <w:r w:rsidRPr="00E34F72">
        <w:rPr>
          <w:lang w:val="pt-BR"/>
        </w:rPr>
        <w:t xml:space="preserve">ã góp phần tạo nhận thức đúng đắn và tình cảm tốt đẹp của các thế hệ </w:t>
      </w:r>
      <w:r w:rsidR="001833F2">
        <w:rPr>
          <w:lang w:val="pt-BR"/>
        </w:rPr>
        <w:t>NLĐ</w:t>
      </w:r>
      <w:r w:rsidRPr="00E34F72">
        <w:rPr>
          <w:lang w:val="pt-BR"/>
        </w:rPr>
        <w:t xml:space="preserve"> Dầu khí; sự đồng thuận của xã hội, sự ghi nhận</w:t>
      </w:r>
      <w:r w:rsidR="002B5AB1" w:rsidRPr="00E34F72">
        <w:rPr>
          <w:lang w:val="pt-BR"/>
        </w:rPr>
        <w:t xml:space="preserve">, </w:t>
      </w:r>
      <w:r w:rsidRPr="00E34F72">
        <w:rPr>
          <w:lang w:val="pt-BR"/>
        </w:rPr>
        <w:t xml:space="preserve">đánh giá cao của các đồng chí lãnh đạo Đảng, Nhà nước </w:t>
      </w:r>
      <w:r w:rsidRPr="00E34F72">
        <w:t xml:space="preserve">về vị trí, vai trò của Tập đoàn đối với sự nghiệp phát triển kinh tế - xã hội đất nước. Nhờ đó, thương hiệu, uy tín của Tập đoàn được nâng cao, hình ảnh Petrovietnam được cải thiện so với thời gian trước khi có Nghị quyết, tạo niềm tin, khí thế mới trong </w:t>
      </w:r>
      <w:r w:rsidR="00AD77EE" w:rsidRPr="00E34F72">
        <w:t>cán bộ, công nhân viên</w:t>
      </w:r>
      <w:r w:rsidR="007A6A52">
        <w:t xml:space="preserve"> </w:t>
      </w:r>
      <w:r w:rsidR="007A6A52" w:rsidRPr="00E34F72">
        <w:t>(CB</w:t>
      </w:r>
      <w:r w:rsidR="007A6A52">
        <w:t>C</w:t>
      </w:r>
      <w:r w:rsidR="007A6A52" w:rsidRPr="00E34F72">
        <w:t>NV)</w:t>
      </w:r>
      <w:r w:rsidR="00AD77EE" w:rsidRPr="00E34F72">
        <w:t xml:space="preserve">, </w:t>
      </w:r>
      <w:r w:rsidR="001833F2">
        <w:t>NLĐ</w:t>
      </w:r>
      <w:r w:rsidR="00AD77EE" w:rsidRPr="00E34F72">
        <w:t xml:space="preserve"> </w:t>
      </w:r>
      <w:r w:rsidRPr="00E34F72">
        <w:t>Dầu khí</w:t>
      </w:r>
      <w:r w:rsidR="005F5700" w:rsidRPr="00E34F72">
        <w:t xml:space="preserve">; </w:t>
      </w:r>
      <w:r w:rsidR="000813BF">
        <w:t>góp phần</w:t>
      </w:r>
      <w:r w:rsidR="005F5700" w:rsidRPr="00E34F72">
        <w:t xml:space="preserve"> thúc đẩy cải cách thể chế </w:t>
      </w:r>
      <w:r w:rsidR="002B5AB1" w:rsidRPr="00E34F72">
        <w:t>đối với</w:t>
      </w:r>
      <w:r w:rsidR="005F5700" w:rsidRPr="00E34F72">
        <w:t xml:space="preserve"> hoạt động dầu khí, tạo </w:t>
      </w:r>
      <w:r w:rsidR="002B5AB1" w:rsidRPr="00E34F72">
        <w:t>môi trường</w:t>
      </w:r>
      <w:r w:rsidR="005F5700" w:rsidRPr="00E34F72">
        <w:t xml:space="preserve"> </w:t>
      </w:r>
      <w:r w:rsidR="000813BF">
        <w:t xml:space="preserve">thuận lợi </w:t>
      </w:r>
      <w:r w:rsidR="005F5700" w:rsidRPr="00E34F72">
        <w:t>để</w:t>
      </w:r>
      <w:r w:rsidR="000813BF">
        <w:t xml:space="preserve"> </w:t>
      </w:r>
      <w:r w:rsidR="005F5700" w:rsidRPr="00E34F72">
        <w:t xml:space="preserve">Tập đoàn </w:t>
      </w:r>
      <w:r w:rsidRPr="00E34F72">
        <w:t xml:space="preserve">hoàn thành </w:t>
      </w:r>
      <w:r w:rsidR="00AD77EE" w:rsidRPr="00E34F72">
        <w:t>tốt</w:t>
      </w:r>
      <w:r w:rsidRPr="00E34F72">
        <w:t xml:space="preserve"> các nhiệm vụ được giao.</w:t>
      </w:r>
    </w:p>
    <w:p w14:paraId="5A188675" w14:textId="40E6167C" w:rsidR="008C7B42" w:rsidRPr="00E34F72" w:rsidRDefault="00703F50" w:rsidP="000124B7">
      <w:pPr>
        <w:tabs>
          <w:tab w:val="left" w:pos="0"/>
          <w:tab w:val="left" w:pos="1080"/>
          <w:tab w:val="left" w:pos="1530"/>
        </w:tabs>
        <w:autoSpaceDE w:val="0"/>
        <w:autoSpaceDN w:val="0"/>
        <w:adjustRightInd w:val="0"/>
        <w:spacing w:before="120" w:after="120"/>
        <w:ind w:firstLine="720"/>
        <w:jc w:val="both"/>
        <w:rPr>
          <w:spacing w:val="-2"/>
        </w:rPr>
      </w:pPr>
      <w:r w:rsidRPr="00E34F72">
        <w:t xml:space="preserve">Tuy nhiên, việc thực hiện Nghị quyết 281 vẫn còn hạn chế, tồn tại: </w:t>
      </w:r>
      <w:r w:rsidR="00BB4322" w:rsidRPr="00E34F72">
        <w:t xml:space="preserve">Một số cấp ủy chưa có </w:t>
      </w:r>
      <w:r w:rsidR="001833F2">
        <w:t>n</w:t>
      </w:r>
      <w:r w:rsidR="00BB4322" w:rsidRPr="00E34F72">
        <w:t xml:space="preserve">ghị quyết, </w:t>
      </w:r>
      <w:r w:rsidR="001833F2">
        <w:t>k</w:t>
      </w:r>
      <w:r w:rsidR="00BB4322" w:rsidRPr="00E34F72">
        <w:t xml:space="preserve">ế hoạch </w:t>
      </w:r>
      <w:r w:rsidR="000813BF">
        <w:t xml:space="preserve">riêng để </w:t>
      </w:r>
      <w:r w:rsidR="00BB4322" w:rsidRPr="00E34F72">
        <w:t>triển khai chuyên đề quan trọng này. N</w:t>
      </w:r>
      <w:r w:rsidRPr="00E34F72">
        <w:t xml:space="preserve">hiệm vụ truyền thông </w:t>
      </w:r>
      <w:r w:rsidR="009D26CD" w:rsidRPr="00E34F72">
        <w:t xml:space="preserve">chưa </w:t>
      </w:r>
      <w:r w:rsidRPr="00E34F72">
        <w:t>phát huy hiệu quả tối đa</w:t>
      </w:r>
      <w:r w:rsidR="009D26CD" w:rsidRPr="00E34F72">
        <w:t xml:space="preserve">, lượng </w:t>
      </w:r>
      <w:r w:rsidRPr="00E34F72">
        <w:t>tương tác với công chúng còn hạn chế</w:t>
      </w:r>
      <w:r w:rsidR="009D26CD" w:rsidRPr="00E34F72">
        <w:t xml:space="preserve">; chưa có sự đồng đều giữa các đơn vị trong hoạt động truyền thông. Tại một số đơn vị, trách nhiệm của một bộ phận người lao động chưa cao, việc lộ lọt thông tin chưa được kiểm soát, còn có biểu hiện lợi dụng báo chí tác động quá trình triển khai công tác nhân sự, tác động xấu đến đoàn kết nội bộ; việc vận hành </w:t>
      </w:r>
      <w:r w:rsidR="00415632" w:rsidRPr="00E34F72">
        <w:t>w</w:t>
      </w:r>
      <w:r w:rsidR="009D26CD" w:rsidRPr="00E34F72">
        <w:t xml:space="preserve">ebsite tại một số đơn vị chưa hiệu quả, không thường xuyên cập nhật </w:t>
      </w:r>
      <w:r w:rsidR="009D26CD" w:rsidRPr="00E34F72">
        <w:lastRenderedPageBreak/>
        <w:t>thông tin; nhiều trang tin điện tử nhất là trang tiếng Anh hầu như không hoạt động.</w:t>
      </w:r>
      <w:r w:rsidR="008C7B42" w:rsidRPr="00E34F72">
        <w:t xml:space="preserve"> Chỉ một số đơn vị thường xuyên cung cấp thông tin, hoạt động SXKD, sự kiện của đơn vị về Tập đoàn. Hệ thống cộng tác viên dư luận xã hội nắm bắt tư tưởng, tâm trạng người lao động hoạt động chưa hiệu quả</w:t>
      </w:r>
      <w:r w:rsidR="006D7F17" w:rsidRPr="00E34F72">
        <w:t>,</w:t>
      </w:r>
      <w:r w:rsidR="008C7B42" w:rsidRPr="00E34F72">
        <w:t xml:space="preserve"> </w:t>
      </w:r>
      <w:r w:rsidR="00415632" w:rsidRPr="00E34F72">
        <w:t xml:space="preserve">nhất là </w:t>
      </w:r>
      <w:r w:rsidR="008C7B42" w:rsidRPr="00E34F72">
        <w:t>trong phối hợp xử lý khủng hoảng truyền thông.</w:t>
      </w:r>
      <w:r w:rsidR="00E15536" w:rsidRPr="00E34F72">
        <w:t xml:space="preserve"> </w:t>
      </w:r>
      <w:r w:rsidR="008C7B42" w:rsidRPr="00E34F72">
        <w:t xml:space="preserve">Công tác triển khai văn hoá doanh nghiệp tại một số đơn vị chưa </w:t>
      </w:r>
      <w:r w:rsidR="002B5AB1" w:rsidRPr="00E34F72">
        <w:t>mang t</w:t>
      </w:r>
      <w:r w:rsidR="008C7B42" w:rsidRPr="00E34F72">
        <w:t>ính đặc trưn</w:t>
      </w:r>
      <w:r w:rsidR="00415632" w:rsidRPr="00E34F72">
        <w:t>g</w:t>
      </w:r>
      <w:r w:rsidR="008C7B42" w:rsidRPr="00E34F72">
        <w:t xml:space="preserve">, </w:t>
      </w:r>
      <w:r w:rsidR="00AD77EE" w:rsidRPr="00E34F72">
        <w:t xml:space="preserve">chưa </w:t>
      </w:r>
      <w:r w:rsidR="008C7B42" w:rsidRPr="00E34F72">
        <w:t>xác định nhiệm vụ cụ thể cho từng giai</w:t>
      </w:r>
      <w:r w:rsidR="00AD77EE" w:rsidRPr="00E34F72">
        <w:t xml:space="preserve"> đoạn</w:t>
      </w:r>
      <w:r w:rsidR="008C7B42" w:rsidRPr="00E34F72">
        <w:t xml:space="preserve">, </w:t>
      </w:r>
      <w:r w:rsidR="00AD77EE" w:rsidRPr="00E34F72">
        <w:t>có</w:t>
      </w:r>
      <w:r w:rsidR="008C7B42" w:rsidRPr="00E34F72">
        <w:t xml:space="preserve"> nội dung triển khai thực hiện còn dàn trải, chưa đo lường được kết quả cụ thể, chưa khái quát và chỉ ra các vấn đề còn tồn tại, hạn chế để rút kinh nghiệm; công tác tuyên dương</w:t>
      </w:r>
      <w:r w:rsidR="008C7B42" w:rsidRPr="00E34F72">
        <w:rPr>
          <w:spacing w:val="-2"/>
        </w:rPr>
        <w:t>, khen thưởng đột xuất, chuyên đề chưa được chú trọng.</w:t>
      </w:r>
    </w:p>
    <w:p w14:paraId="3963102A" w14:textId="1BF2CA16" w:rsidR="00F428BC" w:rsidRPr="00E34F72" w:rsidRDefault="00295AE5" w:rsidP="000124B7">
      <w:pPr>
        <w:tabs>
          <w:tab w:val="left" w:pos="0"/>
          <w:tab w:val="left" w:pos="720"/>
          <w:tab w:val="left" w:pos="1530"/>
        </w:tabs>
        <w:spacing w:before="120" w:after="120"/>
        <w:ind w:firstLine="720"/>
        <w:jc w:val="both"/>
        <w:rPr>
          <w:lang w:val="pt-BR"/>
        </w:rPr>
      </w:pPr>
      <w:r w:rsidRPr="00E34F72">
        <w:rPr>
          <w:lang w:val="pt-BR"/>
        </w:rPr>
        <w:t>Bước vào giai đoạn phát triển mới, để kịp thời ứng phó và vượt qua những thách thức đòi hỏi công tác</w:t>
      </w:r>
      <w:r w:rsidR="002B5AB1" w:rsidRPr="00E34F72">
        <w:rPr>
          <w:lang w:val="pt-BR"/>
        </w:rPr>
        <w:t xml:space="preserve"> lãnh đạo nhiệm vụ</w:t>
      </w:r>
      <w:r w:rsidRPr="00E34F72">
        <w:rPr>
          <w:lang w:val="pt-BR"/>
        </w:rPr>
        <w:t xml:space="preserve"> truyền thông và văn hoá doanh nghiệp</w:t>
      </w:r>
      <w:r w:rsidR="001833F2">
        <w:rPr>
          <w:lang w:val="pt-BR"/>
        </w:rPr>
        <w:t xml:space="preserve"> (TT&amp;VHDN)</w:t>
      </w:r>
      <w:r w:rsidRPr="00E34F72">
        <w:rPr>
          <w:lang w:val="pt-BR"/>
        </w:rPr>
        <w:t xml:space="preserve"> trong toàn Tập</w:t>
      </w:r>
      <w:r w:rsidR="002B5AB1" w:rsidRPr="00E34F72">
        <w:rPr>
          <w:lang w:val="pt-BR"/>
        </w:rPr>
        <w:t xml:space="preserve"> đoàn</w:t>
      </w:r>
      <w:r w:rsidRPr="00E34F72">
        <w:rPr>
          <w:lang w:val="pt-BR"/>
        </w:rPr>
        <w:t xml:space="preserve"> phải </w:t>
      </w:r>
      <w:r w:rsidR="00F428BC" w:rsidRPr="00E34F72">
        <w:t>tập trung giải quyết tốt những tồn tại, hạn chế trong quá trình thực hiện Nghị quyết</w:t>
      </w:r>
      <w:r w:rsidR="004A4AD1" w:rsidRPr="00E34F72">
        <w:t xml:space="preserve">. </w:t>
      </w:r>
      <w:r w:rsidR="00F428BC" w:rsidRPr="00E34F72">
        <w:t xml:space="preserve">Ban Chấp hành Đảng bộ Tập đoàn </w:t>
      </w:r>
      <w:r w:rsidR="002B5AB1" w:rsidRPr="00E34F72">
        <w:t>yêu cầu</w:t>
      </w:r>
      <w:r w:rsidR="00E15536" w:rsidRPr="00E34F72">
        <w:t xml:space="preserve"> các</w:t>
      </w:r>
      <w:r w:rsidR="00F428BC" w:rsidRPr="00E34F72">
        <w:t xml:space="preserve"> cấp uỷ</w:t>
      </w:r>
      <w:r w:rsidR="000E5D63" w:rsidRPr="00E34F72">
        <w:t xml:space="preserve">/lãnh đạo các đơn vị, </w:t>
      </w:r>
      <w:r w:rsidR="00E15536" w:rsidRPr="00E34F72">
        <w:t>đoàn thể trong Tập đoàn</w:t>
      </w:r>
      <w:r w:rsidR="00F428BC" w:rsidRPr="00E34F72">
        <w:t xml:space="preserve"> tập trung lãnh đạo, chỉ đạo thực hiện:</w:t>
      </w:r>
    </w:p>
    <w:p w14:paraId="783ECE0F" w14:textId="3BD69B1E" w:rsidR="004A4AD1" w:rsidRPr="00D81337" w:rsidRDefault="00F428BC" w:rsidP="00D81337">
      <w:pPr>
        <w:pStyle w:val="ListParagraph"/>
        <w:numPr>
          <w:ilvl w:val="0"/>
          <w:numId w:val="2"/>
        </w:numPr>
        <w:tabs>
          <w:tab w:val="left" w:pos="0"/>
          <w:tab w:val="left" w:pos="993"/>
        </w:tabs>
        <w:spacing w:before="120" w:after="120"/>
        <w:ind w:left="0" w:firstLine="720"/>
        <w:contextualSpacing w:val="0"/>
        <w:jc w:val="both"/>
        <w:rPr>
          <w:b/>
          <w:bCs/>
        </w:rPr>
      </w:pPr>
      <w:r w:rsidRPr="00E34F72">
        <w:rPr>
          <w:b/>
          <w:bCs/>
        </w:rPr>
        <w:t>QUAN ĐIỂM</w:t>
      </w:r>
      <w:r w:rsidR="00D81337">
        <w:rPr>
          <w:b/>
          <w:bCs/>
          <w:lang w:val="vi-VN"/>
        </w:rPr>
        <w:t xml:space="preserve">: </w:t>
      </w:r>
      <w:r w:rsidR="00976E98" w:rsidRPr="00D81337">
        <w:rPr>
          <w:b/>
          <w:bCs/>
        </w:rPr>
        <w:t>1.</w:t>
      </w:r>
      <w:r w:rsidR="00976E98" w:rsidRPr="00E34F72">
        <w:t xml:space="preserve"> </w:t>
      </w:r>
      <w:r w:rsidR="002B5AB1" w:rsidRPr="00E34F72">
        <w:t xml:space="preserve">Nhất quán, kiên trì tiếp tục thực hiện Nghị quyết 281 và </w:t>
      </w:r>
      <w:bookmarkStart w:id="1" w:name="_Hlk74742894"/>
      <w:r w:rsidR="002B5AB1" w:rsidRPr="00E34F72">
        <w:t>Kế hoạch 3623/KH-DKVN ngày 03/7/2019 của Tổng giám đốc Tập đoàn về công tác truyền thông và văn hoá doanh nghiệp</w:t>
      </w:r>
      <w:bookmarkEnd w:id="1"/>
      <w:r w:rsidR="002B5AB1" w:rsidRPr="00E34F72">
        <w:t xml:space="preserve"> trên cơ sở b</w:t>
      </w:r>
      <w:r w:rsidRPr="00E34F72">
        <w:t>ám sát Chiến lược phát triển ngành Dầu khí Việt Nam và Tập đoàn Dầu khí Việt Nam</w:t>
      </w:r>
      <w:r w:rsidR="00976E98" w:rsidRPr="00E34F72">
        <w:t>.</w:t>
      </w:r>
      <w:r w:rsidR="00D81337">
        <w:rPr>
          <w:lang w:val="vi-VN"/>
        </w:rPr>
        <w:t xml:space="preserve"> </w:t>
      </w:r>
      <w:r w:rsidR="00976E98" w:rsidRPr="00D81337">
        <w:rPr>
          <w:b/>
          <w:bCs/>
        </w:rPr>
        <w:t>2.</w:t>
      </w:r>
      <w:r w:rsidR="00976E98" w:rsidRPr="00E34F72">
        <w:t xml:space="preserve"> Triển khai Kết luận này</w:t>
      </w:r>
      <w:r w:rsidRPr="00E34F72">
        <w:t xml:space="preserve"> gắn với Kế hoạch số 172-KH/ĐU ngày 08/11/2021 của Ban Thường vụ Đảng uỷ Tập đoàn về thực hiện Kết luận số 01-KL/TW ngày 18/5/2021 của Bộ Chính trị về tiếp tục thực hiện Chỉ thị số 05-CT/TW ngày 15/5/2016 của Bộ Chính trị khóa XII </w:t>
      </w:r>
      <w:r w:rsidRPr="00D81337">
        <w:rPr>
          <w:i/>
          <w:iCs/>
        </w:rPr>
        <w:t>"Về đẩy mạnh học tập và làm theo tư tưởng, đạo đức, phong cách Hồ Chí Minh"</w:t>
      </w:r>
      <w:r w:rsidR="004A4AD1" w:rsidRPr="00E34F72">
        <w:t xml:space="preserve"> và một số chủ trương</w:t>
      </w:r>
      <w:r w:rsidR="00415632" w:rsidRPr="00E34F72">
        <w:t>,</w:t>
      </w:r>
      <w:r w:rsidR="004A4AD1" w:rsidRPr="00E34F72">
        <w:t xml:space="preserve"> nhiệm vụ khác</w:t>
      </w:r>
      <w:r w:rsidR="00415632" w:rsidRPr="00E34F72">
        <w:t xml:space="preserve"> của Đảng</w:t>
      </w:r>
      <w:r w:rsidR="004A4AD1" w:rsidRPr="00E34F72">
        <w:t xml:space="preserve"> liên quan đến xây dựng con người mới.</w:t>
      </w:r>
      <w:bookmarkStart w:id="2" w:name="_Hlk109318895"/>
      <w:r w:rsidR="00D81337">
        <w:rPr>
          <w:lang w:val="vi-VN"/>
        </w:rPr>
        <w:t xml:space="preserve"> </w:t>
      </w:r>
      <w:r w:rsidR="00976E98" w:rsidRPr="00D81337">
        <w:rPr>
          <w:b/>
          <w:bCs/>
        </w:rPr>
        <w:t>3.</w:t>
      </w:r>
      <w:r w:rsidR="00976E98" w:rsidRPr="00E34F72">
        <w:t xml:space="preserve"> </w:t>
      </w:r>
      <w:r w:rsidR="004A4AD1" w:rsidRPr="00E34F72">
        <w:t xml:space="preserve">Cả hệ thống chính trị cần điều chỉnh, quán triệt phương châm truyền thông không chỉ đi trước mà còn đi cùng, đi sau trong mọi hoạt động của doanh nghiệp; </w:t>
      </w:r>
      <w:r w:rsidR="00415632" w:rsidRPr="00E34F72">
        <w:t>gắn công tác truyền thông với xây dựng văn hóa doanh nghiệp</w:t>
      </w:r>
      <w:r w:rsidR="000813BF">
        <w:t xml:space="preserve"> và công tác an sinh xã hội</w:t>
      </w:r>
      <w:r w:rsidR="00415632" w:rsidRPr="00E34F72">
        <w:t>. T</w:t>
      </w:r>
      <w:r w:rsidR="004A4AD1" w:rsidRPr="00E34F72">
        <w:t xml:space="preserve">ái tạo </w:t>
      </w:r>
      <w:r w:rsidR="00415632" w:rsidRPr="00E34F72">
        <w:t>v</w:t>
      </w:r>
      <w:r w:rsidR="004A4AD1" w:rsidRPr="00E34F72">
        <w:t xml:space="preserve">ăn hóa Petrovietnam </w:t>
      </w:r>
      <w:r w:rsidR="00415632" w:rsidRPr="00E34F72">
        <w:t>nhằm</w:t>
      </w:r>
      <w:r w:rsidR="004A4AD1" w:rsidRPr="00E34F72">
        <w:t xml:space="preserve"> củng cố văn hóa nền tảng,</w:t>
      </w:r>
      <w:r w:rsidR="00415632" w:rsidRPr="00E34F72">
        <w:t xml:space="preserve"> tạo</w:t>
      </w:r>
      <w:r w:rsidR="004A4AD1" w:rsidRPr="00E34F72">
        <w:t xml:space="preserve"> hiệu quả với 7 thói quen, làm giàu bản sắc PVN để Tập đoàn có tầm vóc lớn hơn, xây dựng đội ngũ lao động hiệu quả cao hơn.</w:t>
      </w:r>
    </w:p>
    <w:bookmarkEnd w:id="0"/>
    <w:bookmarkEnd w:id="2"/>
    <w:p w14:paraId="73B3B199" w14:textId="23198FD9" w:rsidR="00F428BC" w:rsidRPr="00D81337" w:rsidRDefault="00327910" w:rsidP="00D81337">
      <w:pPr>
        <w:pStyle w:val="ListParagraph"/>
        <w:numPr>
          <w:ilvl w:val="0"/>
          <w:numId w:val="2"/>
        </w:numPr>
        <w:tabs>
          <w:tab w:val="left" w:pos="993"/>
        </w:tabs>
        <w:autoSpaceDE w:val="0"/>
        <w:autoSpaceDN w:val="0"/>
        <w:adjustRightInd w:val="0"/>
        <w:spacing w:before="120" w:after="120"/>
        <w:ind w:left="0" w:firstLine="567"/>
        <w:jc w:val="both"/>
        <w:rPr>
          <w:rFonts w:ascii="Times New Roman Bold" w:hAnsi="Times New Roman Bold"/>
          <w:b/>
          <w:bCs/>
          <w:spacing w:val="-8"/>
        </w:rPr>
      </w:pPr>
      <w:r w:rsidRPr="00E34F72">
        <w:rPr>
          <w:rFonts w:ascii="Times New Roman Bold" w:hAnsi="Times New Roman Bold"/>
          <w:b/>
          <w:bCs/>
          <w:spacing w:val="-8"/>
        </w:rPr>
        <w:t xml:space="preserve">BỔ </w:t>
      </w:r>
      <w:r w:rsidR="00C65FF8" w:rsidRPr="00E34F72">
        <w:rPr>
          <w:rFonts w:ascii="Times New Roman Bold" w:hAnsi="Times New Roman Bold"/>
          <w:b/>
          <w:bCs/>
          <w:spacing w:val="-8"/>
        </w:rPr>
        <w:t>S</w:t>
      </w:r>
      <w:r w:rsidRPr="00E34F72">
        <w:rPr>
          <w:rFonts w:ascii="Times New Roman Bold" w:hAnsi="Times New Roman Bold"/>
          <w:b/>
          <w:bCs/>
          <w:spacing w:val="-8"/>
        </w:rPr>
        <w:t xml:space="preserve">UNG </w:t>
      </w:r>
      <w:r w:rsidR="00976E98" w:rsidRPr="00E34F72">
        <w:rPr>
          <w:rFonts w:ascii="Times New Roman Bold" w:hAnsi="Times New Roman Bold"/>
          <w:b/>
          <w:bCs/>
          <w:spacing w:val="-8"/>
        </w:rPr>
        <w:t>NHIỆM VỤ, GIẢI PHÁP</w:t>
      </w:r>
      <w:r w:rsidRPr="00E34F72">
        <w:rPr>
          <w:rFonts w:ascii="Times New Roman Bold" w:hAnsi="Times New Roman Bold"/>
          <w:b/>
          <w:bCs/>
          <w:spacing w:val="-8"/>
        </w:rPr>
        <w:t xml:space="preserve"> THỰC HIỆN NGHỊ QUYẾT 281</w:t>
      </w:r>
      <w:r w:rsidR="00D81337">
        <w:rPr>
          <w:rFonts w:ascii="Times New Roman Bold" w:hAnsi="Times New Roman Bold"/>
          <w:b/>
          <w:bCs/>
          <w:spacing w:val="-8"/>
          <w:lang w:val="vi-VN"/>
        </w:rPr>
        <w:t xml:space="preserve">: </w:t>
      </w:r>
      <w:r w:rsidR="00603758" w:rsidRPr="00D81337">
        <w:rPr>
          <w:b/>
          <w:bCs/>
        </w:rPr>
        <w:t xml:space="preserve">1. </w:t>
      </w:r>
      <w:r w:rsidR="00603758" w:rsidRPr="00D81337">
        <w:rPr>
          <w:b/>
          <w:lang w:val="en-AU"/>
        </w:rPr>
        <w:t xml:space="preserve"> </w:t>
      </w:r>
      <w:bookmarkStart w:id="3" w:name="_Hlk109328996"/>
      <w:r w:rsidR="00603758" w:rsidRPr="00D81337">
        <w:rPr>
          <w:b/>
          <w:lang w:val="en-AU"/>
        </w:rPr>
        <w:t xml:space="preserve">Tăng cường sự lãnh đạo của Đảng đối với công tác </w:t>
      </w:r>
      <w:r w:rsidR="001833F2" w:rsidRPr="00D81337">
        <w:rPr>
          <w:b/>
          <w:lang w:val="en-AU"/>
        </w:rPr>
        <w:t>TT&amp;VHDN</w:t>
      </w:r>
      <w:r w:rsidR="00603758" w:rsidRPr="00D81337">
        <w:rPr>
          <w:b/>
          <w:lang w:val="en-AU"/>
        </w:rPr>
        <w:t xml:space="preserve"> đáp ứng yêu cầu nhiệm vụ</w:t>
      </w:r>
      <w:bookmarkEnd w:id="3"/>
      <w:r w:rsidR="00D81337">
        <w:rPr>
          <w:b/>
          <w:lang w:val="vi-VN"/>
        </w:rPr>
        <w:t xml:space="preserve">: </w:t>
      </w:r>
      <w:r w:rsidR="00E36936" w:rsidRPr="00D81337">
        <w:rPr>
          <w:rFonts w:eastAsia="Arial"/>
          <w:highlight w:val="lightGray"/>
        </w:rPr>
        <w:t>a</w:t>
      </w:r>
      <w:r w:rsidR="00E36936" w:rsidRPr="00D81337">
        <w:rPr>
          <w:rFonts w:eastAsia="Arial"/>
          <w:lang w:val="vi-VN"/>
        </w:rPr>
        <w:t xml:space="preserve">. </w:t>
      </w:r>
      <w:r w:rsidR="002345A9" w:rsidRPr="00D81337">
        <w:t>Cấp uỷ các đơn vị</w:t>
      </w:r>
      <w:r w:rsidR="00603758" w:rsidRPr="00D81337">
        <w:t xml:space="preserve"> chỉ đạo; giao nhiệm vụ cho các cơ quan tham mưu cụ thể hóa nhiệm vụ, giải pháp của Nghị quyết</w:t>
      </w:r>
      <w:r w:rsidR="001833F2" w:rsidRPr="00D81337">
        <w:t xml:space="preserve"> 281</w:t>
      </w:r>
      <w:r w:rsidR="00603758" w:rsidRPr="00D81337">
        <w:t>, Kết luận</w:t>
      </w:r>
      <w:r w:rsidR="001833F2" w:rsidRPr="00D81337">
        <w:t xml:space="preserve"> này</w:t>
      </w:r>
      <w:r w:rsidR="000813BF" w:rsidRPr="00D81337">
        <w:t>,</w:t>
      </w:r>
      <w:r w:rsidR="00603758" w:rsidRPr="00D81337">
        <w:t xml:space="preserve"> </w:t>
      </w:r>
      <w:r w:rsidR="000813BF" w:rsidRPr="00D81337">
        <w:t xml:space="preserve">ban </w:t>
      </w:r>
      <w:r w:rsidR="00603758" w:rsidRPr="00D81337">
        <w:t xml:space="preserve">hành </w:t>
      </w:r>
      <w:r w:rsidR="005D7425" w:rsidRPr="00D81337">
        <w:t>n</w:t>
      </w:r>
      <w:r w:rsidR="00BB4322" w:rsidRPr="00D81337">
        <w:t>ghị quyết chuyên đề/</w:t>
      </w:r>
      <w:r w:rsidR="00603758" w:rsidRPr="00D81337">
        <w:t xml:space="preserve">đề án, kế hoạch </w:t>
      </w:r>
      <w:r w:rsidR="000813BF" w:rsidRPr="00D81337">
        <w:t xml:space="preserve">riêng </w:t>
      </w:r>
      <w:r w:rsidR="00603758" w:rsidRPr="00D81337">
        <w:t>của cấp ủy để tổ chức thực hiện một cách thiết thực, hiệu quả</w:t>
      </w:r>
      <w:r w:rsidR="002B5AB1" w:rsidRPr="00D81337">
        <w:t xml:space="preserve">, khắc phục tình trạng chậm cụ thể hoá </w:t>
      </w:r>
      <w:r w:rsidR="005D7425" w:rsidRPr="00D81337">
        <w:t>n</w:t>
      </w:r>
      <w:r w:rsidR="002B5AB1" w:rsidRPr="00D81337">
        <w:t>ghị quyết tại các đơn vị. Phân công rõ nhiệm vụ cho từng cá nhân, tổ chức chịu trách nhiệm triển khai và đề ra lộ trình, thời gian hoàn thành</w:t>
      </w:r>
      <w:r w:rsidR="00603758" w:rsidRPr="00D81337">
        <w:t>.</w:t>
      </w:r>
      <w:r w:rsidR="00D81337">
        <w:rPr>
          <w:lang w:val="vi-VN"/>
        </w:rPr>
        <w:t xml:space="preserve"> b. </w:t>
      </w:r>
      <w:r w:rsidR="00603758" w:rsidRPr="00D81337">
        <w:t xml:space="preserve">Nâng cao nhận thức và năng lực </w:t>
      </w:r>
      <w:r w:rsidR="00BB4322" w:rsidRPr="00D81337">
        <w:t>lãnh đạo của người đứng đầu</w:t>
      </w:r>
      <w:r w:rsidR="00603758" w:rsidRPr="00D81337">
        <w:t xml:space="preserve"> các cấp về công tác </w:t>
      </w:r>
      <w:r w:rsidR="001833F2" w:rsidRPr="00D81337">
        <w:t>TT&amp;VHDN</w:t>
      </w:r>
      <w:r w:rsidR="00603758" w:rsidRPr="00D81337">
        <w:t xml:space="preserve">. </w:t>
      </w:r>
      <w:r w:rsidR="002B5AB1" w:rsidRPr="00D81337">
        <w:t>Thông qua sinh hoạt chi bộ, chi đoàn, chi hội; đề cao tính nêu gương của cán bộ đảng viên, lãnh đạo các cấp (người có chức vụ càng cao, càng phải gương mẫu); phát huy tính sáng tạo của Công đoàn, Đoàn thanh niên, Hội cựu chiến binh trong thực hiện Kết luận.</w:t>
      </w:r>
      <w:r w:rsidR="00D81337">
        <w:rPr>
          <w:lang w:val="vi-VN"/>
        </w:rPr>
        <w:t xml:space="preserve"> c. </w:t>
      </w:r>
      <w:r w:rsidR="00415632" w:rsidRPr="00D81337">
        <w:t>C</w:t>
      </w:r>
      <w:r w:rsidR="00603758" w:rsidRPr="00D81337">
        <w:t xml:space="preserve">ác cấp ủy đảng, </w:t>
      </w:r>
      <w:r w:rsidR="00BB4322" w:rsidRPr="00D81337">
        <w:t xml:space="preserve">lãnh đạo </w:t>
      </w:r>
      <w:r w:rsidR="00603758" w:rsidRPr="00D81337">
        <w:t>đơn vị, đoàn thể huy động nguồn lực</w:t>
      </w:r>
      <w:r w:rsidR="00BB4322" w:rsidRPr="00D81337">
        <w:t>,</w:t>
      </w:r>
      <w:r w:rsidR="00603758" w:rsidRPr="00D81337">
        <w:t xml:space="preserve"> </w:t>
      </w:r>
      <w:r w:rsidR="00BB4322" w:rsidRPr="00D81337">
        <w:t xml:space="preserve">tổ chức bộ máy, bố trí nhân sự có năng lực </w:t>
      </w:r>
      <w:r w:rsidR="00603758" w:rsidRPr="00D81337">
        <w:t xml:space="preserve">để thực hiện </w:t>
      </w:r>
      <w:r w:rsidR="00415632" w:rsidRPr="00D81337">
        <w:t xml:space="preserve">Nghị quyết/Kết luận </w:t>
      </w:r>
      <w:r w:rsidR="00BB4322" w:rsidRPr="00D81337">
        <w:t xml:space="preserve">đạt kết quả </w:t>
      </w:r>
      <w:r w:rsidR="00BB4322" w:rsidRPr="00D81337">
        <w:lastRenderedPageBreak/>
        <w:t>tốt nhấ</w:t>
      </w:r>
      <w:r w:rsidR="00415632" w:rsidRPr="00D81337">
        <w:t>t</w:t>
      </w:r>
      <w:r w:rsidR="00603758" w:rsidRPr="00D81337">
        <w:t>.</w:t>
      </w:r>
      <w:bookmarkStart w:id="4" w:name="_Hlk109329010"/>
      <w:r w:rsidR="00D81337">
        <w:rPr>
          <w:lang w:val="vi-VN"/>
        </w:rPr>
        <w:t xml:space="preserve"> </w:t>
      </w:r>
      <w:r w:rsidR="00BA1773" w:rsidRPr="00D81337">
        <w:rPr>
          <w:b/>
          <w:bCs/>
        </w:rPr>
        <w:t>2. Đẩy mạnh triển khai đồng bộ c</w:t>
      </w:r>
      <w:r w:rsidR="00F428BC" w:rsidRPr="00D81337">
        <w:rPr>
          <w:b/>
          <w:bCs/>
        </w:rPr>
        <w:t>ông tác truyền thông</w:t>
      </w:r>
      <w:r w:rsidR="00D81337">
        <w:rPr>
          <w:b/>
          <w:bCs/>
          <w:lang w:val="vi-VN"/>
        </w:rPr>
        <w:t xml:space="preserve">: </w:t>
      </w:r>
      <w:bookmarkEnd w:id="4"/>
      <w:r w:rsidR="00D81337">
        <w:rPr>
          <w:b/>
          <w:bCs/>
          <w:lang w:val="vi-VN"/>
        </w:rPr>
        <w:t xml:space="preserve">a. </w:t>
      </w:r>
      <w:r w:rsidR="00273D42">
        <w:t>Thực hiện đồng đều nhiệm vụ truyền thông nội bộ, truyên thông công chúng và truyền thông quốc tế</w:t>
      </w:r>
      <w:r w:rsidR="005D7425">
        <w:t>. Các công ty cổ phần chú ý nhiệm vụ truyền thông, quan hệ cổ đông. Thông qua công tác truyền thông tạo sự đồng thuận trong thực hiện nhiệm vụ SXKD theo hướng quản trị hiệu quả.</w:t>
      </w:r>
      <w:r w:rsidR="00D81337">
        <w:rPr>
          <w:lang w:val="vi-VN"/>
        </w:rPr>
        <w:t xml:space="preserve"> b. </w:t>
      </w:r>
      <w:r w:rsidR="00F428BC" w:rsidRPr="00E34F72">
        <w:t xml:space="preserve">Chú trọng phân tích tình hình, kết quả SXKD từ đó truyền thông có chiều sâu; đặc biệt là các gương điển hình trong </w:t>
      </w:r>
      <w:r w:rsidR="001833F2">
        <w:t>lao động, sáng tạo</w:t>
      </w:r>
      <w:r w:rsidR="00BB4322" w:rsidRPr="00E34F72">
        <w:t xml:space="preserve"> để truyền thông công chúng,</w:t>
      </w:r>
      <w:r w:rsidR="00F428BC" w:rsidRPr="00E34F72">
        <w:t xml:space="preserve"> qua đó tạo niềm tin, khí thế mới</w:t>
      </w:r>
      <w:r w:rsidR="002B5AB1" w:rsidRPr="00E34F72">
        <w:t>, động viên</w:t>
      </w:r>
      <w:r w:rsidR="00F428BC" w:rsidRPr="00E34F72">
        <w:t xml:space="preserve"> </w:t>
      </w:r>
      <w:r w:rsidR="00AB11EB">
        <w:t>NLĐ</w:t>
      </w:r>
      <w:r w:rsidR="00F428BC" w:rsidRPr="00E34F72">
        <w:t xml:space="preserve"> Dầu khí thực hiện thắng lợi nhiệm vụ được giao</w:t>
      </w:r>
      <w:r w:rsidR="00BB4322" w:rsidRPr="00E34F72">
        <w:t>.</w:t>
      </w:r>
      <w:r w:rsidR="00D81337">
        <w:rPr>
          <w:lang w:val="vi-VN"/>
        </w:rPr>
        <w:t xml:space="preserve"> c. </w:t>
      </w:r>
      <w:r w:rsidR="00F428BC" w:rsidRPr="00E34F72">
        <w:t xml:space="preserve">Đẩy mạnh truyền thông trên </w:t>
      </w:r>
      <w:r w:rsidR="000813BF">
        <w:t xml:space="preserve">các kênh truyền hình, quảng bá tại các sự kiện lớn, tham gia </w:t>
      </w:r>
      <w:r w:rsidR="00F428BC" w:rsidRPr="00E34F72">
        <w:t>mạng xã hội bằng cách xây dựng những thông điệp ngắn gọn, dễ nhớ, dễ hiểu, dễ thể hiện</w:t>
      </w:r>
      <w:r w:rsidR="001833F2">
        <w:t xml:space="preserve">; </w:t>
      </w:r>
      <w:r w:rsidR="002B5AB1" w:rsidRPr="00E34F72">
        <w:t xml:space="preserve">phát triển </w:t>
      </w:r>
      <w:r w:rsidR="00F428BC" w:rsidRPr="00E34F72">
        <w:t xml:space="preserve">truyền thông đa phương tiện trên nền tảng </w:t>
      </w:r>
      <w:r w:rsidR="00415632" w:rsidRPr="00E34F72">
        <w:t>kỹ thuật số,</w:t>
      </w:r>
      <w:r w:rsidR="00F428BC" w:rsidRPr="00E34F72">
        <w:t xml:space="preserve"> hình ảnh, video, âm nhạc, đồ họa,... tăng cường tương tác trên các trang mạng xã hội.</w:t>
      </w:r>
      <w:r w:rsidR="00D81337">
        <w:rPr>
          <w:lang w:val="vi-VN"/>
        </w:rPr>
        <w:t xml:space="preserve"> d. </w:t>
      </w:r>
      <w:r w:rsidR="00F428BC" w:rsidRPr="00E34F72">
        <w:t xml:space="preserve">Nâng cao chất lượng, hiệu quả vận hành và hoạt động </w:t>
      </w:r>
      <w:r w:rsidR="00415632" w:rsidRPr="00E34F72">
        <w:t>w</w:t>
      </w:r>
      <w:r w:rsidR="00F428BC" w:rsidRPr="00E34F72">
        <w:t xml:space="preserve">ebsite của Tập đoàn và các đơn vị (bao gồm trang tiếng Anh). Tăng số lượng tin, bài trên </w:t>
      </w:r>
      <w:r w:rsidR="006D7F17" w:rsidRPr="00E34F72">
        <w:t>w</w:t>
      </w:r>
      <w:r w:rsidR="00F428BC" w:rsidRPr="00E34F72">
        <w:t xml:space="preserve">ebsite </w:t>
      </w:r>
      <w:r w:rsidR="002B5AB1" w:rsidRPr="00E34F72">
        <w:t>t</w:t>
      </w:r>
      <w:r w:rsidR="00F428BC" w:rsidRPr="00E34F72">
        <w:t>iếng Anh.</w:t>
      </w:r>
      <w:r w:rsidR="00D81337">
        <w:rPr>
          <w:lang w:val="vi-VN"/>
        </w:rPr>
        <w:t xml:space="preserve"> e. </w:t>
      </w:r>
      <w:r w:rsidR="00F428BC" w:rsidRPr="00E34F72">
        <w:t xml:space="preserve">Duy trì rà soát, phát hiện </w:t>
      </w:r>
      <w:r w:rsidR="00415632" w:rsidRPr="00E34F72">
        <w:t xml:space="preserve">sớm </w:t>
      </w:r>
      <w:r w:rsidR="00F428BC" w:rsidRPr="00E34F72">
        <w:t>thông tin bất lợi</w:t>
      </w:r>
      <w:r w:rsidR="00415632" w:rsidRPr="00E34F72">
        <w:t>,</w:t>
      </w:r>
      <w:r w:rsidR="00F428BC" w:rsidRPr="00E34F72">
        <w:t xml:space="preserve"> </w:t>
      </w:r>
      <w:r w:rsidR="00415632" w:rsidRPr="00E34F72">
        <w:t>tác động xấu</w:t>
      </w:r>
      <w:r w:rsidR="00F428BC" w:rsidRPr="00E34F72">
        <w:t xml:space="preserve"> đến hình ảnh, uy tín, hoạt động của Tập đoàn, các đơn vị</w:t>
      </w:r>
      <w:r w:rsidR="00415632" w:rsidRPr="00E34F72">
        <w:t>;</w:t>
      </w:r>
      <w:r w:rsidR="00F428BC" w:rsidRPr="00E34F72">
        <w:t xml:space="preserve"> phối hợp cả hệ thống xử lý khi có sự cố, khủng hoảng truyền thông.</w:t>
      </w:r>
      <w:r w:rsidRPr="00E34F72">
        <w:t xml:space="preserve"> </w:t>
      </w:r>
      <w:r w:rsidR="00F428BC" w:rsidRPr="00E34F72">
        <w:t xml:space="preserve">Củng cố, kiện toàn và nâng cao hiệu quả hoạt động </w:t>
      </w:r>
      <w:r w:rsidR="002B5AB1" w:rsidRPr="00E34F72">
        <w:t xml:space="preserve">nắm bắt tư tưởng </w:t>
      </w:r>
      <w:r w:rsidR="00F428BC" w:rsidRPr="00E34F72">
        <w:t>của hệ thống cộng tác viên dư luận xã hội</w:t>
      </w:r>
      <w:r w:rsidR="002B5AB1" w:rsidRPr="00E34F72">
        <w:t>.</w:t>
      </w:r>
      <w:r w:rsidR="000124B7" w:rsidRPr="00E34F72">
        <w:t xml:space="preserve"> </w:t>
      </w:r>
      <w:r w:rsidR="00F428BC" w:rsidRPr="00E34F72">
        <w:t xml:space="preserve">Lập nhóm (trên mạng xã hội) cán bộ, cộng tác viên công tác TT&amp;VHDN để kịp thời cung cấp, nắm bắt, xử lý thông tin, nhất là các sự cố, khủng hoảng truyền thông. </w:t>
      </w:r>
      <w:r w:rsidR="00BA1773" w:rsidRPr="00D81337">
        <w:rPr>
          <w:b/>
          <w:bCs/>
        </w:rPr>
        <w:t>3</w:t>
      </w:r>
      <w:r w:rsidR="00976E98" w:rsidRPr="00D81337">
        <w:rPr>
          <w:b/>
          <w:bCs/>
        </w:rPr>
        <w:t>.</w:t>
      </w:r>
      <w:r w:rsidR="00BA1773" w:rsidRPr="00D81337">
        <w:rPr>
          <w:b/>
          <w:bCs/>
        </w:rPr>
        <w:t xml:space="preserve"> </w:t>
      </w:r>
      <w:bookmarkStart w:id="5" w:name="_Hlk109329019"/>
      <w:r w:rsidR="00BA1773" w:rsidRPr="00D81337">
        <w:rPr>
          <w:b/>
          <w:bCs/>
        </w:rPr>
        <w:t>Tiếp tục đưa c</w:t>
      </w:r>
      <w:r w:rsidR="00F428BC" w:rsidRPr="00D81337">
        <w:rPr>
          <w:b/>
          <w:bCs/>
        </w:rPr>
        <w:t xml:space="preserve">ông tác </w:t>
      </w:r>
      <w:r w:rsidR="00BA1773" w:rsidRPr="00D81337">
        <w:rPr>
          <w:b/>
          <w:bCs/>
        </w:rPr>
        <w:t>tái tạo văn hoá Petrovietnam vào mọi mặt hoạt động của doanh nghiệp, đơn vị</w:t>
      </w:r>
      <w:r w:rsidR="00D81337">
        <w:rPr>
          <w:b/>
          <w:bCs/>
          <w:lang w:val="vi-VN"/>
        </w:rPr>
        <w:t xml:space="preserve">: </w:t>
      </w:r>
      <w:bookmarkEnd w:id="5"/>
      <w:r w:rsidR="00D81337">
        <w:rPr>
          <w:b/>
          <w:bCs/>
          <w:lang w:val="vi-VN"/>
        </w:rPr>
        <w:t xml:space="preserve">a. </w:t>
      </w:r>
      <w:r w:rsidR="00F428BC" w:rsidRPr="00482501">
        <w:t xml:space="preserve">Căn cứ Sổ tay văn hóa Petrovietnam, các đơn vị tiếp tục hệ thống lại, hoàn thiện, sửa đổi, bổ sung, ban hành </w:t>
      </w:r>
      <w:r w:rsidR="00C7095A" w:rsidRPr="00482501">
        <w:t>s</w:t>
      </w:r>
      <w:r w:rsidR="00F428BC" w:rsidRPr="00482501">
        <w:t xml:space="preserve">ổ tay văn hóa tại đơn vị đảm bảo tôn trọng các giá trị, quy định chung. </w:t>
      </w:r>
      <w:r w:rsidR="00C7095A" w:rsidRPr="00482501">
        <w:t>T</w:t>
      </w:r>
      <w:r w:rsidR="00F428BC" w:rsidRPr="00482501">
        <w:t>uyên truyền sâu rộng “Sổ tay văn hóa Petrovietnam” thông qua các công cụ truyền thông, tuyên truyền trực quan sinh động</w:t>
      </w:r>
      <w:r w:rsidR="00415632" w:rsidRPr="00482501">
        <w:t xml:space="preserve"> </w:t>
      </w:r>
      <w:r w:rsidR="00F428BC" w:rsidRPr="00482501">
        <w:t>các giá trị văn hóa của Tập đoàn đến toàn thể CB</w:t>
      </w:r>
      <w:r w:rsidR="007A6A52" w:rsidRPr="00482501">
        <w:t>C</w:t>
      </w:r>
      <w:r w:rsidR="00F428BC" w:rsidRPr="00482501">
        <w:t>NV</w:t>
      </w:r>
      <w:r w:rsidR="007A6A52" w:rsidRPr="00482501">
        <w:t>, N</w:t>
      </w:r>
      <w:r w:rsidR="00F428BC" w:rsidRPr="00482501">
        <w:t xml:space="preserve">LĐ biết và hiểu để </w:t>
      </w:r>
      <w:r w:rsidR="00C7095A" w:rsidRPr="00482501">
        <w:t>cùng</w:t>
      </w:r>
      <w:r w:rsidR="00F428BC" w:rsidRPr="00482501">
        <w:t xml:space="preserve"> thực hiện.</w:t>
      </w:r>
      <w:r w:rsidR="00D81337">
        <w:rPr>
          <w:lang w:val="vi-VN"/>
        </w:rPr>
        <w:t xml:space="preserve"> b. </w:t>
      </w:r>
      <w:r w:rsidR="00F428BC" w:rsidRPr="00E34F72">
        <w:t xml:space="preserve">Triển khai áp dụng thực hiện thống nhất hệ thống nhận diện thương hiệu Petrovietnam trong toàn Tập đoàn với lộ trình cụ thể, phù hợp. </w:t>
      </w:r>
      <w:r w:rsidR="00D81337">
        <w:t>c</w:t>
      </w:r>
      <w:r w:rsidR="00D81337">
        <w:rPr>
          <w:lang w:val="vi-VN"/>
        </w:rPr>
        <w:t xml:space="preserve">. </w:t>
      </w:r>
      <w:r w:rsidR="00F428BC" w:rsidRPr="00E34F72">
        <w:t xml:space="preserve">Xây dựng hướng dẫn cụ thể về các nghi thức, nghi lễ cho các sự kiện làm chuẩn mực thực hiện. Xây dựng </w:t>
      </w:r>
      <w:r w:rsidR="00F428BC" w:rsidRPr="00D81337">
        <w:rPr>
          <w:lang w:val="en-AU"/>
        </w:rPr>
        <w:t>hệ thống giải thưởng và hình thức xử lý vi phạm Văn hoá Dầu khí áp dụng chung trong toàn Tập đoàn.</w:t>
      </w:r>
      <w:r w:rsidR="00D81337">
        <w:rPr>
          <w:lang w:val="vi-VN"/>
        </w:rPr>
        <w:t xml:space="preserve"> d. </w:t>
      </w:r>
      <w:r w:rsidR="00F428BC" w:rsidRPr="00D81337">
        <w:rPr>
          <w:lang w:val="en-AU"/>
        </w:rPr>
        <w:t xml:space="preserve">Xây dựng phòng truyền thống </w:t>
      </w:r>
      <w:r w:rsidR="00864E26" w:rsidRPr="00D81337">
        <w:rPr>
          <w:lang w:val="en-AU"/>
        </w:rPr>
        <w:t xml:space="preserve">hiện đại </w:t>
      </w:r>
      <w:r w:rsidR="00F428BC" w:rsidRPr="00D81337">
        <w:rPr>
          <w:lang w:val="en-AU"/>
        </w:rPr>
        <w:t>tại Tập đoàn làm trung tâm liên kết phòng truyền thống/khu lưu niệm các đơn vị. Chỉnh trang, tu sửa, phát huy giá trị các phòng truyền thống/khu lưu niệm trong toàn Tập đoàn.</w:t>
      </w:r>
      <w:r w:rsidR="00D81337">
        <w:rPr>
          <w:lang w:val="vi-VN"/>
        </w:rPr>
        <w:t xml:space="preserve"> e. </w:t>
      </w:r>
      <w:r w:rsidR="00DB3B9A" w:rsidRPr="006D38D8">
        <w:t xml:space="preserve">Thực hiện phương châm hành động “Đoàn kết </w:t>
      </w:r>
      <w:r w:rsidR="009C6158" w:rsidRPr="006D38D8">
        <w:t xml:space="preserve">- </w:t>
      </w:r>
      <w:r w:rsidR="00DB3B9A" w:rsidRPr="006D38D8">
        <w:t xml:space="preserve">Kỷ cương </w:t>
      </w:r>
      <w:r w:rsidR="009C6158" w:rsidRPr="006D38D8">
        <w:t>-</w:t>
      </w:r>
      <w:r w:rsidR="00DB3B9A" w:rsidRPr="006D38D8">
        <w:t xml:space="preserve"> Sáng tạo </w:t>
      </w:r>
      <w:r w:rsidR="009C6158" w:rsidRPr="006D38D8">
        <w:t>-</w:t>
      </w:r>
      <w:r w:rsidR="00DB3B9A" w:rsidRPr="006D38D8">
        <w:t xml:space="preserve"> Hiệu quả” áp dụng vào công tác quản trị, điều hành</w:t>
      </w:r>
      <w:r w:rsidR="006D38D8" w:rsidRPr="006D38D8">
        <w:t xml:space="preserve">, </w:t>
      </w:r>
      <w:r w:rsidRPr="006D38D8">
        <w:t>trong mọi hoạt động của doanh nghiệp</w:t>
      </w:r>
      <w:r w:rsidR="00DB3B9A" w:rsidRPr="006D38D8">
        <w:t>.</w:t>
      </w:r>
      <w:r w:rsidR="00A0544F" w:rsidRPr="006D38D8">
        <w:t xml:space="preserve"> </w:t>
      </w:r>
      <w:r w:rsidR="00F428BC" w:rsidRPr="006D38D8">
        <w:t>Ứng dụng trí tuệ nhân tạo trong triển khai Bộ quy chế quản trị; tiếp tục rà soát hoàn thiện các quy chế, quy định trong xử lý, giải quyết công việc</w:t>
      </w:r>
      <w:r w:rsidR="00DB3B9A" w:rsidRPr="006D38D8">
        <w:t xml:space="preserve"> </w:t>
      </w:r>
      <w:r w:rsidR="00F428BC" w:rsidRPr="006D38D8">
        <w:t>làm căn cứ xây dựng</w:t>
      </w:r>
      <w:r w:rsidRPr="006D38D8">
        <w:t xml:space="preserve"> văn hóa chuyển đổi số,</w:t>
      </w:r>
      <w:r w:rsidR="00F428BC" w:rsidRPr="006D38D8">
        <w:t xml:space="preserve"> văn hóa thực thi công việc, tính tuân thủ và hiệu quả.</w:t>
      </w:r>
      <w:r w:rsidR="00D81337">
        <w:rPr>
          <w:lang w:val="vi-VN"/>
        </w:rPr>
        <w:t xml:space="preserve"> f. </w:t>
      </w:r>
      <w:r w:rsidR="00F428BC" w:rsidRPr="00E34F72">
        <w:t xml:space="preserve">Tổ chức các khóa tập huấn, đào tạo, tự đào tạo, giao lưu, trao đổi kinh nghiệm cho đội ngũ làm công tác văn hóa doanh nghiệp trong toàn Tập đoàn. Lựa chọn các khóa đào tạo phù hợp với đặc trưng của </w:t>
      </w:r>
      <w:r w:rsidR="001833F2">
        <w:t xml:space="preserve">NLĐ tại </w:t>
      </w:r>
      <w:r w:rsidR="00F428BC" w:rsidRPr="00E34F72">
        <w:t>các đơn vị trong Tập đoàn</w:t>
      </w:r>
      <w:r w:rsidR="00DB3B9A" w:rsidRPr="00E34F72">
        <w:t>;</w:t>
      </w:r>
      <w:r w:rsidR="00F428BC" w:rsidRPr="00E34F72">
        <w:t xml:space="preserve"> phổ biến </w:t>
      </w:r>
      <w:r w:rsidR="00DB3B9A" w:rsidRPr="00E34F72">
        <w:t xml:space="preserve">thực hành 7 thói quen hiệu quả </w:t>
      </w:r>
      <w:r w:rsidR="00F428BC" w:rsidRPr="00E34F72">
        <w:t>trong toàn Tập đoàn tạo mặt bằng nhận thức về văn hóa doanh nghiệp trong toàn thể CB</w:t>
      </w:r>
      <w:r w:rsidR="007A6A52">
        <w:t>C</w:t>
      </w:r>
      <w:r w:rsidR="00F428BC" w:rsidRPr="00E34F72">
        <w:t>NV</w:t>
      </w:r>
      <w:r w:rsidR="007A6A52">
        <w:t>, N</w:t>
      </w:r>
      <w:r w:rsidR="00F428BC" w:rsidRPr="00E34F72">
        <w:t>LĐ. Xây dựng, định hình văn hóa học tập, nâng cao tinh thần tự học, tự đào tạo, chú trọng công tác đào tạo nội bộ trong CBCNV</w:t>
      </w:r>
      <w:r w:rsidR="007A6A52">
        <w:t>, NLĐ</w:t>
      </w:r>
      <w:r w:rsidR="00F428BC" w:rsidRPr="00E34F72">
        <w:t>.</w:t>
      </w:r>
    </w:p>
    <w:p w14:paraId="26DCCD9B" w14:textId="01D19FA5" w:rsidR="00DB3B9A" w:rsidRPr="00D81337" w:rsidRDefault="00BA1773" w:rsidP="00F8148A">
      <w:pPr>
        <w:tabs>
          <w:tab w:val="left" w:pos="851"/>
        </w:tabs>
        <w:autoSpaceDE w:val="0"/>
        <w:autoSpaceDN w:val="0"/>
        <w:adjustRightInd w:val="0"/>
        <w:spacing w:before="120" w:after="120"/>
        <w:ind w:firstLine="709"/>
        <w:jc w:val="both"/>
        <w:rPr>
          <w:b/>
          <w:bCs/>
          <w:lang w:val="vi-VN"/>
        </w:rPr>
      </w:pPr>
      <w:r w:rsidRPr="00E34F72">
        <w:rPr>
          <w:b/>
          <w:bCs/>
        </w:rPr>
        <w:lastRenderedPageBreak/>
        <w:t>II</w:t>
      </w:r>
      <w:r w:rsidR="00976E98" w:rsidRPr="00E34F72">
        <w:rPr>
          <w:b/>
          <w:bCs/>
        </w:rPr>
        <w:t>I</w:t>
      </w:r>
      <w:r w:rsidRPr="00E34F72">
        <w:rPr>
          <w:b/>
          <w:bCs/>
        </w:rPr>
        <w:t>. TỔ CHỨC THỰC HIỆN</w:t>
      </w:r>
      <w:r w:rsidR="00D81337">
        <w:rPr>
          <w:b/>
          <w:bCs/>
          <w:lang w:val="vi-VN"/>
        </w:rPr>
        <w:t xml:space="preserve">: 1. </w:t>
      </w:r>
      <w:r w:rsidR="00E06433" w:rsidRPr="00D81337">
        <w:rPr>
          <w:spacing w:val="-2"/>
        </w:rPr>
        <w:t xml:space="preserve">Ban Thường vụ Đảng ủy lãnh đạo quán triệt thực hiện Kết luận </w:t>
      </w:r>
      <w:r w:rsidR="001833F2" w:rsidRPr="00D81337">
        <w:rPr>
          <w:spacing w:val="-2"/>
        </w:rPr>
        <w:t xml:space="preserve">này </w:t>
      </w:r>
      <w:r w:rsidR="00E06433" w:rsidRPr="00D81337">
        <w:rPr>
          <w:spacing w:val="-2"/>
        </w:rPr>
        <w:t>trong toàn hệ thống chính trị của Tập đoàn.</w:t>
      </w:r>
      <w:r w:rsidR="00D81337">
        <w:rPr>
          <w:b/>
          <w:bCs/>
          <w:lang w:val="vi-VN"/>
        </w:rPr>
        <w:t xml:space="preserve"> 2. </w:t>
      </w:r>
      <w:r w:rsidR="00E06433" w:rsidRPr="00E34F72">
        <w:t xml:space="preserve">Giao </w:t>
      </w:r>
      <w:r w:rsidR="002345A9" w:rsidRPr="00E34F72">
        <w:t>Tổng giám đốc Tập đoàn</w:t>
      </w:r>
      <w:r w:rsidR="00E06433" w:rsidRPr="00E34F72">
        <w:t xml:space="preserve"> </w:t>
      </w:r>
      <w:r w:rsidR="001833F2">
        <w:t>sơ kết</w:t>
      </w:r>
      <w:r w:rsidRPr="00E34F72">
        <w:t xml:space="preserve"> </w:t>
      </w:r>
      <w:r w:rsidR="00C7095A" w:rsidRPr="00E34F72">
        <w:t xml:space="preserve">03 năm thực hiện Nghị quyết 281 và </w:t>
      </w:r>
      <w:r w:rsidRPr="00E34F72">
        <w:t xml:space="preserve">quán triệt, triển khai </w:t>
      </w:r>
      <w:r w:rsidR="00C7095A" w:rsidRPr="00E34F72">
        <w:t>Kết luận</w:t>
      </w:r>
      <w:r w:rsidR="00864E26" w:rsidRPr="00E34F72">
        <w:t>,</w:t>
      </w:r>
      <w:r w:rsidR="00C7095A" w:rsidRPr="00E34F72">
        <w:t xml:space="preserve"> </w:t>
      </w:r>
      <w:r w:rsidR="00864E26" w:rsidRPr="00E34F72">
        <w:t>tổ chức thực hiện</w:t>
      </w:r>
      <w:r w:rsidR="00C7095A" w:rsidRPr="00E34F72">
        <w:t xml:space="preserve"> </w:t>
      </w:r>
      <w:r w:rsidR="00864E26" w:rsidRPr="00E34F72">
        <w:t xml:space="preserve">trong </w:t>
      </w:r>
      <w:r w:rsidR="00C7095A" w:rsidRPr="00E34F72">
        <w:t>toàn Tập đoàn.</w:t>
      </w:r>
      <w:r w:rsidR="00DB3B9A" w:rsidRPr="00E34F72">
        <w:t xml:space="preserve"> Định kỳ hằng năm tổ chức Hội nghị chuyên đề về công tác </w:t>
      </w:r>
      <w:r w:rsidR="001833F2">
        <w:t>TT&amp;VHDN</w:t>
      </w:r>
      <w:r w:rsidR="000124B7" w:rsidRPr="00E34F72">
        <w:t>.</w:t>
      </w:r>
      <w:r w:rsidR="00D81337">
        <w:rPr>
          <w:b/>
          <w:bCs/>
          <w:lang w:val="vi-VN"/>
        </w:rPr>
        <w:t xml:space="preserve"> 3. </w:t>
      </w:r>
      <w:r w:rsidR="00E06433" w:rsidRPr="00D81337">
        <w:rPr>
          <w:spacing w:val="-2"/>
        </w:rPr>
        <w:t xml:space="preserve">Ban Truyền thông và Văn hóa doanh nghiệp </w:t>
      </w:r>
      <w:r w:rsidR="00DB3B9A" w:rsidRPr="00D81337">
        <w:rPr>
          <w:spacing w:val="-2"/>
        </w:rPr>
        <w:t xml:space="preserve">chủ trì tham mưu thực hiện </w:t>
      </w:r>
      <w:r w:rsidR="00327910" w:rsidRPr="00D81337">
        <w:rPr>
          <w:spacing w:val="-2"/>
        </w:rPr>
        <w:t xml:space="preserve">các nội dung trong </w:t>
      </w:r>
      <w:r w:rsidR="00DB3B9A" w:rsidRPr="00D81337">
        <w:rPr>
          <w:spacing w:val="-2"/>
        </w:rPr>
        <w:t>Kết luận</w:t>
      </w:r>
      <w:r w:rsidR="00FE0487" w:rsidRPr="00D81337">
        <w:rPr>
          <w:spacing w:val="-2"/>
        </w:rPr>
        <w:t>; theo dõi, đôn đốc các</w:t>
      </w:r>
      <w:r w:rsidR="00E06433" w:rsidRPr="00D81337">
        <w:rPr>
          <w:spacing w:val="-2"/>
        </w:rPr>
        <w:t xml:space="preserve"> </w:t>
      </w:r>
      <w:r w:rsidR="00FE0487" w:rsidRPr="00D81337">
        <w:rPr>
          <w:spacing w:val="-2"/>
        </w:rPr>
        <w:t>b</w:t>
      </w:r>
      <w:r w:rsidR="00E06433" w:rsidRPr="00D81337">
        <w:rPr>
          <w:spacing w:val="-2"/>
        </w:rPr>
        <w:t>an/</w:t>
      </w:r>
      <w:r w:rsidR="00FE0487" w:rsidRPr="00D81337">
        <w:rPr>
          <w:spacing w:val="-2"/>
        </w:rPr>
        <w:t>v</w:t>
      </w:r>
      <w:r w:rsidR="00E06433" w:rsidRPr="00D81337">
        <w:rPr>
          <w:spacing w:val="-2"/>
        </w:rPr>
        <w:t>ăn phòng, đơn vị</w:t>
      </w:r>
      <w:r w:rsidR="00FE0487" w:rsidRPr="00D81337">
        <w:rPr>
          <w:spacing w:val="-2"/>
        </w:rPr>
        <w:t>, đoàn thể triển khai thực</w:t>
      </w:r>
      <w:r w:rsidR="00E06433" w:rsidRPr="00D81337">
        <w:rPr>
          <w:spacing w:val="-2"/>
        </w:rPr>
        <w:t xml:space="preserve"> hiện </w:t>
      </w:r>
      <w:r w:rsidR="000E1453" w:rsidRPr="00D81337">
        <w:rPr>
          <w:spacing w:val="-2"/>
        </w:rPr>
        <w:t>Kết luận</w:t>
      </w:r>
      <w:r w:rsidR="00E06433" w:rsidRPr="00D81337">
        <w:rPr>
          <w:spacing w:val="-2"/>
        </w:rPr>
        <w:t>.</w:t>
      </w:r>
      <w:r w:rsidR="000E1453" w:rsidRPr="00D81337">
        <w:rPr>
          <w:spacing w:val="-2"/>
        </w:rPr>
        <w:t xml:space="preserve"> Chỉ đạo các tạp chí, bản tin, trang tin điện tử trong Tập đoàn xây dựng kế hoạch triển khai tuyên truyền việc thực hiện Kết luận.</w:t>
      </w:r>
      <w:r w:rsidR="00D81337">
        <w:rPr>
          <w:b/>
          <w:bCs/>
          <w:lang w:val="vi-VN"/>
        </w:rPr>
        <w:t xml:space="preserve"> 4. </w:t>
      </w:r>
      <w:r w:rsidR="00E06433" w:rsidRPr="00D81337">
        <w:rPr>
          <w:spacing w:val="-2"/>
        </w:rPr>
        <w:t>Ủy Ban Kiểm tra Đảng ủy Tập đoàn bổ sung kế hoạch, phối hợp với Ban Truyền thông và Văn hóa doanh nghiệp kiểm tra</w:t>
      </w:r>
      <w:r w:rsidR="00864E26" w:rsidRPr="00D81337">
        <w:rPr>
          <w:spacing w:val="-2"/>
        </w:rPr>
        <w:t xml:space="preserve">, giám sát </w:t>
      </w:r>
      <w:r w:rsidR="00E06433" w:rsidRPr="00D81337">
        <w:rPr>
          <w:spacing w:val="-2"/>
        </w:rPr>
        <w:t xml:space="preserve">việc triển khai thực hiện </w:t>
      </w:r>
      <w:r w:rsidR="000E1453" w:rsidRPr="00D81337">
        <w:rPr>
          <w:spacing w:val="-2"/>
        </w:rPr>
        <w:t>Kết luận</w:t>
      </w:r>
      <w:r w:rsidR="00E06433" w:rsidRPr="00D81337">
        <w:rPr>
          <w:spacing w:val="-2"/>
        </w:rPr>
        <w:t xml:space="preserve">. </w:t>
      </w:r>
      <w:r w:rsidR="000E1453" w:rsidRPr="00D81337">
        <w:rPr>
          <w:spacing w:val="-2"/>
        </w:rPr>
        <w:t>B</w:t>
      </w:r>
      <w:r w:rsidR="00E06433" w:rsidRPr="00D81337">
        <w:rPr>
          <w:spacing w:val="-2"/>
        </w:rPr>
        <w:t>áo cáo Ban Chấp hành Đảng bộ về kết quả thực hiện.</w:t>
      </w:r>
      <w:r w:rsidR="00D81337">
        <w:rPr>
          <w:b/>
          <w:bCs/>
          <w:lang w:val="vi-VN"/>
        </w:rPr>
        <w:t xml:space="preserve"> 5. </w:t>
      </w:r>
      <w:r w:rsidR="00E06433" w:rsidRPr="00D81337">
        <w:rPr>
          <w:spacing w:val="-2"/>
        </w:rPr>
        <w:t>Đồng chí Bí thư cấp uỷ/Người đứng đầu các đơn vị chịu trách nhiệm chủ trì, chỉ đạo, giao nhiệm vụ cho các bộ phận tham mưu đề xuất các nhiệm vụ, giải pháp để triển khai Kết luận có trọng tâm</w:t>
      </w:r>
      <w:r w:rsidR="00C7095A" w:rsidRPr="00D81337">
        <w:rPr>
          <w:spacing w:val="-2"/>
        </w:rPr>
        <w:t>,</w:t>
      </w:r>
      <w:r w:rsidR="00E06433" w:rsidRPr="00D81337">
        <w:rPr>
          <w:spacing w:val="-2"/>
        </w:rPr>
        <w:t xml:space="preserve"> thiết thực, hiệu quả. Phân công rõ nhiệm vụ cho từng cá nhân, tổ chức chịu trách nhiệm phối hợp với các phòng ban chức năng triển khai và đề ra lộ trình, thời gian hoàn thành, định kỳ </w:t>
      </w:r>
      <w:r w:rsidR="00C7095A" w:rsidRPr="00D81337">
        <w:rPr>
          <w:spacing w:val="-2"/>
        </w:rPr>
        <w:t>hằng quý</w:t>
      </w:r>
      <w:r w:rsidR="00E06433" w:rsidRPr="00D81337">
        <w:rPr>
          <w:spacing w:val="-2"/>
        </w:rPr>
        <w:t xml:space="preserve"> đánh giá kết quả triển khai thực hiện.</w:t>
      </w:r>
      <w:r w:rsidR="00D81337">
        <w:rPr>
          <w:b/>
          <w:bCs/>
          <w:lang w:val="vi-VN"/>
        </w:rPr>
        <w:t xml:space="preserve"> 6. </w:t>
      </w:r>
      <w:r w:rsidR="00DB3B9A" w:rsidRPr="00D81337">
        <w:rPr>
          <w:spacing w:val="-2"/>
        </w:rPr>
        <w:t xml:space="preserve">Các ban/văn phòng Tập đoàn, Tổ triển khai Đề án tái tạo văn hóa Petrovietnam: rà soát, thúc đẩy các nhiệm vụ, các kết luận của Ban </w:t>
      </w:r>
      <w:r w:rsidR="00327910" w:rsidRPr="00D81337">
        <w:rPr>
          <w:spacing w:val="-2"/>
        </w:rPr>
        <w:t>c</w:t>
      </w:r>
      <w:r w:rsidR="00DB3B9A" w:rsidRPr="00D81337">
        <w:rPr>
          <w:spacing w:val="-2"/>
        </w:rPr>
        <w:t>hỉ đạo</w:t>
      </w:r>
      <w:r w:rsidR="00327910" w:rsidRPr="00D81337">
        <w:rPr>
          <w:spacing w:val="-2"/>
        </w:rPr>
        <w:t xml:space="preserve"> Đề án tái tạo văn hóa Petrovietnam, Ban chỉ đạo xử lý khủng hoảng truyền thông, Ban chỉ đạo 35 và </w:t>
      </w:r>
      <w:r w:rsidR="000813BF" w:rsidRPr="00D81337">
        <w:rPr>
          <w:spacing w:val="-2"/>
        </w:rPr>
        <w:t xml:space="preserve">kết luận, chỉ đạo </w:t>
      </w:r>
      <w:r w:rsidR="00327910" w:rsidRPr="00D81337">
        <w:rPr>
          <w:spacing w:val="-2"/>
        </w:rPr>
        <w:t>của</w:t>
      </w:r>
      <w:r w:rsidR="00DB3B9A" w:rsidRPr="00D81337">
        <w:rPr>
          <w:spacing w:val="-2"/>
        </w:rPr>
        <w:t xml:space="preserve"> Tổng Giám đốc Tập đoàn đảm bảo chất lượng, hiệu quả; phát hiện, đề xuất các hình thức tôn vinh, chế tài xử lý vi phạm trong quá trình triển khai tái tạo văn hóa Petrovietnam.</w:t>
      </w:r>
      <w:r w:rsidR="00D81337">
        <w:rPr>
          <w:b/>
          <w:bCs/>
          <w:lang w:val="vi-VN"/>
        </w:rPr>
        <w:t xml:space="preserve"> 7. c</w:t>
      </w:r>
      <w:r w:rsidR="00DB3B9A" w:rsidRPr="00D81337">
        <w:rPr>
          <w:spacing w:val="-2"/>
        </w:rPr>
        <w:t xml:space="preserve">ác đoàn thể chính trị - xã hội trong Tập đoàn tập trung triển khai, hướng dẫn, đánh giá việc thực hiện Kế hoạch liên tịch số 56 KHLT/CĐDK-ĐTN-HCCB ngày 28/9/2021 về triển khai tái tạo văn hoá Petrovietnam tại các đơn vị, tổ chức trực thuộc. Duy trì </w:t>
      </w:r>
      <w:r w:rsidR="00327910" w:rsidRPr="00D81337">
        <w:rPr>
          <w:spacing w:val="-2"/>
        </w:rPr>
        <w:t>các biện pháp nắm bắt tư tưởng, dư luận</w:t>
      </w:r>
      <w:r w:rsidR="007A6A52" w:rsidRPr="00D81337">
        <w:rPr>
          <w:spacing w:val="-2"/>
        </w:rPr>
        <w:t xml:space="preserve"> CBCNV,</w:t>
      </w:r>
      <w:r w:rsidR="00327910" w:rsidRPr="00D81337">
        <w:rPr>
          <w:spacing w:val="-2"/>
        </w:rPr>
        <w:t xml:space="preserve"> NLĐ; tham gia truyền thông nội bộ và </w:t>
      </w:r>
      <w:r w:rsidR="00DB3B9A" w:rsidRPr="00D81337">
        <w:rPr>
          <w:spacing w:val="-2"/>
        </w:rPr>
        <w:t>tổ chức các hoạt động sinh hoạt tập thể nhằm gắn</w:t>
      </w:r>
      <w:r w:rsidR="00DB3B9A" w:rsidRPr="00E34F72">
        <w:t xml:space="preserve"> kết, chia sẻ giữa CB</w:t>
      </w:r>
      <w:r w:rsidR="007A6A52">
        <w:t>C</w:t>
      </w:r>
      <w:r w:rsidR="00DB3B9A" w:rsidRPr="00E34F72">
        <w:t>NV</w:t>
      </w:r>
      <w:r w:rsidR="007A6A52">
        <w:t>, N</w:t>
      </w:r>
      <w:r w:rsidR="00DB3B9A" w:rsidRPr="00E34F72">
        <w:t>LĐ.</w:t>
      </w:r>
    </w:p>
    <w:p w14:paraId="4ABC68B3" w14:textId="64E38118" w:rsidR="000E1453" w:rsidRPr="00E34F72" w:rsidRDefault="000E1453" w:rsidP="00F8148A">
      <w:pPr>
        <w:pStyle w:val="ListParagraph"/>
        <w:tabs>
          <w:tab w:val="left" w:pos="0"/>
          <w:tab w:val="left" w:pos="1080"/>
          <w:tab w:val="left" w:pos="1134"/>
        </w:tabs>
        <w:autoSpaceDE w:val="0"/>
        <w:autoSpaceDN w:val="0"/>
        <w:adjustRightInd w:val="0"/>
        <w:spacing w:before="120" w:after="120"/>
        <w:ind w:left="0" w:firstLine="709"/>
        <w:jc w:val="both"/>
        <w:rPr>
          <w:spacing w:val="-2"/>
        </w:rPr>
      </w:pPr>
      <w:r w:rsidRPr="00E34F72">
        <w:rPr>
          <w:spacing w:val="-2"/>
        </w:rPr>
        <w:t>Kết luận này được phổ biến đến chi bộ.</w:t>
      </w:r>
    </w:p>
    <w:p w14:paraId="06DC6ECF" w14:textId="77777777" w:rsidR="000E1453" w:rsidRPr="00E34F72" w:rsidRDefault="000E1453" w:rsidP="000E1453">
      <w:pPr>
        <w:pStyle w:val="ListParagraph"/>
        <w:tabs>
          <w:tab w:val="left" w:pos="0"/>
          <w:tab w:val="left" w:pos="1080"/>
          <w:tab w:val="left" w:pos="1134"/>
        </w:tabs>
        <w:autoSpaceDE w:val="0"/>
        <w:autoSpaceDN w:val="0"/>
        <w:adjustRightInd w:val="0"/>
        <w:spacing w:before="60" w:after="60" w:line="340" w:lineRule="exact"/>
        <w:ind w:left="709"/>
        <w:jc w:val="both"/>
        <w:rPr>
          <w:spacing w:val="-2"/>
        </w:rPr>
      </w:pPr>
    </w:p>
    <w:p w14:paraId="7B1E6C28" w14:textId="72501B27" w:rsidR="00AF78C9" w:rsidRPr="00E34F72" w:rsidRDefault="00AF78C9" w:rsidP="00C16B42">
      <w:pPr>
        <w:spacing w:before="120" w:after="120"/>
        <w:ind w:firstLine="720"/>
        <w:jc w:val="both"/>
      </w:pPr>
    </w:p>
    <w:sectPr w:rsidR="00AF78C9" w:rsidRPr="00E34F72" w:rsidSect="000E1453">
      <w:footerReference w:type="default" r:id="rId7"/>
      <w:pgSz w:w="11906" w:h="16838"/>
      <w:pgMar w:top="1134" w:right="1134"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B4C5" w14:textId="77777777" w:rsidR="00887A6E" w:rsidRDefault="00887A6E" w:rsidP="00C16B42">
      <w:r>
        <w:separator/>
      </w:r>
    </w:p>
  </w:endnote>
  <w:endnote w:type="continuationSeparator" w:id="0">
    <w:p w14:paraId="10FDB6A4" w14:textId="77777777" w:rsidR="00887A6E" w:rsidRDefault="00887A6E" w:rsidP="00C16B42">
      <w:r>
        <w:continuationSeparator/>
      </w:r>
    </w:p>
  </w:endnote>
  <w:endnote w:type="continuationNotice" w:id="1">
    <w:p w14:paraId="7125B6B6" w14:textId="77777777" w:rsidR="00887A6E" w:rsidRDefault="00887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905566"/>
      <w:docPartObj>
        <w:docPartGallery w:val="Page Numbers (Bottom of Page)"/>
        <w:docPartUnique/>
      </w:docPartObj>
    </w:sdtPr>
    <w:sdtEndPr>
      <w:rPr>
        <w:noProof/>
      </w:rPr>
    </w:sdtEndPr>
    <w:sdtContent>
      <w:p w14:paraId="7B4355CF" w14:textId="685CA9F1" w:rsidR="00227E14" w:rsidRDefault="00227E14" w:rsidP="00227E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D57AA" w14:textId="77777777" w:rsidR="00887A6E" w:rsidRDefault="00887A6E" w:rsidP="00C16B42">
      <w:r>
        <w:separator/>
      </w:r>
    </w:p>
  </w:footnote>
  <w:footnote w:type="continuationSeparator" w:id="0">
    <w:p w14:paraId="5D27BAF1" w14:textId="77777777" w:rsidR="00887A6E" w:rsidRDefault="00887A6E" w:rsidP="00C16B42">
      <w:r>
        <w:continuationSeparator/>
      </w:r>
    </w:p>
  </w:footnote>
  <w:footnote w:type="continuationNotice" w:id="1">
    <w:p w14:paraId="032EA3AC" w14:textId="77777777" w:rsidR="00887A6E" w:rsidRDefault="00887A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6A0"/>
    <w:multiLevelType w:val="hybridMultilevel"/>
    <w:tmpl w:val="7BAC0A10"/>
    <w:lvl w:ilvl="0" w:tplc="C5EC8EEC">
      <w:start w:val="2"/>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FF74365"/>
    <w:multiLevelType w:val="hybridMultilevel"/>
    <w:tmpl w:val="35C2CC70"/>
    <w:lvl w:ilvl="0" w:tplc="6D0A9732">
      <w:start w:val="1"/>
      <w:numFmt w:val="lowerLetter"/>
      <w:lvlText w:val="%1."/>
      <w:lvlJc w:val="left"/>
      <w:pPr>
        <w:ind w:left="928" w:hanging="360"/>
      </w:pPr>
      <w:rPr>
        <w:rFonts w:ascii="Times New Roman" w:eastAsia="Times New Roman" w:hAnsi="Times New Roman" w:cs="Times New Roman"/>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B3D14"/>
    <w:multiLevelType w:val="hybridMultilevel"/>
    <w:tmpl w:val="4AA29BE4"/>
    <w:lvl w:ilvl="0" w:tplc="8D08F38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6F0183"/>
    <w:multiLevelType w:val="hybridMultilevel"/>
    <w:tmpl w:val="A65C8426"/>
    <w:lvl w:ilvl="0" w:tplc="0324EB00">
      <w:start w:val="1"/>
      <w:numFmt w:val="bullet"/>
      <w:lvlText w:val="-"/>
      <w:lvlJc w:val="left"/>
      <w:rPr>
        <w:rFonts w:ascii="Times New Roman" w:eastAsia="Arial" w:hAnsi="Times New Roman" w:cs="Times New Roman" w:hint="default"/>
      </w:rPr>
    </w:lvl>
    <w:lvl w:ilvl="1" w:tplc="FFFFFFFF">
      <w:start w:val="1"/>
      <w:numFmt w:val="lowerLetter"/>
      <w:lvlText w:val="%2."/>
      <w:lvlJc w:val="left"/>
      <w:pPr>
        <w:ind w:left="5247" w:hanging="360"/>
      </w:pPr>
    </w:lvl>
    <w:lvl w:ilvl="2" w:tplc="FFFFFFFF">
      <w:start w:val="1"/>
      <w:numFmt w:val="lowerRoman"/>
      <w:lvlText w:val="%3."/>
      <w:lvlJc w:val="right"/>
      <w:pPr>
        <w:ind w:left="5967" w:hanging="180"/>
      </w:pPr>
    </w:lvl>
    <w:lvl w:ilvl="3" w:tplc="FFFFFFFF">
      <w:start w:val="1"/>
      <w:numFmt w:val="decimal"/>
      <w:lvlText w:val="%4."/>
      <w:lvlJc w:val="left"/>
      <w:pPr>
        <w:ind w:left="6687" w:hanging="360"/>
      </w:pPr>
    </w:lvl>
    <w:lvl w:ilvl="4" w:tplc="FFFFFFFF">
      <w:start w:val="1"/>
      <w:numFmt w:val="lowerLetter"/>
      <w:lvlText w:val="%5."/>
      <w:lvlJc w:val="left"/>
      <w:pPr>
        <w:ind w:left="7407" w:hanging="360"/>
      </w:pPr>
    </w:lvl>
    <w:lvl w:ilvl="5" w:tplc="FFFFFFFF">
      <w:start w:val="1"/>
      <w:numFmt w:val="lowerRoman"/>
      <w:lvlText w:val="%6."/>
      <w:lvlJc w:val="right"/>
      <w:pPr>
        <w:ind w:left="8127" w:hanging="180"/>
      </w:pPr>
    </w:lvl>
    <w:lvl w:ilvl="6" w:tplc="FFFFFFFF">
      <w:start w:val="1"/>
      <w:numFmt w:val="decimal"/>
      <w:lvlText w:val="%7."/>
      <w:lvlJc w:val="left"/>
      <w:pPr>
        <w:ind w:left="8847" w:hanging="360"/>
      </w:pPr>
    </w:lvl>
    <w:lvl w:ilvl="7" w:tplc="FFFFFFFF">
      <w:start w:val="1"/>
      <w:numFmt w:val="lowerLetter"/>
      <w:lvlText w:val="%8."/>
      <w:lvlJc w:val="left"/>
      <w:pPr>
        <w:ind w:left="9567" w:hanging="360"/>
      </w:pPr>
    </w:lvl>
    <w:lvl w:ilvl="8" w:tplc="FFFFFFFF">
      <w:start w:val="1"/>
      <w:numFmt w:val="lowerRoman"/>
      <w:lvlText w:val="%9."/>
      <w:lvlJc w:val="right"/>
      <w:pPr>
        <w:ind w:left="10287" w:hanging="180"/>
      </w:pPr>
    </w:lvl>
  </w:abstractNum>
  <w:abstractNum w:abstractNumId="4" w15:restartNumberingAfterBreak="0">
    <w:nsid w:val="40111A37"/>
    <w:multiLevelType w:val="hybridMultilevel"/>
    <w:tmpl w:val="7C765CC4"/>
    <w:lvl w:ilvl="0" w:tplc="042A000F">
      <w:start w:val="1"/>
      <w:numFmt w:val="decimal"/>
      <w:lvlText w:val="%1."/>
      <w:lvlJc w:val="left"/>
      <w:pPr>
        <w:ind w:left="720" w:hanging="360"/>
      </w:pPr>
    </w:lvl>
    <w:lvl w:ilvl="1" w:tplc="3FF4F9EA">
      <w:start w:val="1"/>
      <w:numFmt w:val="decimal"/>
      <w:lvlText w:val="%2."/>
      <w:lvlJc w:val="left"/>
      <w:pPr>
        <w:ind w:left="1440" w:hanging="360"/>
      </w:pPr>
      <w:rPr>
        <w:b/>
        <w:bCs w:val="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A537E95"/>
    <w:multiLevelType w:val="hybridMultilevel"/>
    <w:tmpl w:val="199A7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96129"/>
    <w:multiLevelType w:val="hybridMultilevel"/>
    <w:tmpl w:val="351E283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7AA19EE"/>
    <w:multiLevelType w:val="multilevel"/>
    <w:tmpl w:val="5FD61B5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8AF3473"/>
    <w:multiLevelType w:val="multilevel"/>
    <w:tmpl w:val="0A3C01BA"/>
    <w:lvl w:ilvl="0">
      <w:start w:val="1"/>
      <w:numFmt w:val="decimal"/>
      <w:lvlText w:val="%1."/>
      <w:lvlJc w:val="left"/>
      <w:pPr>
        <w:ind w:left="630" w:hanging="630"/>
      </w:pPr>
      <w:rPr>
        <w:rFonts w:hint="default"/>
        <w:b/>
        <w:bCs w:val="0"/>
        <w:i w:val="0"/>
        <w:iCs/>
        <w:color w:val="auto"/>
      </w:rPr>
    </w:lvl>
    <w:lvl w:ilvl="1">
      <w:start w:val="1"/>
      <w:numFmt w:val="decimal"/>
      <w:lvlText w:val="%1.%2."/>
      <w:lvlJc w:val="left"/>
      <w:pPr>
        <w:ind w:left="2492" w:hanging="720"/>
      </w:pPr>
      <w:rPr>
        <w:rFonts w:hint="default"/>
      </w:rPr>
    </w:lvl>
    <w:lvl w:ilvl="2">
      <w:start w:val="2"/>
      <w:numFmt w:val="decimal"/>
      <w:lvlText w:val="%1.%2.%3."/>
      <w:lvlJc w:val="left"/>
      <w:pPr>
        <w:ind w:left="4264" w:hanging="720"/>
      </w:pPr>
      <w:rPr>
        <w:rFonts w:hint="default"/>
      </w:rPr>
    </w:lvl>
    <w:lvl w:ilvl="3">
      <w:start w:val="1"/>
      <w:numFmt w:val="decimal"/>
      <w:lvlText w:val="%1.%2.%3.%4."/>
      <w:lvlJc w:val="left"/>
      <w:pPr>
        <w:ind w:left="6396" w:hanging="1080"/>
      </w:pPr>
      <w:rPr>
        <w:rFonts w:hint="default"/>
      </w:rPr>
    </w:lvl>
    <w:lvl w:ilvl="4">
      <w:start w:val="1"/>
      <w:numFmt w:val="decimal"/>
      <w:lvlText w:val="%1.%2.%3.%4.%5."/>
      <w:lvlJc w:val="left"/>
      <w:pPr>
        <w:ind w:left="8168" w:hanging="1080"/>
      </w:pPr>
      <w:rPr>
        <w:rFonts w:hint="default"/>
      </w:rPr>
    </w:lvl>
    <w:lvl w:ilvl="5">
      <w:start w:val="1"/>
      <w:numFmt w:val="decimal"/>
      <w:lvlText w:val="%1.%2.%3.%4.%5.%6."/>
      <w:lvlJc w:val="left"/>
      <w:pPr>
        <w:ind w:left="10300" w:hanging="1440"/>
      </w:pPr>
      <w:rPr>
        <w:rFonts w:hint="default"/>
      </w:rPr>
    </w:lvl>
    <w:lvl w:ilvl="6">
      <w:start w:val="1"/>
      <w:numFmt w:val="decimal"/>
      <w:lvlText w:val="%1.%2.%3.%4.%5.%6.%7."/>
      <w:lvlJc w:val="left"/>
      <w:pPr>
        <w:ind w:left="12072" w:hanging="1440"/>
      </w:pPr>
      <w:rPr>
        <w:rFonts w:hint="default"/>
      </w:rPr>
    </w:lvl>
    <w:lvl w:ilvl="7">
      <w:start w:val="1"/>
      <w:numFmt w:val="decimal"/>
      <w:lvlText w:val="%1.%2.%3.%4.%5.%6.%7.%8."/>
      <w:lvlJc w:val="left"/>
      <w:pPr>
        <w:ind w:left="14204" w:hanging="1800"/>
      </w:pPr>
      <w:rPr>
        <w:rFonts w:hint="default"/>
      </w:rPr>
    </w:lvl>
    <w:lvl w:ilvl="8">
      <w:start w:val="1"/>
      <w:numFmt w:val="decimal"/>
      <w:lvlText w:val="%1.%2.%3.%4.%5.%6.%7.%8.%9."/>
      <w:lvlJc w:val="left"/>
      <w:pPr>
        <w:ind w:left="16336" w:hanging="2160"/>
      </w:pPr>
      <w:rPr>
        <w:rFonts w:hint="default"/>
      </w:rPr>
    </w:lvl>
  </w:abstractNum>
  <w:num w:numId="1" w16cid:durableId="215245398">
    <w:abstractNumId w:val="1"/>
  </w:num>
  <w:num w:numId="2" w16cid:durableId="964433652">
    <w:abstractNumId w:val="2"/>
  </w:num>
  <w:num w:numId="3" w16cid:durableId="2037997079">
    <w:abstractNumId w:val="7"/>
  </w:num>
  <w:num w:numId="4" w16cid:durableId="1333534967">
    <w:abstractNumId w:val="8"/>
  </w:num>
  <w:num w:numId="5" w16cid:durableId="960457330">
    <w:abstractNumId w:val="3"/>
  </w:num>
  <w:num w:numId="6" w16cid:durableId="642731185">
    <w:abstractNumId w:val="6"/>
  </w:num>
  <w:num w:numId="7" w16cid:durableId="653290861">
    <w:abstractNumId w:val="4"/>
  </w:num>
  <w:num w:numId="8" w16cid:durableId="183251189">
    <w:abstractNumId w:val="0"/>
  </w:num>
  <w:num w:numId="9" w16cid:durableId="117376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C9"/>
    <w:rsid w:val="000124B7"/>
    <w:rsid w:val="000813BF"/>
    <w:rsid w:val="00096F02"/>
    <w:rsid w:val="000B1038"/>
    <w:rsid w:val="000B4894"/>
    <w:rsid w:val="000C7FCE"/>
    <w:rsid w:val="000E1453"/>
    <w:rsid w:val="000E5D63"/>
    <w:rsid w:val="00114083"/>
    <w:rsid w:val="0015403A"/>
    <w:rsid w:val="00167092"/>
    <w:rsid w:val="00170380"/>
    <w:rsid w:val="001833F2"/>
    <w:rsid w:val="00214977"/>
    <w:rsid w:val="00227E14"/>
    <w:rsid w:val="002345A9"/>
    <w:rsid w:val="00242F23"/>
    <w:rsid w:val="00273D42"/>
    <w:rsid w:val="00295AE5"/>
    <w:rsid w:val="002A5DD7"/>
    <w:rsid w:val="002B5AB1"/>
    <w:rsid w:val="002B717A"/>
    <w:rsid w:val="002C4BF6"/>
    <w:rsid w:val="002E7C6C"/>
    <w:rsid w:val="002F5B2A"/>
    <w:rsid w:val="00327910"/>
    <w:rsid w:val="003377DE"/>
    <w:rsid w:val="00341B44"/>
    <w:rsid w:val="003450DE"/>
    <w:rsid w:val="003A5702"/>
    <w:rsid w:val="00412CDD"/>
    <w:rsid w:val="00415632"/>
    <w:rsid w:val="00435BD3"/>
    <w:rsid w:val="0046525B"/>
    <w:rsid w:val="00482501"/>
    <w:rsid w:val="004A2919"/>
    <w:rsid w:val="004A4AD1"/>
    <w:rsid w:val="004E3281"/>
    <w:rsid w:val="00514A98"/>
    <w:rsid w:val="00525768"/>
    <w:rsid w:val="005A494D"/>
    <w:rsid w:val="005D129A"/>
    <w:rsid w:val="005D7425"/>
    <w:rsid w:val="005F5700"/>
    <w:rsid w:val="005F62E0"/>
    <w:rsid w:val="00603758"/>
    <w:rsid w:val="00663237"/>
    <w:rsid w:val="00674BFA"/>
    <w:rsid w:val="006A32A0"/>
    <w:rsid w:val="006D38D8"/>
    <w:rsid w:val="006D7F17"/>
    <w:rsid w:val="00703F50"/>
    <w:rsid w:val="0073204C"/>
    <w:rsid w:val="007856CF"/>
    <w:rsid w:val="00793E3F"/>
    <w:rsid w:val="007A6A52"/>
    <w:rsid w:val="007B154E"/>
    <w:rsid w:val="007D2822"/>
    <w:rsid w:val="007F5261"/>
    <w:rsid w:val="00811A48"/>
    <w:rsid w:val="00825D8F"/>
    <w:rsid w:val="00863982"/>
    <w:rsid w:val="00864E26"/>
    <w:rsid w:val="00872C2D"/>
    <w:rsid w:val="00887A6E"/>
    <w:rsid w:val="008C7B42"/>
    <w:rsid w:val="008E1407"/>
    <w:rsid w:val="00976E98"/>
    <w:rsid w:val="0097751D"/>
    <w:rsid w:val="009A7EA0"/>
    <w:rsid w:val="009C6158"/>
    <w:rsid w:val="009D26CD"/>
    <w:rsid w:val="00A0544F"/>
    <w:rsid w:val="00A216F1"/>
    <w:rsid w:val="00A8180C"/>
    <w:rsid w:val="00AB11EB"/>
    <w:rsid w:val="00AD77EE"/>
    <w:rsid w:val="00AE340A"/>
    <w:rsid w:val="00AF78C9"/>
    <w:rsid w:val="00BA1236"/>
    <w:rsid w:val="00BA1773"/>
    <w:rsid w:val="00BB17CE"/>
    <w:rsid w:val="00BB27CD"/>
    <w:rsid w:val="00BB4322"/>
    <w:rsid w:val="00BD4927"/>
    <w:rsid w:val="00BE5CC0"/>
    <w:rsid w:val="00C16B42"/>
    <w:rsid w:val="00C315A4"/>
    <w:rsid w:val="00C4132F"/>
    <w:rsid w:val="00C65FF8"/>
    <w:rsid w:val="00C7095A"/>
    <w:rsid w:val="00C96464"/>
    <w:rsid w:val="00D77F2D"/>
    <w:rsid w:val="00D81337"/>
    <w:rsid w:val="00D8399D"/>
    <w:rsid w:val="00D83DAF"/>
    <w:rsid w:val="00DB3B9A"/>
    <w:rsid w:val="00DB7AB0"/>
    <w:rsid w:val="00DE1301"/>
    <w:rsid w:val="00E06433"/>
    <w:rsid w:val="00E15536"/>
    <w:rsid w:val="00E34F72"/>
    <w:rsid w:val="00E36936"/>
    <w:rsid w:val="00ED263E"/>
    <w:rsid w:val="00F175D7"/>
    <w:rsid w:val="00F428BC"/>
    <w:rsid w:val="00F8148A"/>
    <w:rsid w:val="00FA1B44"/>
    <w:rsid w:val="00FB1340"/>
    <w:rsid w:val="00FE0487"/>
    <w:rsid w:val="00FE3B2B"/>
    <w:rsid w:val="0C8861CE"/>
    <w:rsid w:val="3D5D2D14"/>
    <w:rsid w:val="47F20398"/>
    <w:rsid w:val="510FAB41"/>
    <w:rsid w:val="544A1300"/>
    <w:rsid w:val="561FF729"/>
    <w:rsid w:val="69AEAF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BA7"/>
  <w15:chartTrackingRefBased/>
  <w15:docId w15:val="{0CE13AB5-1F81-4637-9105-48C1AA33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pacing w:val="-2"/>
        <w:sz w:val="28"/>
        <w:szCs w:val="28"/>
        <w:lang w:val="vi-VN"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8C9"/>
    <w:pPr>
      <w:spacing w:after="0"/>
      <w:ind w:firstLine="0"/>
      <w:jc w:val="left"/>
    </w:pPr>
    <w:rPr>
      <w:rFonts w:eastAsia="Times New Roman" w:cs="Times New Roman"/>
      <w:spacing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nhideWhenUsed/>
    <w:qFormat/>
    <w:rsid w:val="00C16B42"/>
    <w:rPr>
      <w:vertAlign w:val="superscript"/>
    </w:rPr>
  </w:style>
  <w:style w:type="paragraph" w:styleId="FootnoteText">
    <w:name w:val="footnote text"/>
    <w:basedOn w:val="Normal"/>
    <w:link w:val="FootnoteTextChar"/>
    <w:rsid w:val="00C16B42"/>
    <w:rPr>
      <w:sz w:val="20"/>
      <w:szCs w:val="20"/>
    </w:rPr>
  </w:style>
  <w:style w:type="character" w:customStyle="1" w:styleId="FootnoteTextChar">
    <w:name w:val="Footnote Text Char"/>
    <w:basedOn w:val="DefaultParagraphFont"/>
    <w:link w:val="FootnoteText"/>
    <w:rsid w:val="00C16B42"/>
    <w:rPr>
      <w:rFonts w:eastAsia="Times New Roman" w:cs="Times New Roman"/>
      <w:spacing w:val="0"/>
      <w:sz w:val="20"/>
      <w:szCs w:val="20"/>
      <w:lang w:val="en-US"/>
    </w:rPr>
  </w:style>
  <w:style w:type="paragraph" w:styleId="ListParagraph">
    <w:name w:val="List Paragraph"/>
    <w:aliases w:val="bullet 1,bullet,List Paragraph1,CONTENT,Thang2,Dot 1,Huong 5,Bullet 1,bullet 2,normalnumber,ANNEX,List Paragraph11,Figure,Paragraph 1,Colorful List - Accent 11"/>
    <w:basedOn w:val="Normal"/>
    <w:link w:val="ListParagraphChar"/>
    <w:uiPriority w:val="34"/>
    <w:qFormat/>
    <w:rsid w:val="00514A98"/>
    <w:pPr>
      <w:ind w:left="720"/>
      <w:contextualSpacing/>
    </w:pPr>
  </w:style>
  <w:style w:type="character" w:customStyle="1" w:styleId="ListParagraphChar">
    <w:name w:val="List Paragraph Char"/>
    <w:aliases w:val="bullet 1 Char,bullet Char,List Paragraph1 Char,CONTENT Char,Thang2 Char,Dot 1 Char,Huong 5 Char,Bullet 1 Char,bullet 2 Char,normalnumber Char,ANNEX Char,List Paragraph11 Char,Figure Char,Paragraph 1 Char"/>
    <w:link w:val="ListParagraph"/>
    <w:uiPriority w:val="34"/>
    <w:locked/>
    <w:rsid w:val="00F428BC"/>
    <w:rPr>
      <w:rFonts w:eastAsia="Times New Roman" w:cs="Times New Roman"/>
      <w:spacing w:val="0"/>
      <w:lang w:val="en-US"/>
    </w:rPr>
  </w:style>
  <w:style w:type="paragraph" w:customStyle="1" w:styleId="4">
    <w:name w:val="4"/>
    <w:basedOn w:val="Normal"/>
    <w:uiPriority w:val="99"/>
    <w:rsid w:val="00603758"/>
    <w:pPr>
      <w:autoSpaceDE w:val="0"/>
      <w:autoSpaceDN w:val="0"/>
      <w:adjustRightInd w:val="0"/>
      <w:spacing w:line="360" w:lineRule="auto"/>
      <w:ind w:firstLine="709"/>
      <w:jc w:val="both"/>
    </w:pPr>
    <w:rPr>
      <w:b/>
      <w:bCs/>
      <w:i/>
      <w:iCs/>
      <w:color w:val="000000"/>
      <w:spacing w:val="-2"/>
    </w:rPr>
  </w:style>
  <w:style w:type="paragraph" w:styleId="Header">
    <w:name w:val="header"/>
    <w:basedOn w:val="Normal"/>
    <w:link w:val="HeaderChar"/>
    <w:uiPriority w:val="99"/>
    <w:unhideWhenUsed/>
    <w:rsid w:val="00227E14"/>
    <w:pPr>
      <w:tabs>
        <w:tab w:val="center" w:pos="4680"/>
        <w:tab w:val="right" w:pos="9360"/>
      </w:tabs>
    </w:pPr>
  </w:style>
  <w:style w:type="character" w:customStyle="1" w:styleId="HeaderChar">
    <w:name w:val="Header Char"/>
    <w:basedOn w:val="DefaultParagraphFont"/>
    <w:link w:val="Header"/>
    <w:uiPriority w:val="99"/>
    <w:rsid w:val="00227E14"/>
    <w:rPr>
      <w:rFonts w:eastAsia="Times New Roman" w:cs="Times New Roman"/>
      <w:spacing w:val="0"/>
      <w:lang w:val="en-US"/>
    </w:rPr>
  </w:style>
  <w:style w:type="paragraph" w:styleId="Footer">
    <w:name w:val="footer"/>
    <w:basedOn w:val="Normal"/>
    <w:link w:val="FooterChar"/>
    <w:uiPriority w:val="99"/>
    <w:unhideWhenUsed/>
    <w:rsid w:val="00227E14"/>
    <w:pPr>
      <w:tabs>
        <w:tab w:val="center" w:pos="4680"/>
        <w:tab w:val="right" w:pos="9360"/>
      </w:tabs>
    </w:pPr>
  </w:style>
  <w:style w:type="character" w:customStyle="1" w:styleId="FooterChar">
    <w:name w:val="Footer Char"/>
    <w:basedOn w:val="DefaultParagraphFont"/>
    <w:link w:val="Footer"/>
    <w:uiPriority w:val="99"/>
    <w:rsid w:val="00227E14"/>
    <w:rPr>
      <w:rFonts w:eastAsia="Times New Roman" w:cs="Times New Roman"/>
      <w:spacing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Sy Linh</dc:creator>
  <cp:keywords/>
  <dc:description/>
  <cp:lastModifiedBy>Phi Ngoc Dong</cp:lastModifiedBy>
  <cp:revision>26</cp:revision>
  <cp:lastPrinted>2022-08-08T16:46:00Z</cp:lastPrinted>
  <dcterms:created xsi:type="dcterms:W3CDTF">2022-07-26T16:32:00Z</dcterms:created>
  <dcterms:modified xsi:type="dcterms:W3CDTF">2023-11-22T01:51:00Z</dcterms:modified>
</cp:coreProperties>
</file>