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TW-PINT Billing Specification v0.1</w:t>
      </w:r>
    </w:p>
    <w:p>
      <w:r>
        <w:t>Taiwan Jurisdiction Extension of Peppol International Invoice Transaction (PINT)</w:t>
        <w:br/>
      </w:r>
    </w:p>
    <w:p>
      <w:pPr>
        <w:pStyle w:val="Heading1"/>
      </w:pPr>
      <w:r>
        <w:t>1 Introduction</w:t>
      </w:r>
    </w:p>
    <w:p>
      <w:r>
        <w:t>TW-PINT defines the Taiwan jurisdiction extension of the Peppol International Invoice Transaction (PINT) for B2B invoice exchange. It is based on EN16931, Peppol BIS Billing 3.0 and PINT International.</w:t>
      </w:r>
    </w:p>
    <w:p>
      <w:pPr>
        <w:pStyle w:val="Heading1"/>
      </w:pPr>
      <w:r>
        <w:t>2 Scope</w:t>
      </w:r>
    </w:p>
    <w:p>
      <w:r>
        <w:t>This version covers B2B domestic and export invoices using UBL 2.1 Invoice. B2C carrier, donation, lottery, and MOF-specific clearance processes are out of scope.</w:t>
      </w:r>
    </w:p>
    <w:p>
      <w:pPr>
        <w:pStyle w:val="Heading1"/>
      </w:pPr>
      <w:r>
        <w:t>3 Normative References</w:t>
      </w:r>
    </w:p>
    <w:p>
      <w:r>
        <w:t>EN16931, UBL 2.1, Peppol BIS Billing 3.0, PINT International 1.1.1, ISO 4217, ISO 3166-1, ISO 6523, UNECE Rec 20, Taiwan VAT Act.</w:t>
      </w:r>
    </w:p>
    <w:p>
      <w:pPr>
        <w:pStyle w:val="Heading1"/>
      </w:pPr>
      <w:r>
        <w:t>4 Business Process</w:t>
      </w:r>
    </w:p>
    <w:p>
      <w:r>
        <w:t>TW-PINT supports interoperable invoice exchange over the Peppol network between Taiwan trading partners and international counterparts.</w:t>
      </w:r>
    </w:p>
    <w:p>
      <w:pPr>
        <w:pStyle w:val="Heading1"/>
      </w:pPr>
      <w:r>
        <w:t>5 Semantic Model</w:t>
      </w:r>
    </w:p>
    <w:p>
      <w:r>
        <w:t>The semantic model is defined in semantic-model/TW-PINT-Core-Business-Terms-v0.1.csv. Key terms include Seller UBN, Buyer UBN, Taiwan Invoice Number, Taiwan Tax Category, and Business Tax Amount.</w:t>
      </w:r>
    </w:p>
    <w:p>
      <w:pPr>
        <w:pStyle w:val="Heading1"/>
      </w:pPr>
      <w:r>
        <w:t>6 Syntax Binding</w:t>
      </w:r>
    </w:p>
    <w:p>
      <w:r>
        <w:t>TW-PINT uses UBL 2.1 Invoice syntax. All business terms are mapped to UBL XPath expressions in syntax-binding/TW-PINT-UBL-SyntaxBinding-v0.1.csv.</w:t>
      </w:r>
    </w:p>
    <w:p>
      <w:pPr>
        <w:pStyle w:val="Heading1"/>
      </w:pPr>
      <w:r>
        <w:t>7 Code Lists</w:t>
      </w:r>
    </w:p>
    <w:p>
      <w:r>
        <w:t>TW-TaxCategoryCode, TW-InvoiceTypeCode, and TW-PartyIdentifierScheme are defined as jurisdictional code lists. ISO and UNECE code lists are inherited from PINT.</w:t>
      </w:r>
    </w:p>
    <w:p>
      <w:pPr>
        <w:pStyle w:val="Heading1"/>
      </w:pPr>
      <w:r>
        <w:t>8 Business Rules</w:t>
      </w:r>
    </w:p>
    <w:p>
      <w:r>
        <w:t>TW-IBR-001 to TW-IBR-050 define Taiwan-specific invoice validation requirements.</w:t>
      </w:r>
    </w:p>
    <w:p>
      <w:pPr>
        <w:pStyle w:val="Heading1"/>
      </w:pPr>
      <w:r>
        <w:t>9 Schematron Validation</w:t>
      </w:r>
    </w:p>
    <w:p>
      <w:r>
        <w:t>TW-PINT Schematron is generated from the rules catalogue and validates invoice instances against Taiwan jurisdiction requirements.</w:t>
      </w:r>
    </w:p>
    <w:p>
      <w:pPr>
        <w:pStyle w:val="Heading1"/>
      </w:pPr>
      <w:r>
        <w:t>10 Conformance</w:t>
      </w:r>
    </w:p>
    <w:p>
      <w:r>
        <w:t>A conformant TW-PINT invoice shall conform to UBL 2.1, PINT International, applicable TW-IBR rules, and TW-PINT Schematron validation.</w:t>
      </w:r>
    </w:p>
    <w:p>
      <w:pPr>
        <w:pStyle w:val="Heading1"/>
      </w:pPr>
      <w:r>
        <w:t>11 Repository Structure</w:t>
      </w:r>
    </w:p>
    <w:p>
      <w:r>
        <w:t>specification/</w:t>
        <w:br/>
        <w:t>semantic-model/</w:t>
        <w:br/>
        <w:t>syntax-binding/</w:t>
        <w:br/>
        <w:t>codelists/</w:t>
        <w:br/>
        <w:t>rules/</w:t>
        <w:br/>
        <w:t>schematron/</w:t>
        <w:br/>
        <w:t>examples/</w:t>
        <w:br/>
        <w:t>tests/</w:t>
      </w:r>
    </w:p>
    <w:p>
      <w:pPr>
        <w:pStyle w:val="Heading1"/>
      </w:pPr>
      <w:r>
        <w:t>Annex A Taiwan Tax Categories</w:t>
      </w:r>
    </w:p>
    <w:p>
      <w:r>
        <w:t>S=Taxable (5%), Z=Zero Rated (0%), E=Exempt (0%).</w:t>
      </w:r>
    </w:p>
    <w:p>
      <w:pPr>
        <w:pStyle w:val="Heading1"/>
      </w:pPr>
      <w:r>
        <w:t>Annex B Taiwan Identifiers</w:t>
      </w:r>
    </w:p>
    <w:p>
      <w:r>
        <w:t>Seller and Buyer Unified Business Numbers (UBN) shall contain 8 digits.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