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PingFang SC"/>
          <w:b/>
          <w:i w:val="0"/>
          <w:color w:val="1F3B5C"/>
          <w:sz w:val="48"/>
        </w:rPr>
        <w:t>Mock-Research 项目 OKR</w:t>
      </w:r>
    </w:p>
    <w:p>
      <w:pPr>
        <w:spacing w:after="280"/>
        <w:jc w:val="center"/>
      </w:pPr>
      <w:r>
        <w:rPr>
          <w:rFonts w:ascii="Calibri" w:hAnsi="Calibri" w:eastAsia="PingFang SC"/>
          <w:b w:val="0"/>
          <w:i/>
          <w:color w:val="5B6B7D"/>
          <w:sz w:val="22"/>
        </w:rPr>
        <w:t>2026 年 5 月 · 周期 2026-05-01 ~ 2026-05-31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1f8f6"/>
          </w:tcPr>
          <w:p>
            <w:r/>
            <w:r>
              <w:rPr>
                <w:rFonts w:ascii="Calibri" w:hAnsi="Calibri" w:eastAsia="PingFang SC"/>
                <w:b/>
                <w:color w:val="2A9D8F"/>
                <w:sz w:val="22"/>
              </w:rPr>
              <w:t>OKR 制定原则</w:t>
            </w:r>
          </w:p>
          <w:p>
            <w:r>
              <w:rPr>
                <w:rFonts w:ascii="Calibri" w:hAnsi="Calibri" w:eastAsia="PingFang SC"/>
                <w:sz w:val="21"/>
              </w:rPr>
              <w:t>≤ 2 个 O、≤ 8 个 KR；KR 全部带数字（可量化、可验证）；产出导向、不写 todo；满分 = 目标太低，60–70% 完成度 = 有挑战的健康线。</w:t>
            </w:r>
          </w:p>
        </w:tc>
      </w:tr>
    </w:tbl>
    <w:p/>
    <w:p>
      <w:pPr>
        <w:pStyle w:val="Heading1"/>
      </w:pPr>
      <w:r>
        <w:t>写作思路</w:t>
      </w:r>
    </w:p>
    <w:p>
      <w:pPr>
        <w:pStyle w:val="ListBullet"/>
        <w:spacing w:after="40"/>
        <w:ind w:left="340"/>
      </w:pPr>
      <w:r>
        <w:rPr>
          <w:rFonts w:ascii="Calibri" w:hAnsi="Calibri" w:eastAsia="PingFang SC"/>
        </w:rPr>
        <w:t>核心矛盾：已知 SKU 电商场景（路线 C）vs 任意模特照场景（路线 F+H）哪条先跑通。</w:t>
      </w:r>
    </w:p>
    <w:p>
      <w:pPr>
        <w:pStyle w:val="ListBullet"/>
        <w:spacing w:after="40"/>
        <w:ind w:left="340"/>
      </w:pPr>
      <w:r>
        <w:rPr>
          <w:rFonts w:ascii="Calibri" w:hAnsi="Calibri" w:eastAsia="PingFang SC"/>
        </w:rPr>
        <w:t>决策：O1 主攻 C 路线 MVP（70% 精力），O2 探路 F + 调研 H（30% 精力）。</w:t>
      </w:r>
    </w:p>
    <w:p>
      <w:pPr>
        <w:pStyle w:val="ListBullet"/>
        <w:spacing w:after="40"/>
        <w:ind w:left="340"/>
      </w:pPr>
      <w:r>
        <w:rPr>
          <w:rFonts w:ascii="Calibri" w:hAnsi="Calibri" w:eastAsia="PingFang SC"/>
        </w:rPr>
        <w:t>长短期并重：5 月只交付 MVP + 通用方案 demo；模板规模化、SD 后端落地放到 6 月。</w:t>
      </w:r>
    </w:p>
    <w:p>
      <w:pPr>
        <w:pStyle w:val="Heading1"/>
      </w:pPr>
      <w:r>
        <w:t>O1 · 验证 PSD Displacement 路线的商用可行性，上线 Mockup 编辑器 MVP</w:t>
      </w:r>
    </w:p>
    <w:p>
      <w:pPr>
        <w:spacing w:after="80"/>
      </w:pPr>
      <w:r>
        <w:rPr>
          <w:rFonts w:ascii="Calibri" w:hAnsi="Calibri" w:eastAsia="PingFang SC"/>
          <w:b w:val="0"/>
          <w:i/>
          <w:color w:val="5B6B7D"/>
          <w:sz w:val="22"/>
        </w:rPr>
        <w:t>为什么做：路线 C 是行业商用主流（Printful / Placeit / Smartmockups 都在用），真实感够、纯前端、无 GPU 依赖。一个月内必须用真实用户验证它能不能成为产品主路线，否则后面所有工作没有锚点。</w:t>
      </w:r>
    </w:p>
    <w:p>
      <w:pPr>
        <w:spacing w:after="80"/>
      </w:pPr>
      <w:r>
        <w:rPr>
          <w:rFonts w:ascii="Calibri" w:hAnsi="Calibri" w:eastAsia="PingFang SC"/>
          <w:b/>
          <w:i w:val="0"/>
          <w:sz w:val="22"/>
        </w:rPr>
        <w:t>Owner：1 名前端工程师 + 1 名美工配合 · 预期评分 0.6 ~ 0.7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  <w:shd w:val="clear" w:color="auto" w:fill="1f3b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FFFFFF"/>
                <w:sz w:val="21"/>
              </w:rPr>
              <w:t>#</w:t>
            </w:r>
          </w:p>
        </w:tc>
        <w:tc>
          <w:tcPr>
            <w:tcW w:type="dxa" w:w="2551"/>
            <w:shd w:val="clear" w:color="auto" w:fill="1f3b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FFFFFF"/>
                <w:sz w:val="21"/>
              </w:rPr>
              <w:t>KR</w:t>
            </w:r>
          </w:p>
        </w:tc>
        <w:tc>
          <w:tcPr>
            <w:tcW w:type="dxa" w:w="3118"/>
            <w:shd w:val="clear" w:color="auto" w:fill="1f3b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FFFFFF"/>
                <w:sz w:val="21"/>
              </w:rPr>
              <w:t>量化指标</w:t>
            </w:r>
          </w:p>
        </w:tc>
        <w:tc>
          <w:tcPr>
            <w:tcW w:type="dxa" w:w="2268"/>
            <w:shd w:val="clear" w:color="auto" w:fill="1f3b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FFFFFF"/>
                <w:sz w:val="21"/>
              </w:rPr>
              <w:t>验收方式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KR1.1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交付高质量预制 mockup 模板，覆盖核心服装品类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≥ 8 个模板，覆盖 ≥ 4 个品类（T 恤 / 卫衣 / 帆布袋 / 马克杯或海报）；每模板含 base / mask / displace / light 四件资产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美工 + 工程双方 5 分制，平均 ≥ 4.0</w:t>
            </w:r>
          </w:p>
        </w:tc>
      </w:tr>
      <w:tr>
        <w:tc>
          <w:tcPr>
            <w:tcW w:type="dxa" w:w="907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KR1.2</w:t>
            </w:r>
          </w:p>
        </w:tc>
        <w:tc>
          <w:tcPr>
            <w:tcW w:type="dxa" w:w="2551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pixi.js v8 + DisplacementFilter 渲染管线达到商用性能门槛</w:t>
            </w:r>
          </w:p>
        </w:tc>
        <w:tc>
          <w:tcPr>
            <w:tcW w:type="dxa" w:w="3118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2K 分辨率实时预览 ≥ 30 fps；导出 4K PNG 单张 ≤ 1 s；首屏主 bundle ≤ 500 KB gzip</w:t>
            </w:r>
          </w:p>
        </w:tc>
        <w:tc>
          <w:tcPr>
            <w:tcW w:type="dxa" w:w="2268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Chrome Performance + Lighthouse 报告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KR1.3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完成上传 / 拖拽 / 缩放 / 旋转 / 导出全交互闭环并通过真实用户验收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≥ 5 位真实用户（设计师 / 电商运营）问卷 ≥ 4.0 / 5；≥ 3 条可执行反馈合并入 backlog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录屏 + 问卷 + 反馈表归档</w:t>
            </w:r>
          </w:p>
        </w:tc>
      </w:tr>
    </w:tbl>
    <w:p>
      <w:pPr>
        <w:pStyle w:val="Heading1"/>
      </w:pPr>
      <w:r>
        <w:t>O2 · 打通任意模特照片场景的最简通用方案，并完成后端 AI 路线的可行性结论</w:t>
      </w:r>
    </w:p>
    <w:p>
      <w:pPr>
        <w:spacing w:after="80"/>
      </w:pPr>
      <w:r>
        <w:rPr>
          <w:rFonts w:ascii="Calibri" w:hAnsi="Calibri" w:eastAsia="PingFang SC"/>
          <w:b w:val="0"/>
          <w:i/>
          <w:color w:val="5B6B7D"/>
          <w:sz w:val="22"/>
        </w:rPr>
        <w:t>为什么做：MVP 模板路线天花板就是「已有 SKU」，要做有市场竞争力的产品就必须支持「用户上传任意模特照」。这一个月不要求生产级，但必须给出两条路线（前端 3D Plane / 后端 SD Inpaint）的明确取舍依据，否则 6 月会卡在选型上。</w:t>
      </w:r>
    </w:p>
    <w:p>
      <w:pPr>
        <w:spacing w:after="80"/>
      </w:pPr>
      <w:r>
        <w:rPr>
          <w:rFonts w:ascii="Calibri" w:hAnsi="Calibri" w:eastAsia="PingFang SC"/>
          <w:b/>
          <w:i w:val="0"/>
          <w:sz w:val="22"/>
        </w:rPr>
        <w:t>Owner：1 名前端 / 算法兼职 · 预期评分 0.5 ~ 0.6（探索性，挑战度更高）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  <w:shd w:val="clear" w:color="auto" w:fill="1f3b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FFFFFF"/>
                <w:sz w:val="21"/>
              </w:rPr>
              <w:t>#</w:t>
            </w:r>
          </w:p>
        </w:tc>
        <w:tc>
          <w:tcPr>
            <w:tcW w:type="dxa" w:w="2551"/>
            <w:shd w:val="clear" w:color="auto" w:fill="1f3b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FFFFFF"/>
                <w:sz w:val="21"/>
              </w:rPr>
              <w:t>KR</w:t>
            </w:r>
          </w:p>
        </w:tc>
        <w:tc>
          <w:tcPr>
            <w:tcW w:type="dxa" w:w="3118"/>
            <w:shd w:val="clear" w:color="auto" w:fill="1f3b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FFFFFF"/>
                <w:sz w:val="21"/>
              </w:rPr>
              <w:t>量化指标</w:t>
            </w:r>
          </w:p>
        </w:tc>
        <w:tc>
          <w:tcPr>
            <w:tcW w:type="dxa" w:w="2268"/>
            <w:shd w:val="clear" w:color="auto" w:fill="1f3b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FFFFFF"/>
                <w:sz w:val="21"/>
              </w:rPr>
              <w:t>验收方式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KR2.1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跑通 MediaPipe Pose + three.js 3D Plane 端到端方案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处理耗时 ≤ 3 s（含模型加载）；正面站姿测试集 10 张图，肉眼判定「贴合 OK」≥ 8 张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测试集图像评审会，3 人盲评打分</w:t>
            </w:r>
          </w:p>
        </w:tc>
      </w:tr>
      <w:tr>
        <w:tc>
          <w:tcPr>
            <w:tcW w:type="dxa" w:w="907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KR2.2</w:t>
            </w:r>
          </w:p>
        </w:tc>
        <w:tc>
          <w:tcPr>
            <w:tcW w:type="dxa" w:w="2551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输出 SD Inpaint 后端方案的对比调研报告</w:t>
            </w:r>
          </w:p>
        </w:tc>
        <w:tc>
          <w:tcPr>
            <w:tcW w:type="dxa" w:w="3118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≥ 2 套 workflow（IP-Adapter+ControlNet 组合）跑通；对比 ≥ 4 项（latency / 显存 / 真实感 / 单图成本）；给出「上 / 不上 / 何时上」明确建议</w:t>
            </w:r>
          </w:p>
        </w:tc>
        <w:tc>
          <w:tcPr>
            <w:tcW w:type="dxa" w:w="2268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报告 ≥ 2 页 + 样例图 ≥ 6 张 + 团队评审通过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KR2.3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产出对外可演示成果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1 段 ≥ 60 s Demo 视频 或 1 个公开可访问页面；展示「任意上传照 → 印花生成」完整链路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团队 ≥ 2 人验收通过 + Demo 链接归档</w:t>
            </w:r>
          </w:p>
        </w:tc>
      </w:tr>
    </w:tbl>
    <w:p>
      <w:pPr>
        <w:pStyle w:val="Heading1"/>
      </w:pPr>
      <w:r>
        <w:t>月度里程碑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629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29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PingFang SC"/>
          <w:i/>
          <w:color w:val="5B6B7D"/>
          <w:sz w:val="19"/>
        </w:rPr>
        <w:t>图 · 2026-05 周维度甘特图，O1（主路线）与 O2（探路）并行</w:t>
      </w:r>
    </w:p>
    <w:p>
      <w:pPr>
        <w:pStyle w:val="Heading1"/>
      </w:pPr>
      <w:r>
        <w:t>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color="auto" w:fill="1f3b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4819"/>
            <w:shd w:val="clear" w:color="auto" w:fill="1f3b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FFFFFF"/>
                <w:sz w:val="21"/>
              </w:rPr>
              <w:t>应对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美工资产产出速度跟不上 KR1.1 的 8 个模板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W1 内确认美工 SLA；如不达标，模板数下调到 5，把工程精力转向编辑器质量</w:t>
            </w:r>
          </w:p>
        </w:tc>
      </w:tr>
      <w:tr>
        <w:tc>
          <w:tcPr>
            <w:tcW w:type="dxa" w:w="3969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MediaPipe 在侧身 / 多人 / 遮挡场景识别失败（影响 KR2.1）</w:t>
            </w:r>
          </w:p>
        </w:tc>
        <w:tc>
          <w:tcPr>
            <w:tcW w:type="dxa" w:w="4819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5 月只承诺正面站姿；非正面用例明确写进「已知限制」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SD 后端方案显存 / 成本不可控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KR2.2 结论可以是「暂不上线」，这本身就是有效产出</w:t>
            </w:r>
          </w:p>
        </w:tc>
      </w:tr>
      <w:tr>
        <w:tc>
          <w:tcPr>
            <w:tcW w:type="dxa" w:w="3969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同时跑两条线带来上下文切换</w:t>
            </w:r>
          </w:p>
        </w:tc>
        <w:tc>
          <w:tcPr>
            <w:tcW w:type="dxa" w:w="4819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严格按 7:3 投入；周会用 KR 进度表对齐，超过 50/50 立刻调整</w:t>
            </w:r>
          </w:p>
        </w:tc>
      </w:tr>
    </w:tbl>
    <w:p>
      <w:pPr>
        <w:pStyle w:val="Heading1"/>
      </w:pPr>
      <w:r>
        <w:t>节奏与汇报</w:t>
      </w:r>
    </w:p>
    <w:p>
      <w:pPr>
        <w:pStyle w:val="ListBullet"/>
        <w:spacing w:after="40"/>
        <w:ind w:left="340"/>
      </w:pPr>
      <w:r>
        <w:rPr>
          <w:rFonts w:ascii="Calibri" w:hAnsi="Calibri" w:eastAsia="PingFang SC"/>
        </w:rPr>
        <w:t>周会（每周一）：每个 KR 列百分比进度 + 本周关键产出 + 下周计划，重点是「上周相对上上周前进了多少」。</w:t>
      </w:r>
    </w:p>
    <w:p>
      <w:pPr>
        <w:pStyle w:val="ListBullet"/>
        <w:spacing w:after="40"/>
        <w:ind w:left="340"/>
      </w:pPr>
      <w:r>
        <w:rPr>
          <w:rFonts w:ascii="Calibri" w:hAnsi="Calibri" w:eastAsia="PingFang SC"/>
        </w:rPr>
        <w:t>双周复盘（5/15、5/29）：盘点是否需要调整目标 / 砍 KR / 加资源。</w:t>
      </w:r>
    </w:p>
    <w:p>
      <w:pPr>
        <w:pStyle w:val="ListBullet"/>
        <w:spacing w:after="40"/>
        <w:ind w:left="340"/>
      </w:pPr>
      <w:r>
        <w:rPr>
          <w:rFonts w:ascii="Calibri" w:hAnsi="Calibri" w:eastAsia="PingFang SC"/>
        </w:rPr>
        <w:t>月会（5/30 或 6/2）：按 KR 给最终评分（百分比制），输出「做对了什么 / 做错了什么 / 下个月怎么办」三段式总结。</w:t>
      </w:r>
    </w:p>
    <w:p>
      <w:pPr>
        <w:pStyle w:val="Heading1"/>
      </w:pPr>
      <w:r>
        <w:t>评分预期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1f3b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984"/>
            <w:shd w:val="clear" w:color="auto" w:fill="1f3b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FFFFFF"/>
                <w:sz w:val="21"/>
              </w:rPr>
              <w:t>预期</w:t>
            </w:r>
          </w:p>
        </w:tc>
        <w:tc>
          <w:tcPr>
            <w:tcW w:type="dxa" w:w="4819"/>
            <w:shd w:val="clear" w:color="auto" w:fill="1f3b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O1 总评分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0.6 ~ 0.7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8 个模板做出 5–6 个、性能基本达标、真实用户测试有结论</w:t>
            </w:r>
          </w:p>
        </w:tc>
      </w:tr>
      <w:tr>
        <w:tc>
          <w:tcPr>
            <w:tcW w:type="dxa" w:w="1984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O2 总评分</w:t>
            </w:r>
          </w:p>
        </w:tc>
        <w:tc>
          <w:tcPr>
            <w:tcW w:type="dxa" w:w="1984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0.5 ~ 0.6</w:t>
            </w:r>
          </w:p>
        </w:tc>
        <w:tc>
          <w:tcPr>
            <w:tcW w:type="dxa" w:w="4819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3D Plane 跑通但精度有限、SD 报告交付、Demo 能演示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月度总评分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≈ 0.6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符合「健康挑战线」；如真的拿到 0.9+，下月 OKR 必须更激进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eastAsia="PingFang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5C"/>
      <w:sz w:val="40"/>
      <w:szCs w:val="28"/>
      <w:rFonts w:eastAsia="PingFang SC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5C"/>
      <w:sz w:val="32"/>
      <w:szCs w:val="26"/>
      <w:rFonts w:eastAsia="PingFang SC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5C"/>
      <w:sz w:val="26"/>
      <w:rFonts w:eastAsia="PingFang S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