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Técnico Ejecutivo: Examen Final Transversal (SCY1101)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Asignatura: Programación para la Ciencia de Datos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Autor:</w:t>
      </w:r>
      <w:r w:rsidDel="00000000" w:rsidR="00000000" w:rsidRPr="00000000">
        <w:rPr>
          <w:rtl w:val="0"/>
        </w:rPr>
        <w:t xml:space="preserve"> Belén Toloza Concha (dongyah)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Repositorio Oficial:</w:t>
      </w:r>
      <w:r w:rsidDel="00000000" w:rsidR="00000000" w:rsidRPr="00000000">
        <w:rPr>
          <w:rtl w:val="0"/>
        </w:rPr>
        <w:t xml:space="preserve"> EV3_SCY1101_wine_quality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Institución:</w:t>
      </w:r>
      <w:r w:rsidDel="00000000" w:rsidR="00000000" w:rsidRPr="00000000">
        <w:rPr>
          <w:rtl w:val="0"/>
        </w:rPr>
        <w:t xml:space="preserve"> Duoc UC, Sede Padre Alonso de Ovalle (PAO)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rtl w:val="0"/>
        </w:rPr>
        <w:t xml:space="preserve">Mauricio González Véjar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w:t>
      </w:r>
      <w:r w:rsidDel="00000000" w:rsidR="00000000" w:rsidRPr="00000000">
        <w:rPr>
          <w:rtl w:val="0"/>
        </w:rPr>
        <w:t xml:space="preserve"> 9 de julio de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Resumen Ejecutivo para Directivos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informe técnico ejecutivo detalla la implementación end-to-end de una plataforma predictiva orientada al control y optimización de la calidad del vino, desarrollada bajo los estándares académicos de Duoc UC para el Examen Final Transversal de la asignatura SCY1101 (Programación para la Ciencia de Datos). El objetivo principal de negocio radica en automatizar y dotar de rigor estadístico a la categorización de la calidad del producto, permitiendo mitigar los riesgos asociados a la variabilidad analítica en los procesos de manufactura vitivinícola.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través de un pipeline robusto de extracción, transformación y carga (ETL), se integraron y consolidaron múltiples fuentes heterogéneas de datos (un archivo CSV local, una API síncrona y una base de datos PostgreSQL alojada en Supabase). Mediante técnicas avanzadas de machine learning, incluyendo el balanceo de clases mediante SMOTE y la optimización hiperparamétrica vía validación cruzada, se entrenaron y evaluaron modelos de clasificación multinomial y regresión continua.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resultados de producción confirman la selección de un modelo </w:t>
      </w:r>
      <w:r w:rsidDel="00000000" w:rsidR="00000000" w:rsidRPr="00000000">
        <w:rPr>
          <w:b w:val="1"/>
          <w:bCs w:val="1"/>
          <w:rtl w:val="0"/>
        </w:rPr>
        <w:t xml:space="preserve">RandomForestClassifier</w:t>
      </w:r>
      <w:r w:rsidDel="00000000" w:rsidR="00000000" w:rsidRPr="00000000">
        <w:rPr>
          <w:rtl w:val="0"/>
        </w:rPr>
        <w:t xml:space="preserve"> con un Accuracy en test de del 77.57% para la segmentación categórica de la calidad (bajo, medio, premium), y un modelo </w:t>
      </w:r>
      <w:r w:rsidDel="00000000" w:rsidR="00000000" w:rsidRPr="00000000">
        <w:rPr>
          <w:b w:val="1"/>
          <w:bCs w:val="1"/>
          <w:rtl w:val="0"/>
        </w:rPr>
        <w:t xml:space="preserve">RandomForestRegressor</w:t>
      </w:r>
      <w:r w:rsidDel="00000000" w:rsidR="00000000" w:rsidRPr="00000000">
        <w:rPr>
          <w:rtl w:val="0"/>
        </w:rPr>
        <w:t xml:space="preserve"> con un error absoluto medio (MAE) de 0.4689 para la predicción del puntaje analítico continuo. El sistema se encuentra completamente operacional, expuesto a través de endpoints validados con FastAPI y orquestado con un pipeline de integración continua (CI/CD) en GitHub Actions, garantizando una arquitectura robusta, auditable y escalable para la toma de decisiones empresariales.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Metodología Técnica e Integración de Datos (ETL)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componente de ingeniería de datos se implementó a través de los módulos etl/main_etl.py y etl/cargar_supabase.py, diseñados bajo principios de modularidad y tolerancia a fallos. El pipeline realiza el consumo y la unificación de tres fuentes distintas de datos que comparten la misma firma analítica basada en 1359 filas del set de datos analizado.</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Estrategia de Extracción y Fuentes de Datos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CSV Local (data/winequality_clean.csv):</w:t>
      </w:r>
      <w:r w:rsidDel="00000000" w:rsidR="00000000" w:rsidRPr="00000000">
        <w:rPr>
          <w:rtl w:val="0"/>
        </w:rPr>
        <w:t xml:space="preserve"> Base histórica de 1359 filas con 12 variables analíticas esenciales: </w:t>
      </w:r>
      <w:r w:rsidDel="00000000" w:rsidR="00000000" w:rsidRPr="00000000">
        <w:rPr>
          <w:i w:val="1"/>
          <w:iCs w:val="1"/>
          <w:rtl w:val="0"/>
        </w:rPr>
        <w:t xml:space="preserve">fixed acidity, volatile acidity, citric acid, residual sugar, chlorides, free sulfur dioxide, total sulfur dioxide, density, pH, sulphates, alcohol, y quality</w:t>
      </w:r>
      <w:r w:rsidDel="00000000" w:rsidR="00000000" w:rsidRPr="00000000">
        <w:rPr>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FastAPI Externa:</w:t>
      </w:r>
      <w:r w:rsidDel="00000000" w:rsidR="00000000" w:rsidRPr="00000000">
        <w:rPr>
          <w:rtl w:val="0"/>
        </w:rPr>
        <w:t xml:space="preserve"> Consumo síncrono mediante peticiones POST al endpoint /predict utilizando un bucle síncrono for para procesar una muestra controlada de 5 registros de validación.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de Datos Supabase (PostgreSQL):</w:t>
      </w:r>
      <w:r w:rsidDel="00000000" w:rsidR="00000000" w:rsidRPr="00000000">
        <w:rPr>
          <w:rtl w:val="0"/>
        </w:rPr>
        <w:t xml:space="preserve"> Extracción de la tabla remota vinos.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Robustez, Manejo de Excepciones y Limpieza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mitigar fallas en tiempo de ejecución, el pipeline implementa un manejo de excepciones de grano fino por tipo de fuente: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extraer_csv() se capturan de forma explícita errores del tipo FileNotFoundError y ParserError.</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extraer_api() se aíslan fallas de infraestructura de red mediante ConnectionError, HTTPError, y Timeout.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extraer_supabase() se emplea una excepción genérica documentada como una limitación conocida del entorno actual.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consistencia y tipado de los datos se garantiza en el script cargar_supabase.py mediante coerción real de tipos implementando pd.to_numeric(errors="coerce"). El descarte explícito de registros corruptos o nulos se realiza mediante la función dropna(), registrando sistemáticamente en el log de producción el conteo exacto de las filas afectadas para auditoría.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Paginación y Mitigación del Bug Crítico de RLS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extracción desde Supabase requería superar la restricción nativa del cliente que limita el retorno a un máximo de 1000 registros por consulta. Esto se solucionó implementando un esquema de paginación por lotes utilizando un ciclo basado en range() con un tamaño de lote (</w:t>
      </w:r>
      <w:r w:rsidDel="00000000" w:rsidR="00000000" w:rsidRPr="00000000">
        <w:rPr>
          <w:i w:val="1"/>
          <w:iCs w:val="1"/>
          <w:rtl w:val="0"/>
        </w:rPr>
        <w:t xml:space="preserve">batch size</w:t>
      </w:r>
      <w:r w:rsidDel="00000000" w:rsidR="00000000" w:rsidRPr="00000000">
        <w:rPr>
          <w:rtl w:val="0"/>
        </w:rPr>
        <w:t xml:space="preserve">) de 1000 y un parámetro dinámico de desplazamiento (offset).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la puesta en producción del pipeline ETL se detectó un bug crítico: la tabla vinos en Supabase acumuló erróneamente un total de 5436 filas en lugar de las 1359 originales (un exceso exacto de 4 cargas duplicadas). La investigación técnica arrojó que las políticas de seguridad a nivel de fila (</w:t>
      </w:r>
      <w:r w:rsidDel="00000000" w:rsidR="00000000" w:rsidRPr="00000000">
        <w:rPr>
          <w:b w:val="1"/>
          <w:bCs w:val="1"/>
          <w:rtl w:val="0"/>
        </w:rPr>
        <w:t xml:space="preserve">RLS - Row Level Security</w:t>
      </w:r>
      <w:r w:rsidDel="00000000" w:rsidR="00000000" w:rsidRPr="00000000">
        <w:rPr>
          <w:rtl w:val="0"/>
        </w:rPr>
        <w:t xml:space="preserve">) bloqueaban silenciosamente las operaciones de purga DELETE. El servidor de Supabase respondía con un código HTTP 200 OK pero con un conteo de 0 filas afectadas, permitiendo que la carga incremental duplicara la información de manera invisible.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solución definitiva consistió en reconfigurar el motor de base de datos creando una política explícita permisiva en Supabase: CREATE POLICY permissive_delete ON vinos FOR DELETE USING (true);. Tras aplicar la corrección, la ejecución subsiguiente demostró una carga limpia end-to-end de 1359/1359 registros sin redundancias.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Consolidación de Datos y Limitaciones Conocidas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última corrida de verificación del pipeline ETL, los resultados de volumetría fueron: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Fuente CSV: 1359 filas.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Fuente Supabase (Post-fix): 1359 filas.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consolidado pre-deduplicación: 2718 filas.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dataset integrado final (Post-deduplicación): 1381 filas.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identificaron exactamente 22 filas que no pudieron ser deduplicadas automáticamente debido a discrepancias menores de precisión numérica en los tipos flotantes. Estas variaciones se originan por el truncamiento de precisión decimal durante la serialización e ida y vuelta del formato JSON desde y hacia Supabase. Este comportamiento se encuentra catalogado formalmente como una limitación conocida y tolerable del sistema, al igual que la falta de paginación en el bucle síncrono de la API, la cual no impacta negativamente el volumen real analizado (1359 filas).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Diagrama de Flujo de Datos (Pipeline ETL)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14300" distT="114300" distL="114300" distR="114300">
            <wp:extent cx="5943600" cy="153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Fonts w:ascii="Courier" w:cs="Courier" w:eastAsia="Courier" w:hAnsi="Courier"/>
          <w:rtl w:val="0"/>
        </w:rPr>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Desarrollo de Modelos de Machine Learning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Componente de Clasificación (models/clasificacion_modelos.py)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objetivo del modelo de clasificación es segmentar el vino en tres categorías de calidad mutuamente excluyentes basadas en el puntaje analítico (quality): </w:t>
      </w:r>
      <w:r w:rsidDel="00000000" w:rsidR="00000000" w:rsidRPr="00000000">
        <w:rPr>
          <w:b w:val="1"/>
          <w:bCs w:val="1"/>
          <w:rtl w:val="0"/>
        </w:rPr>
        <w:t xml:space="preserve">bajo</w:t>
      </w:r>
      <w:r w:rsidDel="00000000" w:rsidR="00000000" w:rsidRPr="00000000">
        <w:rPr>
          <w:rFonts w:ascii="Arial Unicode MS" w:cs="Arial Unicode MS" w:eastAsia="Arial Unicode MS" w:hAnsi="Arial Unicode MS"/>
          <w:rtl w:val="0"/>
        </w:rPr>
        <w:t xml:space="preserve"> (≤4), </w:t>
      </w:r>
      <w:r w:rsidDel="00000000" w:rsidR="00000000" w:rsidRPr="00000000">
        <w:rPr>
          <w:b w:val="1"/>
          <w:bCs w:val="1"/>
          <w:rtl w:val="0"/>
        </w:rPr>
        <w:t xml:space="preserve">medio</w:t>
      </w:r>
      <w:r w:rsidDel="00000000" w:rsidR="00000000" w:rsidRPr="00000000">
        <w:rPr>
          <w:rtl w:val="0"/>
        </w:rPr>
        <w:t xml:space="preserve"> (5-6), y </w:t>
      </w:r>
      <w:r w:rsidDel="00000000" w:rsidR="00000000" w:rsidRPr="00000000">
        <w:rPr>
          <w:b w:val="1"/>
          <w:bCs w:val="1"/>
          <w:rtl w:val="0"/>
        </w:rPr>
        <w:t xml:space="preserve">premium</w:t>
      </w:r>
      <w:r w:rsidDel="00000000" w:rsidR="00000000" w:rsidRPr="00000000">
        <w:rPr>
          <w:rFonts w:ascii="Arial Unicode MS" w:cs="Arial Unicode MS" w:eastAsia="Arial Unicode MS" w:hAnsi="Arial Unicode MS"/>
          <w:rtl w:val="0"/>
        </w:rPr>
        <w:t xml:space="preserve"> (≥7). El conjunto de datos base presenta un severo desbalance de clases en su distribución original:</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Clase "bajo": 50 registros.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Clase "medio": 890 registros.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Clase "premium": 147 registros.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corregir este desbalance estadístico que sesgaría fuertemente cualquier clasificador hacia la clase mayoritaria, se integró la técnica de sobremuestreo sintético </w:t>
      </w:r>
      <w:r w:rsidDel="00000000" w:rsidR="00000000" w:rsidRPr="00000000">
        <w:rPr>
          <w:b w:val="1"/>
          <w:bCs w:val="1"/>
          <w:rtl w:val="0"/>
        </w:rPr>
        <w:t xml:space="preserve">SMOTE</w:t>
      </w:r>
      <w:r w:rsidDel="00000000" w:rsidR="00000000" w:rsidRPr="00000000">
        <w:rPr>
          <w:rtl w:val="0"/>
        </w:rPr>
        <w:t xml:space="preserve"> (Synthetic Minority Over-sampling Technique) en el pipeline de entrenamiento, logrando nivelar artificialmente todas las clases a un volumen homogéneo de 890 registros por categoría en el set de entrenamiento.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contrastaron de manera sistemática los algoritmos </w:t>
      </w:r>
      <w:r w:rsidDel="00000000" w:rsidR="00000000" w:rsidRPr="00000000">
        <w:rPr>
          <w:b w:val="1"/>
          <w:bCs w:val="1"/>
          <w:rtl w:val="0"/>
        </w:rPr>
        <w:t xml:space="preserve">RandomForestClassifier</w:t>
      </w:r>
      <w:r w:rsidDel="00000000" w:rsidR="00000000" w:rsidRPr="00000000">
        <w:rPr>
          <w:rtl w:val="0"/>
        </w:rPr>
        <w:t xml:space="preserve"> y </w:t>
      </w:r>
      <w:r w:rsidDel="00000000" w:rsidR="00000000" w:rsidRPr="00000000">
        <w:rPr>
          <w:b w:val="1"/>
          <w:bCs w:val="1"/>
          <w:rtl w:val="0"/>
        </w:rPr>
        <w:t xml:space="preserve">LogisticRegression</w:t>
      </w:r>
      <w:r w:rsidDel="00000000" w:rsidR="00000000" w:rsidRPr="00000000">
        <w:rPr>
          <w:rtl w:val="0"/>
        </w:rPr>
        <w:t xml:space="preserve"> estructurados dentro de un objeto Pipeline de Scikit-Learn que antepone un escalamiento estándar (StandardScaler). La optimización se realizó mediante una búsqueda en grilla (GridSearchCV) parametrizada con una validación cruzada de K=5 pliegues, optimizando la métrica robusta f1_macro.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algoritmo seleccionado para producción fue </w:t>
      </w:r>
      <w:r w:rsidDel="00000000" w:rsidR="00000000" w:rsidRPr="00000000">
        <w:rPr>
          <w:b w:val="1"/>
          <w:bCs w:val="1"/>
          <w:rtl w:val="0"/>
        </w:rPr>
        <w:t xml:space="preserve">RandomForestClassifier</w:t>
      </w:r>
      <w:r w:rsidDel="00000000" w:rsidR="00000000" w:rsidRPr="00000000">
        <w:rPr>
          <w:rtl w:val="0"/>
        </w:rPr>
        <w:t xml:space="preserve">, el cual arrojó un Accuracy en el conjunto de test del 77.57% (sobre un total de 272 filas evaluadas). Su configuración hiperparamétrica óptima seleccionada por la grilla fue: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max_depth: None</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min_samples_split: 2</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n_estimators: 100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su parte, el modelo base de LogisticRegression obtuvo un desempeño marcadamente inferior, alcanzando un Accuracy de 61.40% y un F1-macro en validación de 73.52%, bajo una configuración óptima de C=10.0 y solver lbfgs.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Componente de Regresión (models/regresion_modelos.py)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el fin de proveer una estimación numérica continua de la calidad, se desarrolló un pipeline de regresión en paralelo, contrastando un ensamble no lineal (</w:t>
      </w:r>
      <w:r w:rsidDel="00000000" w:rsidR="00000000" w:rsidRPr="00000000">
        <w:rPr>
          <w:b w:val="1"/>
          <w:bCs w:val="1"/>
          <w:rtl w:val="0"/>
        </w:rPr>
        <w:t xml:space="preserve">RandomForestRegressor</w:t>
      </w:r>
      <w:r w:rsidDel="00000000" w:rsidR="00000000" w:rsidRPr="00000000">
        <w:rPr>
          <w:rtl w:val="0"/>
        </w:rPr>
        <w:t xml:space="preserve">) frente a un modelo lineal regularizado (</w:t>
      </w:r>
      <w:r w:rsidDel="00000000" w:rsidR="00000000" w:rsidRPr="00000000">
        <w:rPr>
          <w:b w:val="1"/>
          <w:bCs w:val="1"/>
          <w:rtl w:val="0"/>
        </w:rPr>
        <w:t xml:space="preserve">Ridge Regression</w:t>
      </w:r>
      <w:r w:rsidDel="00000000" w:rsidR="00000000" w:rsidRPr="00000000">
        <w:rPr>
          <w:rtl w:val="0"/>
        </w:rPr>
        <w:t xml:space="preserve">, regularización L2). Al igual que en la clasificación, el entrenamiento integró un StandardScaler dentro del pipeline y se orquestó vía GridSearchCV con K=5 pliegues, evaluando la función de pérdida neg_mean_squared_error.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algoritmo seleccionado fue </w:t>
      </w:r>
      <w:r w:rsidDel="00000000" w:rsidR="00000000" w:rsidRPr="00000000">
        <w:rPr>
          <w:b w:val="1"/>
          <w:bCs w:val="1"/>
          <w:rtl w:val="0"/>
        </w:rPr>
        <w:t xml:space="preserve">RandomForestRegressor</w:t>
      </w:r>
      <w:r w:rsidDel="00000000" w:rsidR="00000000" w:rsidRPr="00000000">
        <w:rPr>
          <w:rtl w:val="0"/>
        </w:rPr>
        <w:t xml:space="preserve"> debido a su capacidad para capturar interacciones no lineales entre las variables fisicoquímicas del vino. Su configuración óptima fue de max_depth=10, min_samples_split=2 y n_estimators=200. El modelo lineal Ridge, optimizado con un parámetro de penalización alpha=10.0, no logró equiparar el desempeño del ensamble.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Análisis de Resultados y KPIs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Evaluación del Modelo de Clasificación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rendimiento global del modelo seleccionado (RandomForestClassifier) expone una asimetría marcada en el desglose por clases, una consecuencia directa del tamaño muestral crítico original del dataset: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Clase de Calidad</w:t>
            </w:r>
          </w:p>
        </w:tc>
        <w:tc>
          <w:tcPr>
            <w:shd w:fill="f2f2f2"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Muestras Originales</w:t>
            </w:r>
          </w:p>
        </w:tc>
        <w:tc>
          <w:tcPr>
            <w:shd w:fill="f2f2f2"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F1-Score (Test)</w:t>
            </w:r>
          </w:p>
        </w:tc>
        <w:tc>
          <w:tcPr>
            <w:shd w:fill="f2f2f2"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Recall (Sensibilidad)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Bajo (≤4)</w:t>
            </w:r>
          </w:p>
        </w:tc>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0.24</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Medio (5-6)</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890</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Premium (≥7)</w:t>
            </w:r>
          </w:p>
        </w:tc>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147</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0.53</w:t>
            </w:r>
          </w:p>
        </w:tc>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0.65</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Análisis Crítico de la Clase "Bajo":</w:t>
      </w:r>
      <w:r w:rsidDel="00000000" w:rsidR="00000000" w:rsidRPr="00000000">
        <w:rPr>
          <w:rtl w:val="0"/>
        </w:rPr>
        <w:t xml:space="preserve"> El desempeño en la clase "bajo" es marcadamente débil (F1 de 0.24 y Recall de 0.23). A pesar de haber aplicado SMOTE para balancear las clases en el entrenamiento, las muestras sintéticas se generaron a partir de un espacio vectorial extremadamente reducido (solo 50 registros originales). Esto provocó que el modelo no lograra generalizar adecuadamente las fronteras de decisión para los vinos de baja calidad en el conjunto de test (el cual mantiene la distribución real desbalanceada), confundiéndolos de forma persistente con la clase media.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Análisis de la Matriz de Confusión Real (272 filas de test):</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[[3, 9, 1] → Para la clase bajo real: solo 3 muestras se clasificaron correctamente; 9 se tipificaron erróneamente como medio y 1 como premium.</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[9, 184, 29] → Para la clase medio real: 184 muestras se clasificaron correctamente; 9 pasaron a bajo y 29 a premium.</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[0, 13, 24]] → Para la clase premium real: 24 muestras se clasificaron correctamente; 13 se confundieron con la clase medio y ninguna fue catalogada como bajo.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Evaluación del Modelo de Regresión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análisis de métricas continuas refleja la precisión del estimador escalar sobre las 272 filas del conjunto de test: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Métrica de Regresión</w:t>
            </w:r>
          </w:p>
        </w:tc>
        <w:tc>
          <w:tcPr>
            <w:shd w:fill="f2f2f2"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RandomForestRegressor (Seleccionado)</w:t>
            </w:r>
          </w:p>
        </w:tc>
        <w:tc>
          <w:tcPr>
            <w:shd w:fill="f2f2f2"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Ridge Regression (Base)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MAE (Error Absoluto Medio)</w:t>
            </w:r>
          </w:p>
        </w:tc>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0.4689</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0.5038</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RMSE (Error Cuadrático Medio Raíz)</w:t>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0.6160</w:t>
            </w:r>
          </w:p>
        </w:tc>
        <w:tc>
          <w:tcPr>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0.6554</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R² (Coeficiente de Determinación)</w:t>
            </w:r>
          </w:p>
        </w:tc>
        <w:tc>
          <w:tcPr>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46.42%</w:t>
            </w:r>
          </w:p>
        </w:tc>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39.36%</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coeficiente de determinación (R²) del 46.42% indica que casi la mitad de la variabilidad observada en la calidad del vino es explicada satisfactoriamente por las variables fisicoquímicas incluidas en el modelo de ensamble, superando con holgura el 39.36% obtenido por la regresión Ridge lineal regularizada.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Documentación de Despliegue, APIs y Troubleshooting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Arquitectura de la API (api/main.py)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capa de servicio está construida sobre FastAPI, aprovechando la validación estricta de tipos en tiempo de ejecución provista por Pydantic a través de la clase WineInput. El mapeo interno hacia el modelo se realiza estructurando la entrada directamente en un DataFrame de Pandas, asegurando la consistencia absoluta de las columnas requeridas por el pipeline del modelo (incluyendo el campo crítico pH) para evitar conflictos en las dimensiones de entrada.</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Especificación de Endpoints y Payloads Reales</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Endpoint de Clasificación Categórica:</w:t>
      </w:r>
      <w:r w:rsidDel="00000000" w:rsidR="00000000" w:rsidRPr="00000000">
        <w:rPr>
          <w:rtl w:val="0"/>
        </w:rPr>
        <w:t xml:space="preserve"> POST /predict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Retorna la etiqueta de la clase predicha (bajo, medio, premium) junto con su respectivo porcentaje de confianza probabilística.</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Endpoint de Regresión Continua:</w:t>
      </w:r>
      <w:r w:rsidDel="00000000" w:rsidR="00000000" w:rsidRPr="00000000">
        <w:rPr>
          <w:rtl w:val="0"/>
        </w:rPr>
        <w:t xml:space="preserve"> POST /predict_quality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Retorna una estimación numérica continua en formato flotante acotada estrictamente en el rango matemático de 0 a 10.</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Guía de Troubleshooting en Producción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Basado en las incidencias técnicas resueltas durante el ciclo de desarrollo, se estructura el siguiente manual de resolución de problemas: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Falla en Operaciones de Limpieza ETL (Duplicación de Cargas):</w:t>
      </w:r>
      <w:r w:rsidDel="00000000" w:rsidR="00000000" w:rsidRPr="00000000">
        <w:rPr>
          <w:rtl w:val="0"/>
        </w:rPr>
        <w:t xml:space="preserve"> Si se observa que el conteo de filas en Supabase supera las 1359 filas base, verifique las políticas de Row Level Security (RLS). Si están configuradas por defecto, bloquearán el método DELETE devolviendo HTTP 200 sin efecto real. </w:t>
      </w:r>
      <w:r w:rsidDel="00000000" w:rsidR="00000000" w:rsidRPr="00000000">
        <w:rPr>
          <w:i w:val="1"/>
          <w:iCs w:val="1"/>
          <w:rtl w:val="0"/>
        </w:rPr>
        <w:t xml:space="preserve">Solución:</w:t>
      </w:r>
      <w:r w:rsidDel="00000000" w:rsidR="00000000" w:rsidRPr="00000000">
        <w:rPr>
          <w:rtl w:val="0"/>
        </w:rPr>
        <w:t xml:space="preserve"> Ejecutar una política de tipo PERMISSIVE para la acción DELETE USING (true).</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Truncamiento de Registros en Supabase (Límite de 1000 Filas):</w:t>
      </w:r>
      <w:r w:rsidDel="00000000" w:rsidR="00000000" w:rsidRPr="00000000">
        <w:rPr>
          <w:rtl w:val="0"/>
        </w:rPr>
        <w:t xml:space="preserve"> Si la extracción devuelve exactamente 1000 filas existiendo un volumen mayor, se debe a la restricción por defecto de la API del cliente Supabase. </w:t>
      </w:r>
      <w:r w:rsidDel="00000000" w:rsidR="00000000" w:rsidRPr="00000000">
        <w:rPr>
          <w:i w:val="1"/>
          <w:iCs w:val="1"/>
          <w:rtl w:val="0"/>
        </w:rPr>
        <w:t xml:space="preserve">Solución:</w:t>
      </w:r>
      <w:r w:rsidDel="00000000" w:rsidR="00000000" w:rsidRPr="00000000">
        <w:rPr>
          <w:rtl w:val="0"/>
        </w:rPr>
        <w:t xml:space="preserve"> Implementar de manera mandatoria la extracción paginada mediante bloques iterativos con range() y parámetros explícitos de desfasaje (offset).</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Errores de Red y Conectividad DNS:</w:t>
      </w:r>
      <w:r w:rsidDel="00000000" w:rsidR="00000000" w:rsidRPr="00000000">
        <w:rPr>
          <w:rtl w:val="0"/>
        </w:rPr>
        <w:t xml:space="preserve"> Ante la interrupción síncrona del pipeline, el sistema disparará excepciones controladas de tipo ConnectionError o Timeout en el módulo de la API. Se debe validar la cadena de conexión de las variables de entorno y el estado de resolución del host remoto.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Nota sobre Infraestructura:</w:t>
      </w:r>
      <w:r w:rsidDel="00000000" w:rsidR="00000000" w:rsidRPr="00000000">
        <w:rPr>
          <w:rtl w:val="0"/>
        </w:rPr>
        <w:t xml:space="preserve"> El despliegue automatizado mediante contenedores Docker y configuraciones multi-contenedor con docker-compose se encuentra catalogado como pendiente de documentación técnica formal.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Evidencias de Integración Continua (CI/CD)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automatización y el aseguramiento de la calidad del software (QA) están orquestados mediante la plataforma de desarrollo GitHub Actions a través del workflow configurado en el archivo real .github/workflows/ci.yml. El proceso se ejecuta de manera determinista bajo el entorno operativo de Python 3.13, cubriendo los siguientes pasos secuenciales verificados de forma nativa:</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Checkout del Código:</w:t>
      </w:r>
      <w:r w:rsidDel="00000000" w:rsidR="00000000" w:rsidRPr="00000000">
        <w:rPr>
          <w:rtl w:val="0"/>
        </w:rPr>
        <w:t xml:space="preserve"> Descarga de la versión exacta del repositorio mediante la acción estándar de GitHub.</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Configuración del Entorno:</w:t>
      </w:r>
      <w:r w:rsidDel="00000000" w:rsidR="00000000" w:rsidRPr="00000000">
        <w:rPr>
          <w:rtl w:val="0"/>
        </w:rPr>
        <w:t xml:space="preserve"> Setup de Python 3.13 integrando mecanismos de caché nativos para el gestor de paquetes pip, acelerando los tiempos de ejecución subsecuentes.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Instalación de Dependencias:</w:t>
      </w:r>
      <w:r w:rsidDel="00000000" w:rsidR="00000000" w:rsidRPr="00000000">
        <w:rPr>
          <w:rtl w:val="0"/>
        </w:rPr>
        <w:t xml:space="preserve"> Instalación estricta de las librerías declaradas en el archivo requirements.txt.</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Entrenamiento en Caliente de Modelos ML:</w:t>
      </w:r>
      <w:r w:rsidDel="00000000" w:rsidR="00000000" w:rsidRPr="00000000">
        <w:rPr>
          <w:rtl w:val="0"/>
        </w:rPr>
        <w:t xml:space="preserve"> Ejecución directa en el runner de los comandos de compilación: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python -m models.clasificacion_modelos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python -m models.regresion_modelos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Esta fase genera dinámicamente los artefactos serializados (archivos binarios .pkl) dentro del entorno del runner, evitando la mala práctica de almacenar binarios pesados en el histórico de Git.</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Pruebas Unitarias y de Integración:</w:t>
      </w:r>
      <w:r w:rsidDel="00000000" w:rsidR="00000000" w:rsidRPr="00000000">
        <w:rPr>
          <w:rtl w:val="0"/>
        </w:rPr>
        <w:t xml:space="preserve"> Ejecución de la suite de pruebas automatizadas invocando pytest sobre el archivo real de pruebas tests/test_api.py. Para asegurar la conectividad con la infraestructura persistente durante los tests, se inyectan en caliente las credenciales de entorno SUPABASE_URL y SUPABASE_KEY como secretos del repositorio (</w:t>
      </w:r>
      <w:r w:rsidDel="00000000" w:rsidR="00000000" w:rsidRPr="00000000">
        <w:rPr>
          <w:i w:val="1"/>
          <w:iCs w:val="1"/>
          <w:rtl w:val="0"/>
        </w:rPr>
        <w:t xml:space="preserve">GitHub Secrets</w:t>
      </w:r>
      <w:r w:rsidDel="00000000" w:rsidR="00000000" w:rsidRPr="00000000">
        <w:rPr>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Cobertura Homologada en la Suite de Tests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archivo de pruebas unitarias tests/test_api.py realiza de forma estricta la verificación de 5 casos de prueba atómicos que garantizan la estabilidad del servicio antes de cualquier despliegue: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1:</w:t>
      </w:r>
      <w:r w:rsidDel="00000000" w:rsidR="00000000" w:rsidRPr="00000000">
        <w:rPr>
          <w:rtl w:val="0"/>
        </w:rPr>
        <w:t xml:space="preserve"> Validación de la correcta carga física y deserialización de los artefactos del modelo en formato .pkl.</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2:</w:t>
      </w:r>
      <w:r w:rsidDel="00000000" w:rsidR="00000000" w:rsidRPr="00000000">
        <w:rPr>
          <w:rtl w:val="0"/>
        </w:rPr>
        <w:t xml:space="preserve"> Verificación de una petición válida enviada al endpoint /predict, controlando que la respuesta pertenezca estrictamente al conjunto de categorías válidas [bajo, medio, premium] y que el valor de confianza devuelto esté acotado probabilísticamente entre 0% y 100%.</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3:</w:t>
      </w:r>
      <w:r w:rsidDel="00000000" w:rsidR="00000000" w:rsidRPr="00000000">
        <w:rPr>
          <w:rtl w:val="0"/>
        </w:rPr>
        <w:t xml:space="preserve"> Verificación del rechazo automático con un código de estado HTTP 422 (Unprocessable Entity) ante el envío de payloads de datos incompletos o malformados hacia el endpoint /predict.</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4:</w:t>
      </w:r>
      <w:r w:rsidDel="00000000" w:rsidR="00000000" w:rsidRPr="00000000">
        <w:rPr>
          <w:rtl w:val="0"/>
        </w:rPr>
        <w:t xml:space="preserve"> Verificación de una predicción exitosa en el endpoint de regresión /predict_quality, asegurando que la respuesta devuelva un valor numérico continuo comprendido en la escala de 0 a 10.</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5:</w:t>
      </w:r>
      <w:r w:rsidDel="00000000" w:rsidR="00000000" w:rsidRPr="00000000">
        <w:rPr>
          <w:rtl w:val="0"/>
        </w:rPr>
        <w:t xml:space="preserve"> Verificación del bloqueo y rechazo con un código de estado HTTP 422 ante solicitudes incompletas o erróneas dirigidas al endpoint de regresión /predict_quality.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